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80"/>
      </w:pPr>
      <w:r>
        <w:drawing>
          <wp:inline distT="0" distB="0" distL="0" distR="0">
            <wp:extent cx="548640" cy="548640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b/>
          <w:bCs/>
          <w:color w:val="0F6CBD"/>
          <w:sz w:val="18"/>
          <w:szCs w:val="18"/>
        </w:rPr>
        <w:t xml:space="preserve">NIYYASOFT</w:t>
      </w:r>
    </w:p>
    <w:p>
      <w:pPr>
        <w:pStyle w:val="Title"/>
      </w:pPr>
      <w:r>
        <w:t xml:space="preserve">Azure Local — Storage Sizing Report</w:t>
      </w:r>
    </w:p>
    <w:p>
      <w:pPr>
        <w:spacing w:after="40"/>
      </w:pPr>
      <w:r>
        <w:rPr>
          <w:color w:val="5B6675"/>
          <w:sz w:val="21"/>
          <w:szCs w:val="21"/>
        </w:rPr>
        <w:t xml:space="preserve">Azure Local · 4 machine(s) · Three-way mirror</w:t>
      </w:r>
    </w:p>
    <w:p>
      <w:pPr>
        <w:spacing w:after="240"/>
      </w:pPr>
      <w:r>
        <w:rPr>
          <w:color w:val="5B6675"/>
          <w:sz w:val="17"/>
          <w:szCs w:val="17"/>
        </w:rPr>
        <w:t xml:space="preserve">Generated 2026-09-20 19:34 · Prepared by Niyyasoft · Storage Sizer for Azure Local &amp; S2D</w:t>
      </w:r>
    </w:p>
    <w:tbl>
      <w:tblPr>
        <w:tblW w:w="97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2438"/>
        <w:gridCol w:w="2438"/>
        <w:gridCol w:w="2438"/>
        <w:gridCol w:w="2438"/>
      </w:tblGrid>
      <w:tr>
        <w:tc>
          <w:tcPr>
            <w:tcW w:w="2438" w:type="dxa"/>
            <w:shd w:val="clear" w:color="auto" w:fill="F3F5F8"/>
            <w:vAlign w:val="center"/>
          </w:tcPr>
          <w:p>
            <w:pPr>
              <w:spacing w:before="60" w:after="0"/>
            </w:pPr>
            <w:r>
              <w:rPr>
                <w:color w:val="5B6675"/>
                <w:sz w:val="16"/>
                <w:szCs w:val="16"/>
              </w:rPr>
              <w:t xml:space="preserve">Usable capacity</w:t>
            </w:r>
          </w:p>
          <w:p>
            <w:pPr>
              <w:spacing w:before="0" w:after="0"/>
            </w:pPr>
            <w:r>
              <w:rPr>
                <w:b/>
                <w:bCs/>
                <w:color w:val="0F6CBD"/>
                <w:sz w:val="30"/>
                <w:szCs w:val="30"/>
              </w:rPr>
              <w:t xml:space="preserve">35.58 TB</w:t>
            </w:r>
          </w:p>
          <w:p>
            <w:pPr>
              <w:spacing w:before="0" w:after="60"/>
            </w:pPr>
            <w:r>
              <w:rPr>
                <w:color w:val="5B6675"/>
                <w:sz w:val="15"/>
                <w:szCs w:val="15"/>
              </w:rPr>
              <w:t xml:space="preserve">32.36 TiB as shown in Windows</w:t>
            </w:r>
          </w:p>
        </w:tc>
        <w:tc>
          <w:tcPr>
            <w:tcW w:w="2438" w:type="dxa"/>
            <w:shd w:val="clear" w:color="auto" w:fill="F3F5F8"/>
            <w:vAlign w:val="center"/>
          </w:tcPr>
          <w:p>
            <w:pPr>
              <w:spacing w:before="60" w:after="0"/>
            </w:pPr>
            <w:r>
              <w:rPr>
                <w:color w:val="5B6675"/>
                <w:sz w:val="16"/>
                <w:szCs w:val="16"/>
              </w:rPr>
              <w:t xml:space="preserve">Storage efficiency</w:t>
            </w:r>
          </w:p>
          <w:p>
            <w:pPr>
              <w:spacing w:before="0" w:after="0"/>
            </w:pPr>
            <w:r>
              <w:rPr>
                <w:b/>
                <w:bCs/>
                <w:color w:val="1B2430"/>
                <w:sz w:val="30"/>
                <w:szCs w:val="30"/>
              </w:rPr>
              <w:t xml:space="preserve">33.3%</w:t>
            </w:r>
          </w:p>
          <w:p>
            <w:pPr>
              <w:spacing w:before="0" w:after="60"/>
            </w:pPr>
            <w:r>
              <w:rPr>
                <w:color w:val="5B6675"/>
                <w:sz w:val="15"/>
                <w:szCs w:val="15"/>
              </w:rPr>
              <w:t xml:space="preserve">Three-way mirror</w:t>
            </w:r>
          </w:p>
        </w:tc>
        <w:tc>
          <w:tcPr>
            <w:tcW w:w="2438" w:type="dxa"/>
            <w:shd w:val="clear" w:color="auto" w:fill="F3F5F8"/>
            <w:vAlign w:val="center"/>
          </w:tcPr>
          <w:p>
            <w:pPr>
              <w:spacing w:before="60" w:after="0"/>
            </w:pPr>
            <w:r>
              <w:rPr>
                <w:color w:val="5B6675"/>
                <w:sz w:val="16"/>
                <w:szCs w:val="16"/>
              </w:rPr>
              <w:t xml:space="preserve">Fault tolerance</w:t>
            </w:r>
          </w:p>
          <w:p>
            <w:pPr>
              <w:spacing w:before="0" w:after="0"/>
            </w:pPr>
            <w:r>
              <w:rPr>
                <w:b/>
                <w:bCs/>
                <w:color w:val="1B2430"/>
                <w:sz w:val="30"/>
                <w:szCs w:val="30"/>
              </w:rPr>
              <w:t xml:space="preserve">2 failures</w:t>
            </w:r>
          </w:p>
          <w:p>
            <w:pPr>
              <w:spacing w:before="0" w:after="60"/>
            </w:pPr>
            <w:r>
              <w:rPr>
                <w:color w:val="5B6675"/>
                <w:sz w:val="15"/>
                <w:szCs w:val="15"/>
              </w:rPr>
              <w:t xml:space="preserve">2 simultaneous failures (drives and/or fault domains)</w:t>
            </w:r>
          </w:p>
        </w:tc>
        <w:tc>
          <w:tcPr>
            <w:tcW w:w="2438" w:type="dxa"/>
            <w:shd w:val="clear" w:color="auto" w:fill="F3F5F8"/>
            <w:vAlign w:val="center"/>
          </w:tcPr>
          <w:p>
            <w:pPr>
              <w:spacing w:before="60" w:after="0"/>
            </w:pPr>
            <w:r>
              <w:rPr>
                <w:color w:val="5B6675"/>
                <w:sz w:val="16"/>
                <w:szCs w:val="16"/>
              </w:rPr>
              <w:t xml:space="preserve">Raw capacity</w:t>
            </w:r>
          </w:p>
          <w:p>
            <w:pPr>
              <w:spacing w:before="0" w:after="0"/>
            </w:pPr>
            <w:r>
              <w:rPr>
                <w:b/>
                <w:bCs/>
                <w:color w:val="1B2430"/>
                <w:sz w:val="30"/>
                <w:szCs w:val="30"/>
              </w:rPr>
              <w:t xml:space="preserve">122.88 TB</w:t>
            </w:r>
          </w:p>
          <w:p>
            <w:pPr>
              <w:spacing w:before="0" w:after="60"/>
            </w:pPr>
            <w:r>
              <w:rPr>
                <w:color w:val="5B6675"/>
                <w:sz w:val="15"/>
                <w:szCs w:val="15"/>
              </w:rPr>
              <w:t xml:space="preserve">4 × 8 × 3.84 TB NVMe</w:t>
            </w:r>
          </w:p>
        </w:tc>
      </w:tr>
    </w:tbl>
    <w:p>
      <w:pPr>
        <w:spacing w:before="0" w:after="0"/>
      </w:pPr>
    </w:p>
    <w:p>
      <w:pPr>
        <w:keepNext/>
        <w:spacing w:before="120" w:after="60"/>
      </w:pPr>
      <w:r>
        <w:rPr>
          <w:b/>
          <w:bCs/>
          <w:sz w:val="18"/>
          <w:szCs w:val="18"/>
        </w:rPr>
        <w:t xml:space="preserve">Where the raw capacity goes</w:t>
      </w:r>
    </w:p>
    <w:tbl>
      <w:tblPr>
        <w:tblW w:w="97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2824"/>
        <w:gridCol w:w="5647"/>
        <w:gridCol w:w="62"/>
        <w:gridCol w:w="1219"/>
      </w:tblGrid>
      <w:tr>
        <w:trPr>
          <w:trHeight w:val="340"/>
        </w:trPr>
        <w:tc>
          <w:tcPr>
            <w:tcW w:w="2824" w:type="dxa"/>
            <w:shd w:val="clear" w:color="auto" w:fill="0F6CB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Usable 29%</w:t>
            </w:r>
          </w:p>
        </w:tc>
        <w:tc>
          <w:tcPr>
            <w:tcW w:w="5647" w:type="dxa"/>
            <w:shd w:val="clear" w:color="auto" w:fill="7A8FA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Resiliency overhead 58%</w:t>
            </w:r>
          </w:p>
        </w:tc>
        <w:tc>
          <w:tcPr>
            <w:tcW w:w="62" w:type="dxa"/>
            <w:shd w:val="clear" w:color="auto" w:fill="8764B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</w:r>
          </w:p>
        </w:tc>
        <w:tc>
          <w:tcPr>
            <w:tcW w:w="1219" w:type="dxa"/>
            <w:shd w:val="clear" w:color="auto" w:fill="C27C0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Reserve 13%</w:t>
            </w:r>
          </w:p>
        </w:tc>
      </w:tr>
    </w:tbl>
    <w:p>
      <w:pPr>
        <w:spacing w:before="60" w:after="120"/>
      </w:pPr>
      <w:r>
        <w:rPr>
          <w:color w:val="0F6CBD"/>
          <w:sz w:val="18"/>
          <w:szCs w:val="18"/>
        </w:rPr>
        <w:t xml:space="preserve">■ </w:t>
      </w:r>
      <w:r>
        <w:rPr>
          <w:color w:val="5B6675"/>
          <w:sz w:val="16"/>
          <w:szCs w:val="16"/>
        </w:rPr>
        <w:t xml:space="preserve">Usable 35.6 TB (29%)     </w:t>
      </w:r>
      <w:r>
        <w:rPr>
          <w:color w:val="7A8FA8"/>
          <w:sz w:val="18"/>
          <w:szCs w:val="18"/>
        </w:rPr>
        <w:t xml:space="preserve">■ </w:t>
      </w:r>
      <w:r>
        <w:rPr>
          <w:color w:val="5B6675"/>
          <w:sz w:val="16"/>
          <w:szCs w:val="16"/>
        </w:rPr>
        <w:t xml:space="preserve">Resiliency overhead 71.2 TB (58%)     </w:t>
      </w:r>
      <w:r>
        <w:rPr>
          <w:color w:val="8764B8"/>
          <w:sz w:val="18"/>
          <w:szCs w:val="18"/>
        </w:rPr>
        <w:t xml:space="preserve">■ </w:t>
      </w:r>
      <w:r>
        <w:rPr>
          <w:color w:val="5B6675"/>
          <w:sz w:val="16"/>
          <w:szCs w:val="16"/>
        </w:rPr>
        <w:t xml:space="preserve">System volumes 0.8 TB (1%)     </w:t>
      </w:r>
      <w:r>
        <w:rPr>
          <w:color w:val="C27C0E"/>
          <w:sz w:val="18"/>
          <w:szCs w:val="18"/>
        </w:rPr>
        <w:t xml:space="preserve">■ </w:t>
      </w:r>
      <w:r>
        <w:rPr>
          <w:color w:val="5B6675"/>
          <w:sz w:val="16"/>
          <w:szCs w:val="16"/>
        </w:rPr>
        <w:t xml:space="preserve">Reserve 15.4 TB (13%)     </w:t>
      </w:r>
    </w:p>
    <w:p>
      <w:pPr>
        <w:pStyle w:val="Heading1"/>
      </w:pPr>
      <w:r>
        <w:t xml:space="preserve">Configuration</w:t>
      </w:r>
    </w:p>
    <w:tbl>
      <w:tblPr>
        <w:tblW w:w="9752" w:type="dxa"/>
        <w:tblBorders>
          <w:top w:val="single" w:sz="4" w:space="0" w:color="E1E5EA"/>
          <w:left w:val="nil"/>
          <w:bottom w:val="single" w:sz="4" w:space="0" w:color="E1E5EA"/>
          <w:right w:val="nil"/>
          <w:insideH w:val="single" w:sz="4" w:space="0" w:color="E1E5EA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121"/>
        <w:gridCol w:w="6631"/>
      </w:tblGrid>
      <w:tr>
        <w:trPr>
          <w:cantSplit/>
        </w:trPr>
        <w:tc>
          <w:tcPr>
            <w:tcW w:w="3121" w:type="dxa"/>
            <w:shd w:val="clear" w:color="auto" w:fill="F3F5F8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Platform</w:t>
            </w:r>
          </w:p>
        </w:tc>
        <w:tc>
          <w:tcPr>
            <w:tcW w:w="663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Azure Local</w:t>
            </w:r>
          </w:p>
        </w:tc>
      </w:tr>
      <w:tr>
        <w:trPr>
          <w:cantSplit/>
        </w:trPr>
        <w:tc>
          <w:tcPr>
            <w:tcW w:w="3121" w:type="dxa"/>
            <w:shd w:val="clear" w:color="auto" w:fill="F3F5F8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Machines (fault domains)</w:t>
            </w:r>
          </w:p>
        </w:tc>
        <w:tc>
          <w:tcPr>
            <w:tcW w:w="663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4</w:t>
            </w:r>
          </w:p>
        </w:tc>
      </w:tr>
      <w:tr>
        <w:trPr>
          <w:cantSplit/>
        </w:trPr>
        <w:tc>
          <w:tcPr>
            <w:tcW w:w="3121" w:type="dxa"/>
            <w:shd w:val="clear" w:color="auto" w:fill="F3F5F8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Capacity drives per machine</w:t>
            </w:r>
          </w:p>
        </w:tc>
        <w:tc>
          <w:tcPr>
            <w:tcW w:w="663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8 × 3.84 TB NVMe</w:t>
            </w:r>
          </w:p>
        </w:tc>
      </w:tr>
      <w:tr>
        <w:trPr>
          <w:cantSplit/>
        </w:trPr>
        <w:tc>
          <w:tcPr>
            <w:tcW w:w="3121" w:type="dxa"/>
            <w:shd w:val="clear" w:color="auto" w:fill="F3F5F8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Cache drives per machine</w:t>
            </w:r>
          </w:p>
        </w:tc>
        <w:tc>
          <w:tcPr>
            <w:tcW w:w="663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None (single tier)</w:t>
            </w:r>
          </w:p>
        </w:tc>
      </w:tr>
      <w:tr>
        <w:trPr>
          <w:cantSplit/>
        </w:trPr>
        <w:tc>
          <w:tcPr>
            <w:tcW w:w="3121" w:type="dxa"/>
            <w:shd w:val="clear" w:color="auto" w:fill="F3F5F8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Resiliency</w:t>
            </w:r>
          </w:p>
        </w:tc>
        <w:tc>
          <w:tcPr>
            <w:tcW w:w="663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Three-way mirror — 3 copies on different servers</w:t>
            </w:r>
          </w:p>
        </w:tc>
      </w:tr>
      <w:tr>
        <w:trPr>
          <w:cantSplit/>
        </w:trPr>
        <w:tc>
          <w:tcPr>
            <w:tcW w:w="3121" w:type="dxa"/>
            <w:shd w:val="clear" w:color="auto" w:fill="F3F5F8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Reserve</w:t>
            </w:r>
          </w:p>
        </w:tc>
        <w:tc>
          <w:tcPr>
            <w:tcW w:w="663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Microsoft recommendation: 4 drive(s)</w:t>
            </w:r>
          </w:p>
        </w:tc>
      </w:tr>
      <w:tr>
        <w:trPr>
          <w:cantSplit/>
        </w:trPr>
        <w:tc>
          <w:tcPr>
            <w:tcW w:w="3121" w:type="dxa"/>
            <w:shd w:val="clear" w:color="auto" w:fill="F3F5F8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System volumes (usable)</w:t>
            </w:r>
          </w:p>
        </w:tc>
        <w:tc>
          <w:tcPr>
            <w:tcW w:w="663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250 GB infrastructure + 10 GB performance history</w:t>
            </w:r>
          </w:p>
        </w:tc>
      </w:tr>
    </w:tbl>
    <w:p>
      <w:pPr>
        <w:spacing w:before="0" w:after="0"/>
      </w:pPr>
    </w:p>
    <w:p>
      <w:pPr>
        <w:pStyle w:val="Heading1"/>
      </w:pPr>
      <w:r>
        <w:t xml:space="preserve">Capacity breakdown</w:t>
      </w:r>
    </w:p>
    <w:tbl>
      <w:tblPr>
        <w:tblW w:w="9752" w:type="dxa"/>
        <w:tblBorders>
          <w:top w:val="single" w:sz="4" w:space="0" w:color="E1E5EA"/>
          <w:left w:val="nil"/>
          <w:bottom w:val="single" w:sz="4" w:space="0" w:color="E1E5EA"/>
          <w:right w:val="nil"/>
          <w:insideH w:val="single" w:sz="4" w:space="0" w:color="E1E5EA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6876"/>
        <w:gridCol w:w="1394"/>
        <w:gridCol w:w="1482"/>
      </w:tblGrid>
      <w:tr>
        <w:trPr>
          <w:cantSplit/>
          <w:tblHeader/>
        </w:trPr>
        <w:tc>
          <w:tcPr>
            <w:tcW w:w="6876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Calculation step</w:t>
            </w:r>
          </w:p>
        </w:tc>
        <w:tc>
          <w:tcPr>
            <w:tcW w:w="1394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TB (decimal)</w:t>
            </w:r>
          </w:p>
        </w:tc>
        <w:tc>
          <w:tcPr>
            <w:tcW w:w="1482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TiB (Windows)</w:t>
            </w:r>
          </w:p>
        </w:tc>
      </w:tr>
      <w:tr>
        <w:trPr>
          <w:cantSplit/>
        </w:trPr>
        <w:tc>
          <w:tcPr>
            <w:tcW w:w="687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Raw capacity (capacity drives only)</w:t>
            </w:r>
          </w:p>
        </w:tc>
        <w:tc>
          <w:tcPr>
            <w:tcW w:w="139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122.88</w:t>
            </w:r>
          </w:p>
        </w:tc>
        <w:tc>
          <w:tcPr>
            <w:tcW w:w="148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111.76</w:t>
            </w:r>
          </w:p>
        </w:tc>
      </w:tr>
      <w:tr>
        <w:trPr>
          <w:cantSplit/>
        </w:trPr>
        <w:tc>
          <w:tcPr>
            <w:tcW w:w="687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− Reserve (4 capacity drive(s))</w:t>
            </w:r>
          </w:p>
        </w:tc>
        <w:tc>
          <w:tcPr>
            <w:tcW w:w="139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-15.36</w:t>
            </w:r>
          </w:p>
        </w:tc>
        <w:tc>
          <w:tcPr>
            <w:tcW w:w="148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-13.97</w:t>
            </w:r>
          </w:p>
        </w:tc>
      </w:tr>
      <w:tr>
        <w:trPr>
          <w:cantSplit/>
        </w:trPr>
        <w:tc>
          <w:tcPr>
            <w:tcW w:w="687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− System volumes footprint (three-way mirror)</w:t>
            </w:r>
          </w:p>
        </w:tc>
        <w:tc>
          <w:tcPr>
            <w:tcW w:w="139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-0.78</w:t>
            </w:r>
          </w:p>
        </w:tc>
        <w:tc>
          <w:tcPr>
            <w:tcW w:w="148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-0.71</w:t>
            </w:r>
          </w:p>
        </w:tc>
      </w:tr>
      <w:tr>
        <w:trPr>
          <w:cantSplit/>
        </w:trPr>
        <w:tc>
          <w:tcPr>
            <w:tcW w:w="6876" w:type="dxa"/>
            <w:shd w:val="clear" w:color="auto" w:fill="EAF3FC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= Available pool footprint for workload volumes</w:t>
            </w:r>
          </w:p>
        </w:tc>
        <w:tc>
          <w:tcPr>
            <w:tcW w:w="1394" w:type="dxa"/>
            <w:shd w:val="clear" w:color="auto" w:fill="EAF3FC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106.74</w:t>
            </w:r>
          </w:p>
        </w:tc>
        <w:tc>
          <w:tcPr>
            <w:tcW w:w="1482" w:type="dxa"/>
            <w:shd w:val="clear" w:color="auto" w:fill="EAF3FC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97.08</w:t>
            </w:r>
          </w:p>
        </w:tc>
      </w:tr>
      <w:tr>
        <w:trPr>
          <w:cantSplit/>
        </w:trPr>
        <w:tc>
          <w:tcPr>
            <w:tcW w:w="687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− Resiliency overhead (Three-way mirror, 33.3% efficient)</w:t>
            </w:r>
          </w:p>
        </w:tc>
        <w:tc>
          <w:tcPr>
            <w:tcW w:w="139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-71.16</w:t>
            </w:r>
          </w:p>
        </w:tc>
        <w:tc>
          <w:tcPr>
            <w:tcW w:w="148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-64.72</w:t>
            </w:r>
          </w:p>
        </w:tc>
      </w:tr>
      <w:tr>
        <w:trPr>
          <w:cantSplit/>
        </w:trPr>
        <w:tc>
          <w:tcPr>
            <w:tcW w:w="6876" w:type="dxa"/>
            <w:shd w:val="clear" w:color="auto" w:fill="EAF3FC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= Usable capacity</w:t>
            </w:r>
          </w:p>
        </w:tc>
        <w:tc>
          <w:tcPr>
            <w:tcW w:w="1394" w:type="dxa"/>
            <w:shd w:val="clear" w:color="auto" w:fill="EAF3FC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35.58</w:t>
            </w:r>
          </w:p>
        </w:tc>
        <w:tc>
          <w:tcPr>
            <w:tcW w:w="1482" w:type="dxa"/>
            <w:shd w:val="clear" w:color="auto" w:fill="EAF3FC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32.36</w:t>
            </w:r>
          </w:p>
        </w:tc>
      </w:tr>
    </w:tbl>
    <w:p>
      <w:pPr>
        <w:spacing w:before="0" w:after="0"/>
      </w:pPr>
    </w:p>
    <w:p>
      <w:pPr>
        <w:pStyle w:val="Heading1"/>
      </w:pPr>
      <w:r>
        <w:t xml:space="preserve">Volume plan</w:t>
      </w:r>
    </w:p>
    <w:p>
      <w:r>
        <w:t xml:space="preserve">4 volume(s) × 8.89 TB (8.09 TiB), each with a pool footprint of 26.67 TB. Keep 15.36 TB unallocated as reserve.</w:t>
      </w:r>
    </w:p>
    <w:tbl>
      <w:tblPr>
        <w:tblW w:w="9752" w:type="dxa"/>
        <w:tblBorders>
          <w:top w:val="single" w:sz="4" w:space="0" w:color="E1E5EA"/>
          <w:left w:val="nil"/>
          <w:bottom w:val="single" w:sz="4" w:space="0" w:color="E1E5EA"/>
          <w:right w:val="nil"/>
          <w:insideH w:val="single" w:sz="4" w:space="0" w:color="E1E5EA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1146"/>
        <w:gridCol w:w="1160"/>
        <w:gridCol w:w="1289"/>
        <w:gridCol w:w="2062"/>
        <w:gridCol w:w="1804"/>
        <w:gridCol w:w="2291"/>
      </w:tblGrid>
      <w:tr>
        <w:trPr>
          <w:cantSplit/>
          <w:tblHeader/>
        </w:trPr>
        <w:tc>
          <w:tcPr>
            <w:tcW w:w="1146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Volume</w:t>
            </w:r>
          </w:p>
        </w:tc>
        <w:tc>
          <w:tcPr>
            <w:tcW w:w="1160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Size (TB)</w:t>
            </w:r>
          </w:p>
        </w:tc>
        <w:tc>
          <w:tcPr>
            <w:tcW w:w="1289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Size (TiB)</w:t>
            </w:r>
          </w:p>
        </w:tc>
        <w:tc>
          <w:tcPr>
            <w:tcW w:w="2062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New-Volume -Size</w:t>
            </w:r>
          </w:p>
        </w:tc>
        <w:tc>
          <w:tcPr>
            <w:tcW w:w="1804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Footprint (TB)</w:t>
            </w:r>
          </w:p>
        </w:tc>
        <w:tc>
          <w:tcPr>
            <w:tcW w:w="2291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Resiliency</w:t>
            </w:r>
          </w:p>
        </w:tc>
      </w:tr>
      <w:tr>
        <w:trPr>
          <w:cantSplit/>
        </w:trPr>
        <w:tc>
          <w:tcPr>
            <w:tcW w:w="114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Volume01</w:t>
            </w:r>
          </w:p>
        </w:tc>
        <w:tc>
          <w:tcPr>
            <w:tcW w:w="116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8.89</w:t>
            </w:r>
          </w:p>
        </w:tc>
        <w:tc>
          <w:tcPr>
            <w:tcW w:w="128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8.09</w:t>
            </w:r>
          </w:p>
        </w:tc>
        <w:tc>
          <w:tcPr>
            <w:tcW w:w="206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8279GB</w:t>
            </w:r>
          </w:p>
        </w:tc>
        <w:tc>
          <w:tcPr>
            <w:tcW w:w="180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26.67</w:t>
            </w:r>
          </w:p>
        </w:tc>
        <w:tc>
          <w:tcPr>
            <w:tcW w:w="229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Three-way mirror</w:t>
            </w:r>
          </w:p>
        </w:tc>
      </w:tr>
      <w:tr>
        <w:trPr>
          <w:cantSplit/>
        </w:trPr>
        <w:tc>
          <w:tcPr>
            <w:tcW w:w="114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Volume02</w:t>
            </w:r>
          </w:p>
        </w:tc>
        <w:tc>
          <w:tcPr>
            <w:tcW w:w="116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8.89</w:t>
            </w:r>
          </w:p>
        </w:tc>
        <w:tc>
          <w:tcPr>
            <w:tcW w:w="128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8.09</w:t>
            </w:r>
          </w:p>
        </w:tc>
        <w:tc>
          <w:tcPr>
            <w:tcW w:w="206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8279GB</w:t>
            </w:r>
          </w:p>
        </w:tc>
        <w:tc>
          <w:tcPr>
            <w:tcW w:w="180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26.67</w:t>
            </w:r>
          </w:p>
        </w:tc>
        <w:tc>
          <w:tcPr>
            <w:tcW w:w="229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Three-way mirror</w:t>
            </w:r>
          </w:p>
        </w:tc>
      </w:tr>
      <w:tr>
        <w:trPr>
          <w:cantSplit/>
        </w:trPr>
        <w:tc>
          <w:tcPr>
            <w:tcW w:w="114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Volume03</w:t>
            </w:r>
          </w:p>
        </w:tc>
        <w:tc>
          <w:tcPr>
            <w:tcW w:w="116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8.89</w:t>
            </w:r>
          </w:p>
        </w:tc>
        <w:tc>
          <w:tcPr>
            <w:tcW w:w="128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8.09</w:t>
            </w:r>
          </w:p>
        </w:tc>
        <w:tc>
          <w:tcPr>
            <w:tcW w:w="206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8279GB</w:t>
            </w:r>
          </w:p>
        </w:tc>
        <w:tc>
          <w:tcPr>
            <w:tcW w:w="180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26.67</w:t>
            </w:r>
          </w:p>
        </w:tc>
        <w:tc>
          <w:tcPr>
            <w:tcW w:w="229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Three-way mirror</w:t>
            </w:r>
          </w:p>
        </w:tc>
      </w:tr>
      <w:tr>
        <w:trPr>
          <w:cantSplit/>
        </w:trPr>
        <w:tc>
          <w:tcPr>
            <w:tcW w:w="1146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Volume04</w:t>
            </w:r>
          </w:p>
        </w:tc>
        <w:tc>
          <w:tcPr>
            <w:tcW w:w="116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8.89</w:t>
            </w:r>
          </w:p>
        </w:tc>
        <w:tc>
          <w:tcPr>
            <w:tcW w:w="128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8.09</w:t>
            </w:r>
          </w:p>
        </w:tc>
        <w:tc>
          <w:tcPr>
            <w:tcW w:w="206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8279GB</w:t>
            </w:r>
          </w:p>
        </w:tc>
        <w:tc>
          <w:tcPr>
            <w:tcW w:w="1804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26.67</w:t>
            </w:r>
          </w:p>
        </w:tc>
        <w:tc>
          <w:tcPr>
            <w:tcW w:w="2291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Three-way mirror</w:t>
            </w:r>
          </w:p>
        </w:tc>
      </w:tr>
    </w:tbl>
    <w:p>
      <w:pPr>
        <w:spacing w:before="0" w:after="0"/>
      </w:pP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# Volume plan generated by Niyyasoft Storage Sizer. Review before running on the cluster.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# Sizes use PowerShell binary units (1GB = 1 GiB = 1,073,741,824 bytes).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# Leave 15.36 TB (4 capacity drive(s)) unallocated as reserve for in-place repair.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# Azure Local: deployment already creates the infrastructure volume (never delete it) and, with the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# recommended option, thin-provisioned workload volumes. Remove or resize those workload volumes first,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# then create an Azure Local storage path for each new workload volume.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# Add -ProvisioningType Thin where supported to create thin-provisioned volumes.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 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New-Volume -StoragePoolFriendlyName S2D* -FriendlyName "Volume01" -FileSystem CSVFS_ReFS -ResiliencySettingName Mirror -PhysicalDiskRedundancy 2 -Size 8279GB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New-Volume -StoragePoolFriendlyName S2D* -FriendlyName "Volume02" -FileSystem CSVFS_ReFS -ResiliencySettingName Mirror -PhysicalDiskRedundancy 2 -Size 8279GB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New-Volume -StoragePoolFriendlyName S2D* -FriendlyName "Volume03" -FileSystem CSVFS_ReFS -ResiliencySettingName Mirror -PhysicalDiskRedundancy 2 -Size 8279GB</w:t>
      </w:r>
    </w:p>
    <w:p>
      <w:pPr>
        <w:shd w:val="clear" w:color="auto" w:fill="F3F5F8"/>
        <w:spacing w:after="0"/>
      </w:pPr>
      <w:r>
        <w:rPr>
          <w:rFonts w:ascii="Consolas" w:hAnsi="Consolas" w:cs="Consolas"/>
          <w:sz w:val="15"/>
          <w:szCs w:val="15"/>
        </w:rPr>
        <w:t xml:space="preserve">New-Volume -StoragePoolFriendlyName S2D* -FriendlyName "Volume04" -FileSystem CSVFS_ReFS -ResiliencySettingName Mirror -PhysicalDiskRedundancy 2 -Size 8279GB</w:t>
      </w:r>
    </w:p>
    <w:p>
      <w:pPr>
        <w:spacing w:before="0" w:after="0"/>
      </w:pPr>
    </w:p>
    <w:p>
      <w:pPr>
        <w:pStyle w:val="Heading1"/>
      </w:pPr>
      <w:r>
        <w:t xml:space="preserve">Resiliency comparison (same hardware)</w:t>
      </w:r>
    </w:p>
    <w:tbl>
      <w:tblPr>
        <w:tblW w:w="9752" w:type="dxa"/>
        <w:tblBorders>
          <w:top w:val="single" w:sz="4" w:space="0" w:color="E1E5EA"/>
          <w:left w:val="nil"/>
          <w:bottom w:val="single" w:sz="4" w:space="0" w:color="E1E5EA"/>
          <w:right w:val="nil"/>
          <w:insideH w:val="single" w:sz="4" w:space="0" w:color="E1E5EA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1592"/>
        <w:gridCol w:w="625"/>
        <w:gridCol w:w="422"/>
        <w:gridCol w:w="2424"/>
        <w:gridCol w:w="4689"/>
      </w:tblGrid>
      <w:tr>
        <w:trPr>
          <w:cantSplit/>
          <w:tblHeader/>
        </w:trPr>
        <w:tc>
          <w:tcPr>
            <w:tcW w:w="1592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Resiliency</w:t>
            </w:r>
          </w:p>
        </w:tc>
        <w:tc>
          <w:tcPr>
            <w:tcW w:w="625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Efficiency</w:t>
            </w:r>
          </w:p>
        </w:tc>
        <w:tc>
          <w:tcPr>
            <w:tcW w:w="422" w:type="dxa"/>
            <w:shd w:val="clear" w:color="auto" w:fill="1B2A41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Usable TB</w:t>
            </w:r>
          </w:p>
        </w:tc>
        <w:tc>
          <w:tcPr>
            <w:tcW w:w="2424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Fault tolerance</w:t>
            </w:r>
          </w:p>
        </w:tc>
        <w:tc>
          <w:tcPr>
            <w:tcW w:w="4689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Microsoft guidance / reason</w:t>
            </w:r>
          </w:p>
        </w:tc>
      </w:tr>
      <w:tr>
        <w:trPr>
          <w:cantSplit/>
        </w:trPr>
        <w:tc>
          <w:tcPr>
            <w:tcW w:w="1592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Two-way mirror</w:t>
            </w:r>
          </w:p>
        </w:tc>
        <w:tc>
          <w:tcPr>
            <w:tcW w:w="62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50.0%</w:t>
            </w:r>
          </w:p>
        </w:tc>
        <w:tc>
          <w:tcPr>
            <w:tcW w:w="42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53.37</w:t>
            </w:r>
          </w:p>
        </w:tc>
        <w:tc>
          <w:tcPr>
            <w:tcW w:w="2424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1 failure (a drive or a server)</w:t>
            </w:r>
          </w:p>
        </w:tc>
        <w:tc>
          <w:tcPr>
            <w:tcW w:w="468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Not recommended with more than two servers — use three-way mirror.</w:t>
            </w:r>
          </w:p>
        </w:tc>
      </w:tr>
      <w:tr>
        <w:trPr>
          <w:cantSplit/>
        </w:trPr>
        <w:tc>
          <w:tcPr>
            <w:tcW w:w="1592" w:type="dxa"/>
            <w:shd w:val="clear" w:color="auto" w:fill="EAF3FC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Three-way mirror (selected)</w:t>
            </w:r>
          </w:p>
        </w:tc>
        <w:tc>
          <w:tcPr>
            <w:tcW w:w="625" w:type="dxa"/>
            <w:shd w:val="clear" w:color="auto" w:fill="EAF3FC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33.3%</w:t>
            </w:r>
          </w:p>
        </w:tc>
        <w:tc>
          <w:tcPr>
            <w:tcW w:w="422" w:type="dxa"/>
            <w:shd w:val="clear" w:color="auto" w:fill="EAF3FC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35.58</w:t>
            </w:r>
          </w:p>
        </w:tc>
        <w:tc>
          <w:tcPr>
            <w:tcW w:w="2424" w:type="dxa"/>
            <w:shd w:val="clear" w:color="auto" w:fill="EAF3FC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 simultaneous failures (drives and/or fault domains)</w:t>
            </w:r>
          </w:p>
        </w:tc>
        <w:tc>
          <w:tcPr>
            <w:tcW w:w="4689" w:type="dxa"/>
            <w:shd w:val="clear" w:color="auto" w:fill="EAF3FC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Highest performance; recommended for performance-sensitive workloads.</w:t>
            </w:r>
          </w:p>
        </w:tc>
      </w:tr>
      <w:tr>
        <w:trPr>
          <w:cantSplit/>
        </w:trPr>
        <w:tc>
          <w:tcPr>
            <w:tcW w:w="1592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Dual parity</w:t>
            </w:r>
          </w:p>
        </w:tc>
        <w:tc>
          <w:tcPr>
            <w:tcW w:w="62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50.0%</w:t>
            </w:r>
          </w:p>
        </w:tc>
        <w:tc>
          <w:tcPr>
            <w:tcW w:w="42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53.37</w:t>
            </w:r>
          </w:p>
        </w:tc>
        <w:tc>
          <w:tcPr>
            <w:tcW w:w="2424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 simultaneous failures (drives and/or fault domains)</w:t>
            </w:r>
          </w:p>
        </w:tc>
        <w:tc>
          <w:tcPr>
            <w:tcW w:w="468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Best capacity efficiency; highest write latency and CPU use. For cold/infrequently written data.</w:t>
            </w:r>
          </w:p>
        </w:tc>
      </w:tr>
      <w:tr>
        <w:trPr>
          <w:cantSplit/>
        </w:trPr>
        <w:tc>
          <w:tcPr>
            <w:tcW w:w="1592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Mirror-accelerated parity</w:t>
            </w:r>
          </w:p>
        </w:tc>
        <w:tc>
          <w:tcPr>
            <w:tcW w:w="62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45.5%</w:t>
            </w:r>
          </w:p>
        </w:tc>
        <w:tc>
          <w:tcPr>
            <w:tcW w:w="42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48.52</w:t>
            </w:r>
          </w:p>
        </w:tc>
        <w:tc>
          <w:tcPr>
            <w:tcW w:w="2424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 simultaneous failures (drives and/or fault domains)</w:t>
            </w:r>
          </w:p>
        </w:tc>
        <w:tc>
          <w:tcPr>
            <w:tcW w:w="468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For large sequential writes (backup, archive). Up to 2x faster than dual parity.</w:t>
            </w:r>
          </w:p>
        </w:tc>
      </w:tr>
      <w:tr>
        <w:trPr>
          <w:cantSplit/>
        </w:trPr>
        <w:tc>
          <w:tcPr>
            <w:tcW w:w="1592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Nested two-way mirror</w:t>
            </w:r>
          </w:p>
        </w:tc>
        <w:tc>
          <w:tcPr>
            <w:tcW w:w="62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—</w:t>
            </w:r>
          </w:p>
        </w:tc>
        <w:tc>
          <w:tcPr>
            <w:tcW w:w="42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—</w:t>
            </w:r>
          </w:p>
        </w:tc>
        <w:tc>
          <w:tcPr>
            <w:tcW w:w="2424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—</w:t>
            </w:r>
          </w:p>
        </w:tc>
        <w:tc>
          <w:tcPr>
            <w:tcW w:w="468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Nested resiliency can only be used on clusters with exactly two servers.</w:t>
            </w:r>
          </w:p>
        </w:tc>
      </w:tr>
      <w:tr>
        <w:trPr>
          <w:cantSplit/>
        </w:trPr>
        <w:tc>
          <w:tcPr>
            <w:tcW w:w="1592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Nested mirror-accelerated parity</w:t>
            </w:r>
          </w:p>
        </w:tc>
        <w:tc>
          <w:tcPr>
            <w:tcW w:w="62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—</w:t>
            </w:r>
          </w:p>
        </w:tc>
        <w:tc>
          <w:tcPr>
            <w:tcW w:w="42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—</w:t>
            </w:r>
          </w:p>
        </w:tc>
        <w:tc>
          <w:tcPr>
            <w:tcW w:w="2424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—</w:t>
            </w:r>
          </w:p>
        </w:tc>
        <w:tc>
          <w:tcPr>
            <w:tcW w:w="468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Nested resiliency can only be used on clusters with exactly two servers.</w:t>
            </w:r>
          </w:p>
        </w:tc>
      </w:tr>
      <w:tr>
        <w:trPr>
          <w:cantSplit/>
        </w:trPr>
        <w:tc>
          <w:tcPr>
            <w:tcW w:w="1592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Single parity</w:t>
            </w:r>
          </w:p>
        </w:tc>
        <w:tc>
          <w:tcPr>
            <w:tcW w:w="62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66.7%</w:t>
            </w:r>
          </w:p>
        </w:tc>
        <w:tc>
          <w:tcPr>
            <w:tcW w:w="42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7"/>
                <w:szCs w:val="17"/>
              </w:rPr>
              <w:t xml:space="preserve">71.16</w:t>
            </w:r>
          </w:p>
        </w:tc>
        <w:tc>
          <w:tcPr>
            <w:tcW w:w="2424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1 failure (a drive or a fault domain)</w:t>
            </w:r>
          </w:p>
        </w:tc>
        <w:tc>
          <w:tcPr>
            <w:tcW w:w="468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Supported but discouraged: only one failure at a time. Prefer three-way mirror (3 servers) or dual parity (4+).</w:t>
            </w:r>
          </w:p>
        </w:tc>
      </w:tr>
    </w:tbl>
    <w:p>
      <w:pPr>
        <w:spacing w:before="0" w:after="0"/>
      </w:pPr>
    </w:p>
    <w:p>
      <w:pPr>
        <w:pStyle w:val="Heading1"/>
      </w:pPr>
      <w:r>
        <w:t xml:space="preserve">Validation</w:t>
      </w:r>
    </w:p>
    <w:tbl>
      <w:tblPr>
        <w:tblW w:w="9752" w:type="dxa"/>
        <w:tblBorders>
          <w:top w:val="single" w:sz="4" w:space="0" w:color="E1E5EA"/>
          <w:left w:val="nil"/>
          <w:bottom w:val="single" w:sz="4" w:space="0" w:color="E1E5EA"/>
          <w:right w:val="nil"/>
          <w:insideH w:val="single" w:sz="4" w:space="0" w:color="E1E5EA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70"/>
        <w:gridCol w:w="1283"/>
        <w:gridCol w:w="7699"/>
      </w:tblGrid>
      <w:tr>
        <w:trPr>
          <w:cantSplit/>
          <w:tblHeader/>
        </w:trPr>
        <w:tc>
          <w:tcPr>
            <w:tcW w:w="770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Result</w:t>
            </w:r>
          </w:p>
        </w:tc>
        <w:tc>
          <w:tcPr>
            <w:tcW w:w="1283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Area</w:t>
            </w:r>
          </w:p>
        </w:tc>
        <w:tc>
          <w:tcPr>
            <w:tcW w:w="7699" w:type="dxa"/>
            <w:shd w:val="clear" w:color="auto" w:fill="1B2A41"/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Finding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0F6CB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Info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Drive symmetry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Sizing assumes identical servers. Required: same drive types and count in every server. Recommended: same models and sizes. With mixed sizes, assume only capacity available in every server is usable (stranded capacity).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0F6CB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Info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System volumes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250 GB infrastructure + 10 GB performance history volume, three-way mirror: 780 GB pool footprint.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0F6CB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Info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Units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Capacities are decimal TB (as sold). Windows reports binary TiB: a 2 TB drive shows as 1.82 TiB. This is expected.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0F6CB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Info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Operations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Azure Local deployment creates the infrastructure volume and (recommended option) at least one thin-provisioned workload volume per machine. Size for volume footprint; Azure Local alerts when the storage pool reaches 70%.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107C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Pass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Servers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4 server(s) is within the supported range (1–16).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107C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Pass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Capacity drives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8 capacity drives per server meets the minimum of 2.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107C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Pass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Limits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Raw capacity per server 30.7 TB is within the 400 TB maximum.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107C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Pass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Limits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Pool capacity 122.9 TB is within the 4,000 TB maximum per pool.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107C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Pass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Resiliency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Three-way mirror is valid with 4 fault domain(s): 33.3% efficiency, tolerates 2 simultaneous failures (drives and/or fault domains).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107C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Pass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Reserve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4 × 3.84 TB = 15.36 TB left unallocated for in-place repair (1 capacity drive per server, up to 4).</w:t>
            </w:r>
          </w:p>
        </w:tc>
      </w:tr>
      <w:tr>
        <w:trPr>
          <w:cantSplit/>
        </w:trPr>
        <w:tc>
          <w:tcPr>
            <w:tcW w:w="770" w:type="dxa"/>
            <w:shd w:val="clear" w:color="auto" w:fill="107C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Pass</w:t>
            </w:r>
          </w:p>
        </w:tc>
        <w:tc>
          <w:tcPr>
            <w:tcW w:w="1283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Volumes</w:t>
            </w:r>
          </w:p>
        </w:tc>
        <w:tc>
          <w:tcPr>
            <w:tcW w:w="7699" w:type="dxa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4 volume(s) of 8.89 TB: a multiple of the server count, each ≤ 64 TB, ≤ 64 volumes per cluster.</w:t>
            </w:r>
          </w:p>
        </w:tc>
      </w:tr>
    </w:tbl>
    <w:p>
      <w:pPr>
        <w:spacing w:before="0" w:after="0"/>
      </w:pPr>
    </w:p>
    <w:p>
      <w:pPr>
        <w:pStyle w:val="Heading1"/>
      </w:pPr>
      <w:r>
        <w:t xml:space="preserve">Methodology &amp; sources</w:t>
      </w:r>
    </w:p>
    <w:p>
      <w:r>
        <w:t xml:space="preserve">Every rule comes from Microsoft Learn documentation for Storage Spaces Direct, the storage layer of Azure Local and Windows Server clusters.</w:t>
      </w:r>
    </w:p>
    <w:p>
      <w:pPr>
        <w:spacing w:after="40"/>
        <w:ind w:left="360" w:hanging="360"/>
      </w:pPr>
      <w:r>
        <w:t xml:space="preserve">•</w:t>
        <w:tab/>
        <w:t xml:space="preserve">Plan volumes (reserve, footprint, volume count and size) — https://learn.microsoft.com/windows-server/storage/storage-spaces/plan-volumes</w:t>
      </w:r>
    </w:p>
    <w:p>
      <w:pPr>
        <w:spacing w:after="40"/>
        <w:ind w:left="360" w:hanging="360"/>
      </w:pPr>
      <w:r>
        <w:t xml:space="preserve">•</w:t>
        <w:tab/>
        <w:t xml:space="preserve">Fault tolerance and storage efficiency — https://learn.microsoft.com/windows-server/storage/storage-spaces/fault-tolerance</w:t>
      </w:r>
    </w:p>
    <w:p>
      <w:pPr>
        <w:spacing w:after="40"/>
        <w:ind w:left="360" w:hanging="360"/>
      </w:pPr>
      <w:r>
        <w:t xml:space="preserve">•</w:t>
        <w:tab/>
        <w:t xml:space="preserve">Nested resiliency — https://learn.microsoft.com/windows-server/storage/storage-spaces/nested-resiliency</w:t>
      </w:r>
    </w:p>
    <w:p>
      <w:pPr>
        <w:spacing w:after="40"/>
        <w:ind w:left="360" w:hanging="360"/>
      </w:pPr>
      <w:r>
        <w:t xml:space="preserve">•</w:t>
        <w:tab/>
        <w:t xml:space="preserve">Understanding the storage pool cache — https://learn.microsoft.com/windows-server/storage/storage-spaces/cache</w:t>
      </w:r>
    </w:p>
    <w:p>
      <w:pPr>
        <w:spacing w:after="40"/>
        <w:ind w:left="360" w:hanging="360"/>
      </w:pPr>
      <w:r>
        <w:t xml:space="preserve">•</w:t>
        <w:tab/>
        <w:t xml:space="preserve">Choose drives — https://learn.microsoft.com/windows-server/storage/storage-spaces/choose-drives</w:t>
      </w:r>
    </w:p>
    <w:p>
      <w:pPr>
        <w:spacing w:after="40"/>
        <w:ind w:left="360" w:hanging="360"/>
      </w:pPr>
      <w:r>
        <w:t xml:space="preserve">•</w:t>
        <w:tab/>
        <w:t xml:space="preserve">Drive symmetry considerations — https://learn.microsoft.com/windows-server/storage/storage-spaces/drive-symmetry-considerations</w:t>
      </w:r>
    </w:p>
    <w:p>
      <w:pPr>
        <w:spacing w:after="40"/>
        <w:ind w:left="360" w:hanging="360"/>
      </w:pPr>
      <w:r>
        <w:t xml:space="preserve">•</w:t>
        <w:tab/>
        <w:t xml:space="preserve">Storage Spaces Direct hardware requirements — https://learn.microsoft.com/windows-server/storage/storage-spaces/storage-spaces-direct-hardware-requirements</w:t>
      </w:r>
    </w:p>
    <w:p>
      <w:pPr>
        <w:spacing w:after="40"/>
        <w:ind w:left="360" w:hanging="360"/>
      </w:pPr>
      <w:r>
        <w:t xml:space="preserve">•</w:t>
        <w:tab/>
        <w:t xml:space="preserve">Azure Local system requirements — https://learn.microsoft.com/azure/azure-local/concepts/system-requirements-23h2</w:t>
      </w:r>
    </w:p>
    <w:p>
      <w:pPr>
        <w:spacing w:after="40"/>
        <w:ind w:left="360" w:hanging="360"/>
      </w:pPr>
      <w:r>
        <w:t xml:space="preserve">•</w:t>
        <w:tab/>
        <w:t xml:space="preserve">Azure Local deployment (volumes created) — https://learn.microsoft.com/azure/azure-local/deploy/deploy-via-portal</w:t>
      </w:r>
    </w:p>
    <w:p>
      <w:pPr>
        <w:spacing w:before="240"/>
      </w:pPr>
      <w:r>
        <w:rPr>
          <w:color w:val="5B6675"/>
          <w:sz w:val="15"/>
          <w:szCs w:val="15"/>
        </w:rPr>
        <w:t xml:space="preserve">Calculated with Microsoft's published Storage Spaces Direct sizing rules (Microsoft Learn). Niyyasoft isn't affiliated with Microsoft. Confirm the final hardware with your solution provider.</w:t>
      </w:r>
    </w:p>
    <w:sectPr>
      <w:headerReference w:type="default" r:id="rIdHeader"/>
      <w:footerReference w:type="default" r:id="rIdFooter"/>
      <w:pgSz w:w="11906" w:h="16838"/>
      <w:pgMar w:top="1077" w:right="1077" w:bottom="1077" w:left="1077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</w:pPr>
    <w:r>
      <w:rPr>
        <w:color w:val="5B6675"/>
        <w:sz w:val="15"/>
        <w:szCs w:val="15"/>
      </w:rPr>
      <w:t xml:space="preserve">Niyyasoft · Azure Local — Storage Sizing Report · Page </w:t>
    </w:r>
    <w:fldSimple w:instr=" PAGE ">
      <w:r>
        <w:rPr>
          <w:color w:val="5B6675"/>
          <w:sz w:val="15"/>
          <w:szCs w:val="15"/>
        </w:rPr>
        <w:t>1</w:t>
      </w:r>
    </w:fldSimple>
    <w:r>
      <w:rPr>
        <w:color w:val="5B6675"/>
        <w:sz w:val="15"/>
        <w:szCs w:val="15"/>
      </w:rPr>
      <w:t xml:space="preserve"> of </w:t>
    </w:r>
    <w:fldSimple w:instr=" NUMPAGES ">
      <w:r>
        <w:rPr>
          <w:color w:val="5B6675"/>
          <w:sz w:val="15"/>
          <w:szCs w:val="15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bottom w:val="single" w:sz="4" w:space="4" w:color="E1E5EA"/>
      </w:pBdr>
      <w:tabs>
        <w:tab w:val="right" w:pos="9752"/>
      </w:tabs>
    </w:pPr>
    <w:r>
      <w:rPr>
        <w:b/>
        <w:bCs/>
        <w:color w:val="0F6CBD"/>
        <w:sz w:val="16"/>
        <w:szCs w:val="16"/>
      </w:rPr>
      <w:t xml:space="preserve">NIYYASOFT</w:t>
    </w:r>
    <w:r>
      <w:tab/>
    </w:r>
    <w:r>
      <w:rPr>
        <w:color w:val="5B6675"/>
        <w:sz w:val="16"/>
        <w:szCs w:val="16"/>
      </w:rPr>
      <w:t xml:space="preserve">Storage Sizer for Azure Local &amp; S2D</w:t>
    </w:r>
  </w:p>
</w:hdr>
</file>

<file path=word/styles.xml><?xml version="1.0" encoding="utf-8"?>
<w:styles xmlns:w="http://schemas.openxmlformats.org/wordprocessingml/2006/main">
  <w:docDefaults>
    <w:rPrDefault>
      <w:rPr>
        <w:rFonts w:ascii="Segoe UI" w:hAnsi="Segoe UI" w:eastAsia="Segoe UI" w:cs="Segoe UI"/>
        <w:sz w:val="19"/>
        <w:szCs w:val="19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bCs/>
      <w:color w:val="1B2A41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bCs/>
      <w:color w:val="0F3D6E"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Header" Type="http://schemas.openxmlformats.org/officeDocument/2006/relationships/header" Target="header1.xml"/><Relationship Id="rIdFooter" Type="http://schemas.openxmlformats.org/officeDocument/2006/relationships/footer" Target="footer1.xml"/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Niyyasoft Storage Sizer</Application>
  <Company>Niyyasoft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Azure Local — Storage Sizing Report</dc:title>
  <dc:creator>Niyyasoft</dc:creator>
  <cp:lastModifiedBy>Niyyasoft</cp:lastModifiedBy>
  <dcterms:created xsi:type="dcterms:W3CDTF">2026-09-20T19:34:00Z</dcterms:created>
  <dcterms:modified xsi:type="dcterms:W3CDTF">2026-09-20T19:34:00Z</dcterms:modified>
</cp:coreProperties>
</file>