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BsztTitle"/>
      </w:pPr>
      <w:r>
        <w:t xml:space="preserve">Backup Storage Sizing Report</w:t>
      </w:r>
    </w:p>
    <w:p>
      <w:pPr>
        <w:pStyle w:val="BsztSubtitle"/>
      </w:pPr>
      <w:r>
        <w:t xml:space="preserve">Niyyasoft  |  Veeam Backup &amp; Replication  |  2026-09-20</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CellMar>
          <w:top w:w="60" w:type="dxa"/>
          <w:left w:w="90" w:type="dxa"/>
          <w:bottom w:w="60" w:type="dxa"/>
          <w:right w:w="90" w:type="dxa"/>
        </w:tblCellMar>
      </w:tblPr>
      <w:tblGrid>
        <w:gridCol w:w="2891"/>
        <w:gridCol w:w="6746"/>
      </w:tblGrid>
      <w:tr>
        <w:trPr>
          <w:tblHeader/>
        </w:trPr>
        <w:tc>
          <w:tcPr>
            <w:tcW w:w="2891" w:type="dxa"/>
            <w:shd w:val="clear" w:color="auto" w:fill="1F3864"/>
          </w:tcPr>
          <w:p>
            <w:pPr>
              <w:spacing w:before="20" w:after="20"/>
            </w:pPr>
            <w:r>
              <w:rPr>
                <w:b/>
                <w:color w:val="FFFFFF"/>
                <w:sz w:val="18"/>
              </w:rPr>
              <w:t xml:space="preserve">Field</w:t>
            </w:r>
          </w:p>
        </w:tc>
        <w:tc>
          <w:tcPr>
            <w:tcW w:w="6746" w:type="dxa"/>
            <w:shd w:val="clear" w:color="auto" w:fill="1F3864"/>
          </w:tcPr>
          <w:p>
            <w:pPr>
              <w:spacing w:before="20" w:after="20"/>
            </w:pPr>
            <w:r>
              <w:rPr>
                <w:b/>
                <w:color w:val="FFFFFF"/>
                <w:sz w:val="18"/>
              </w:rPr>
              <w:t xml:space="preserve">Value</w:t>
            </w:r>
          </w:p>
        </w:tc>
      </w:tr>
      <w:tr>
        <w:tc>
          <w:tcPr>
            <w:tcW w:w="2891" w:type="dxa"/>
          </w:tcPr>
          <w:p>
            <w:pPr>
              <w:spacing w:before="20" w:after="20"/>
            </w:pPr>
            <w:r>
              <w:rPr>
                <w:sz w:val="18"/>
              </w:rPr>
              <w:t xml:space="preserve">Project</w:t>
            </w:r>
          </w:p>
        </w:tc>
        <w:tc>
          <w:tcPr>
            <w:tcW w:w="6746" w:type="dxa"/>
          </w:tcPr>
          <w:p>
            <w:pPr>
              <w:spacing w:before="20" w:after="20"/>
            </w:pPr>
            <w:r>
              <w:rPr>
                <w:sz w:val="18"/>
              </w:rPr>
              <w:t xml:space="preserve">Backup storage sizing - production estate</w:t>
            </w:r>
          </w:p>
        </w:tc>
      </w:tr>
      <w:tr>
        <w:tc>
          <w:tcPr>
            <w:tcW w:w="2891" w:type="dxa"/>
            <w:shd w:val="clear" w:color="auto" w:fill="F2F5FA"/>
          </w:tcPr>
          <w:p>
            <w:pPr>
              <w:spacing w:before="20" w:after="20"/>
            </w:pPr>
            <w:r>
              <w:rPr>
                <w:sz w:val="18"/>
              </w:rPr>
              <w:t xml:space="preserve">Customer</w:t>
            </w:r>
          </w:p>
        </w:tc>
        <w:tc>
          <w:tcPr>
            <w:tcW w:w="6746" w:type="dxa"/>
            <w:shd w:val="clear" w:color="auto" w:fill="F2F5FA"/>
          </w:tcPr>
          <w:p>
            <w:pPr>
              <w:spacing w:before="20" w:after="20"/>
            </w:pPr>
            <w:r>
              <w:rPr>
                <w:sz w:val="18"/>
              </w:rPr>
              <w:t xml:space="preserve">Niyyasoft</w:t>
            </w:r>
          </w:p>
        </w:tc>
      </w:tr>
      <w:tr>
        <w:tc>
          <w:tcPr>
            <w:tcW w:w="2891" w:type="dxa"/>
          </w:tcPr>
          <w:p>
            <w:pPr>
              <w:spacing w:before="20" w:after="20"/>
            </w:pPr>
            <w:r>
              <w:rPr>
                <w:sz w:val="18"/>
              </w:rPr>
              <w:t xml:space="preserve">Prepared by</w:t>
            </w:r>
          </w:p>
        </w:tc>
        <w:tc>
          <w:tcPr>
            <w:tcW w:w="6746" w:type="dxa"/>
          </w:tcPr>
          <w:p>
            <w:pPr>
              <w:spacing w:before="20" w:after="20"/>
            </w:pPr>
            <w:r>
              <w:rPr>
                <w:sz w:val="18"/>
              </w:rPr>
              <w:t xml:space="preserve">Niyyasoft</w:t>
            </w:r>
          </w:p>
        </w:tc>
      </w:tr>
      <w:tr>
        <w:tc>
          <w:tcPr>
            <w:tcW w:w="2891" w:type="dxa"/>
            <w:shd w:val="clear" w:color="auto" w:fill="F2F5FA"/>
          </w:tcPr>
          <w:p>
            <w:pPr>
              <w:spacing w:before="20" w:after="20"/>
            </w:pPr>
            <w:r>
              <w:rPr>
                <w:sz w:val="18"/>
              </w:rPr>
              <w:t xml:space="preserve">Date</w:t>
            </w:r>
          </w:p>
        </w:tc>
        <w:tc>
          <w:tcPr>
            <w:tcW w:w="6746" w:type="dxa"/>
            <w:shd w:val="clear" w:color="auto" w:fill="F2F5FA"/>
          </w:tcPr>
          <w:p>
            <w:pPr>
              <w:spacing w:before="20" w:after="20"/>
            </w:pPr>
            <w:r>
              <w:rPr>
                <w:sz w:val="18"/>
              </w:rPr>
              <w:t xml:space="preserve">2026-09-20</w:t>
            </w:r>
          </w:p>
        </w:tc>
      </w:tr>
      <w:tr>
        <w:tc>
          <w:tcPr>
            <w:tcW w:w="2891" w:type="dxa"/>
          </w:tcPr>
          <w:p>
            <w:pPr>
              <w:spacing w:before="20" w:after="20"/>
            </w:pPr>
            <w:r>
              <w:rPr>
                <w:sz w:val="18"/>
              </w:rPr>
              <w:t xml:space="preserve">Backup platform</w:t>
            </w:r>
          </w:p>
        </w:tc>
        <w:tc>
          <w:tcPr>
            <w:tcW w:w="6746" w:type="dxa"/>
          </w:tcPr>
          <w:p>
            <w:pPr>
              <w:spacing w:before="20" w:after="20"/>
            </w:pPr>
            <w:r>
              <w:rPr>
                <w:sz w:val="18"/>
              </w:rPr>
              <w:t xml:space="preserve">Veeam Backup &amp; Replication</w:t>
            </w:r>
          </w:p>
        </w:tc>
      </w:tr>
      <w:tr>
        <w:tc>
          <w:tcPr>
            <w:tcW w:w="2891" w:type="dxa"/>
            <w:shd w:val="clear" w:color="auto" w:fill="F2F5FA"/>
          </w:tcPr>
          <w:p>
            <w:pPr>
              <w:spacing w:before="20" w:after="20"/>
            </w:pPr>
            <w:r>
              <w:rPr>
                <w:sz w:val="18"/>
              </w:rPr>
              <w:t xml:space="preserve">Backup mode</w:t>
            </w:r>
          </w:p>
        </w:tc>
        <w:tc>
          <w:tcPr>
            <w:tcW w:w="6746" w:type="dxa"/>
            <w:shd w:val="clear" w:color="auto" w:fill="F2F5FA"/>
          </w:tcPr>
          <w:p>
            <w:pPr>
              <w:spacing w:before="20" w:after="20"/>
            </w:pPr>
            <w:r>
              <w:rPr>
                <w:sz w:val="18"/>
              </w:rPr>
              <w:t xml:space="preserve">Forever forward incremental</w:t>
            </w:r>
          </w:p>
        </w:tc>
      </w:tr>
      <w:tr>
        <w:tc>
          <w:tcPr>
            <w:tcW w:w="2891" w:type="dxa"/>
          </w:tcPr>
          <w:p>
            <w:pPr>
              <w:spacing w:before="20" w:after="20"/>
            </w:pPr>
            <w:r>
              <w:rPr>
                <w:sz w:val="18"/>
              </w:rPr>
              <w:t xml:space="preserve">Planning horizon</w:t>
            </w:r>
          </w:p>
        </w:tc>
        <w:tc>
          <w:tcPr>
            <w:tcW w:w="6746" w:type="dxa"/>
          </w:tcPr>
          <w:p>
            <w:pPr>
              <w:spacing w:before="20" w:after="20"/>
            </w:pPr>
            <w:r>
              <w:rPr>
                <w:sz w:val="18"/>
              </w:rPr>
              <w:t xml:space="preserve">3 year(s)</w:t>
            </w:r>
          </w:p>
        </w:tc>
      </w:tr>
      <w:tr>
        <w:tc>
          <w:tcPr>
            <w:tcW w:w="2891" w:type="dxa"/>
            <w:shd w:val="clear" w:color="auto" w:fill="F2F5FA"/>
          </w:tcPr>
          <w:p>
            <w:pPr>
              <w:spacing w:before="20" w:after="20"/>
            </w:pPr>
            <w:r>
              <w:rPr>
                <w:sz w:val="18"/>
              </w:rPr>
              <w:t xml:space="preserve">Generated</w:t>
            </w:r>
          </w:p>
        </w:tc>
        <w:tc>
          <w:tcPr>
            <w:tcW w:w="6746" w:type="dxa"/>
            <w:shd w:val="clear" w:color="auto" w:fill="F2F5FA"/>
          </w:tcPr>
          <w:p>
            <w:pPr>
              <w:spacing w:before="20" w:after="20"/>
            </w:pPr>
            <w:r>
              <w:rPr>
                <w:sz w:val="18"/>
              </w:rPr>
              <w:t xml:space="preserve">2026-09-20 22:32 by Niyya Software BSZT</w:t>
            </w:r>
          </w:p>
        </w:tc>
      </w:tr>
    </w:tbl>
    <w:p>
      <w:pPr>
        <w:spacing w:after="80"/>
      </w:pPr>
    </w:p>
    <w:p>
      <w:pPr>
        <w:pStyle w:val="Heading1"/>
      </w:pPr>
      <w:r>
        <w:t xml:space="preserve">1. Executive summary</w:t>
      </w:r>
    </w:p>
    <w:p>
      <w:r>
        <w:t xml:space="preserve">This report sizes the backup storage required to protect 160.0 TB of front-end data with Veeam Backup &amp; Replication, using Forever forward incremental. Allowing for 11.5% compound annual growth over a 3-year horizon, the protected estate reaches 222.0 TB. With the stated retention policy and overheads, the primary backup repository needs 1,487.4 TB of usable capacity, equivalent to 1,784.9 TB raw on RAID 6 / DP (n-2).</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CellMar>
          <w:top w:w="60" w:type="dxa"/>
          <w:left w:w="90" w:type="dxa"/>
          <w:bottom w:w="60" w:type="dxa"/>
          <w:right w:w="90" w:type="dxa"/>
        </w:tblCellMar>
      </w:tblPr>
      <w:tblGrid>
        <w:gridCol w:w="5300"/>
        <w:gridCol w:w="4337"/>
      </w:tblGrid>
      <w:tr>
        <w:trPr>
          <w:tblHeader/>
        </w:trPr>
        <w:tc>
          <w:tcPr>
            <w:tcW w:w="5300" w:type="dxa"/>
            <w:shd w:val="clear" w:color="auto" w:fill="1F3864"/>
          </w:tcPr>
          <w:p>
            <w:pPr>
              <w:spacing w:before="20" w:after="20"/>
            </w:pPr>
            <w:r>
              <w:rPr>
                <w:b/>
                <w:color w:val="FFFFFF"/>
                <w:sz w:val="18"/>
              </w:rPr>
              <w:t xml:space="preserve">Metric</w:t>
            </w:r>
          </w:p>
        </w:tc>
        <w:tc>
          <w:tcPr>
            <w:tcW w:w="4337" w:type="dxa"/>
            <w:shd w:val="clear" w:color="auto" w:fill="1F3864"/>
          </w:tcPr>
          <w:p>
            <w:pPr>
              <w:spacing w:before="20" w:after="20"/>
            </w:pPr>
            <w:r>
              <w:rPr>
                <w:b/>
                <w:color w:val="FFFFFF"/>
                <w:sz w:val="18"/>
              </w:rPr>
              <w:t xml:space="preserve">Result</w:t>
            </w:r>
          </w:p>
        </w:tc>
      </w:tr>
      <w:tr>
        <w:tc>
          <w:tcPr>
            <w:tcW w:w="5300" w:type="dxa"/>
          </w:tcPr>
          <w:p>
            <w:pPr>
              <w:spacing w:before="20" w:after="20"/>
            </w:pPr>
            <w:r>
              <w:rPr>
                <w:sz w:val="18"/>
              </w:rPr>
              <w:t xml:space="preserve">Front-end data (today)</w:t>
            </w:r>
          </w:p>
        </w:tc>
        <w:tc>
          <w:tcPr>
            <w:tcW w:w="4337" w:type="dxa"/>
          </w:tcPr>
          <w:p>
            <w:pPr>
              <w:spacing w:before="20" w:after="20"/>
            </w:pPr>
            <w:r>
              <w:rPr>
                <w:sz w:val="18"/>
              </w:rPr>
              <w:t xml:space="preserve">160.0 TB</w:t>
            </w:r>
          </w:p>
        </w:tc>
      </w:tr>
      <w:tr>
        <w:tc>
          <w:tcPr>
            <w:tcW w:w="5300" w:type="dxa"/>
            <w:shd w:val="clear" w:color="auto" w:fill="F2F5FA"/>
          </w:tcPr>
          <w:p>
            <w:pPr>
              <w:spacing w:before="20" w:after="20"/>
            </w:pPr>
            <w:r>
              <w:rPr>
                <w:sz w:val="18"/>
              </w:rPr>
              <w:t xml:space="preserve">Front-end at year 3</w:t>
            </w:r>
          </w:p>
        </w:tc>
        <w:tc>
          <w:tcPr>
            <w:tcW w:w="4337" w:type="dxa"/>
            <w:shd w:val="clear" w:color="auto" w:fill="F2F5FA"/>
          </w:tcPr>
          <w:p>
            <w:pPr>
              <w:spacing w:before="20" w:after="20"/>
            </w:pPr>
            <w:r>
              <w:rPr>
                <w:sz w:val="18"/>
              </w:rPr>
              <w:t xml:space="preserve">222.0 TB</w:t>
            </w:r>
          </w:p>
        </w:tc>
      </w:tr>
      <w:tr>
        <w:tc>
          <w:tcPr>
            <w:tcW w:w="5300" w:type="dxa"/>
          </w:tcPr>
          <w:p>
            <w:pPr>
              <w:spacing w:before="20" w:after="20"/>
            </w:pPr>
            <w:r>
              <w:rPr>
                <w:sz w:val="18"/>
              </w:rPr>
              <w:t xml:space="preserve">Primary usable capacity</w:t>
            </w:r>
          </w:p>
        </w:tc>
        <w:tc>
          <w:tcPr>
            <w:tcW w:w="4337" w:type="dxa"/>
          </w:tcPr>
          <w:p>
            <w:pPr>
              <w:spacing w:before="20" w:after="20"/>
            </w:pPr>
            <w:r>
              <w:rPr>
                <w:sz w:val="18"/>
              </w:rPr>
              <w:t xml:space="preserve">1,487.4 TB</w:t>
            </w:r>
          </w:p>
        </w:tc>
      </w:tr>
      <w:tr>
        <w:tc>
          <w:tcPr>
            <w:tcW w:w="5300" w:type="dxa"/>
            <w:shd w:val="clear" w:color="auto" w:fill="F2F5FA"/>
          </w:tcPr>
          <w:p>
            <w:pPr>
              <w:spacing w:before="20" w:after="20"/>
            </w:pPr>
            <w:r>
              <w:rPr>
                <w:sz w:val="18"/>
              </w:rPr>
              <w:t xml:space="preserve">Primary raw capacity</w:t>
            </w:r>
          </w:p>
        </w:tc>
        <w:tc>
          <w:tcPr>
            <w:tcW w:w="4337" w:type="dxa"/>
            <w:shd w:val="clear" w:color="auto" w:fill="F2F5FA"/>
          </w:tcPr>
          <w:p>
            <w:pPr>
              <w:spacing w:before="20" w:after="20"/>
            </w:pPr>
            <w:r>
              <w:rPr>
                <w:sz w:val="18"/>
              </w:rPr>
              <w:t xml:space="preserve">1,784.9 TB</w:t>
            </w:r>
          </w:p>
        </w:tc>
      </w:tr>
      <w:tr>
        <w:tc>
          <w:tcPr>
            <w:tcW w:w="5300" w:type="dxa"/>
          </w:tcPr>
          <w:p>
            <w:pPr>
              <w:spacing w:before="20" w:after="20"/>
            </w:pPr>
            <w:r>
              <w:rPr>
                <w:sz w:val="18"/>
              </w:rPr>
              <w:t xml:space="preserve">Secondary copy usable</w:t>
            </w:r>
          </w:p>
        </w:tc>
        <w:tc>
          <w:tcPr>
            <w:tcW w:w="4337" w:type="dxa"/>
          </w:tcPr>
          <w:p>
            <w:pPr>
              <w:spacing w:before="20" w:after="20"/>
            </w:pPr>
            <w:r>
              <w:rPr>
                <w:sz w:val="18"/>
              </w:rPr>
              <w:t xml:space="preserve">1,313.1 TB</w:t>
            </w:r>
          </w:p>
        </w:tc>
      </w:tr>
    </w:tbl>
    <w:p>
      <w:pPr>
        <w:spacing w:after="80"/>
      </w:pPr>
    </w:p>
    <w:p>
      <w:pPr>
        <w:pStyle w:val="Heading1"/>
      </w:pPr>
      <w:r>
        <w:t xml:space="preserve">2. Protected estate</w:t>
      </w:r>
    </w:p>
    <w:p>
      <w:r>
        <w:t xml:space="preserve">The following workloads are in scope. "Year-N TB" is the front-end size at the end of the planning horizon after compound growth.</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CellMar>
          <w:top w:w="60" w:type="dxa"/>
          <w:left w:w="90" w:type="dxa"/>
          <w:bottom w:w="60" w:type="dxa"/>
          <w:right w:w="90" w:type="dxa"/>
        </w:tblCellMar>
      </w:tblPr>
      <w:tblGrid>
        <w:gridCol w:w="1511"/>
        <w:gridCol w:w="1322"/>
        <w:gridCol w:w="661"/>
        <w:gridCol w:w="566"/>
        <w:gridCol w:w="850"/>
        <w:gridCol w:w="755"/>
        <w:gridCol w:w="850"/>
        <w:gridCol w:w="755"/>
        <w:gridCol w:w="755"/>
        <w:gridCol w:w="755"/>
        <w:gridCol w:w="850"/>
      </w:tblGrid>
      <w:tr>
        <w:trPr>
          <w:tblHeader/>
        </w:trPr>
        <w:tc>
          <w:tcPr>
            <w:tcW w:w="1511" w:type="dxa"/>
            <w:shd w:val="clear" w:color="auto" w:fill="1F3864"/>
          </w:tcPr>
          <w:p>
            <w:pPr>
              <w:spacing w:before="20" w:after="20"/>
            </w:pPr>
            <w:r>
              <w:rPr>
                <w:b/>
                <w:color w:val="FFFFFF"/>
                <w:sz w:val="18"/>
              </w:rPr>
              <w:t xml:space="preserve">Workload</w:t>
            </w:r>
          </w:p>
        </w:tc>
        <w:tc>
          <w:tcPr>
            <w:tcW w:w="1322" w:type="dxa"/>
            <w:shd w:val="clear" w:color="auto" w:fill="1F3864"/>
          </w:tcPr>
          <w:p>
            <w:pPr>
              <w:spacing w:before="20" w:after="20"/>
            </w:pPr>
            <w:r>
              <w:rPr>
                <w:b/>
                <w:color w:val="FFFFFF"/>
                <w:sz w:val="18"/>
              </w:rPr>
              <w:t xml:space="preserve">Type</w:t>
            </w:r>
          </w:p>
        </w:tc>
        <w:tc>
          <w:tcPr>
            <w:tcW w:w="661" w:type="dxa"/>
            <w:shd w:val="clear" w:color="auto" w:fill="1F3864"/>
          </w:tcPr>
          <w:p>
            <w:pPr>
              <w:spacing w:before="20" w:after="20"/>
            </w:pPr>
            <w:r>
              <w:rPr>
                <w:b/>
                <w:color w:val="FFFFFF"/>
                <w:sz w:val="18"/>
              </w:rPr>
              <w:t xml:space="preserve">Size TB</w:t>
            </w:r>
          </w:p>
        </w:tc>
        <w:tc>
          <w:tcPr>
            <w:tcW w:w="566" w:type="dxa"/>
            <w:shd w:val="clear" w:color="auto" w:fill="1F3864"/>
          </w:tcPr>
          <w:p>
            <w:pPr>
              <w:spacing w:before="20" w:after="20"/>
            </w:pPr>
            <w:r>
              <w:rPr>
                <w:b/>
                <w:color w:val="FFFFFF"/>
                <w:sz w:val="18"/>
              </w:rPr>
              <w:t xml:space="preserve">Used %</w:t>
            </w:r>
          </w:p>
        </w:tc>
        <w:tc>
          <w:tcPr>
            <w:tcW w:w="850" w:type="dxa"/>
            <w:shd w:val="clear" w:color="auto" w:fill="1F3864"/>
          </w:tcPr>
          <w:p>
            <w:pPr>
              <w:spacing w:before="20" w:after="20"/>
            </w:pPr>
            <w:r>
              <w:rPr>
                <w:b/>
                <w:color w:val="FFFFFF"/>
                <w:sz w:val="18"/>
              </w:rPr>
              <w:t xml:space="preserve">Protected TB</w:t>
            </w:r>
          </w:p>
        </w:tc>
        <w:tc>
          <w:tcPr>
            <w:tcW w:w="755" w:type="dxa"/>
            <w:shd w:val="clear" w:color="auto" w:fill="1F3864"/>
          </w:tcPr>
          <w:p>
            <w:pPr>
              <w:spacing w:before="20" w:after="20"/>
            </w:pPr>
            <w:r>
              <w:rPr>
                <w:b/>
                <w:color w:val="FFFFFF"/>
                <w:sz w:val="18"/>
              </w:rPr>
              <w:t xml:space="preserve">Growth %/yr</w:t>
            </w:r>
          </w:p>
        </w:tc>
        <w:tc>
          <w:tcPr>
            <w:tcW w:w="850" w:type="dxa"/>
            <w:shd w:val="clear" w:color="auto" w:fill="1F3864"/>
          </w:tcPr>
          <w:p>
            <w:pPr>
              <w:spacing w:before="20" w:after="20"/>
            </w:pPr>
            <w:r>
              <w:rPr>
                <w:b/>
                <w:color w:val="FFFFFF"/>
                <w:sz w:val="18"/>
              </w:rPr>
              <w:t xml:space="preserve">Year-N TB</w:t>
            </w:r>
          </w:p>
        </w:tc>
        <w:tc>
          <w:tcPr>
            <w:tcW w:w="755" w:type="dxa"/>
            <w:shd w:val="clear" w:color="auto" w:fill="1F3864"/>
          </w:tcPr>
          <w:p>
            <w:pPr>
              <w:spacing w:before="20" w:after="20"/>
            </w:pPr>
            <w:r>
              <w:rPr>
                <w:b/>
                <w:color w:val="FFFFFF"/>
                <w:sz w:val="18"/>
              </w:rPr>
              <w:t xml:space="preserve">Change %/day</w:t>
            </w:r>
          </w:p>
        </w:tc>
        <w:tc>
          <w:tcPr>
            <w:tcW w:w="755" w:type="dxa"/>
            <w:shd w:val="clear" w:color="auto" w:fill="1F3864"/>
          </w:tcPr>
          <w:p>
            <w:pPr>
              <w:spacing w:before="20" w:after="20"/>
            </w:pPr>
            <w:r>
              <w:rPr>
                <w:b/>
                <w:color w:val="FFFFFF"/>
                <w:sz w:val="18"/>
              </w:rPr>
              <w:t xml:space="preserve">Reduction</w:t>
            </w:r>
          </w:p>
        </w:tc>
        <w:tc>
          <w:tcPr>
            <w:tcW w:w="755" w:type="dxa"/>
            <w:shd w:val="clear" w:color="auto" w:fill="1F3864"/>
          </w:tcPr>
          <w:p>
            <w:pPr>
              <w:spacing w:before="20" w:after="20"/>
            </w:pPr>
            <w:r>
              <w:rPr>
                <w:b/>
                <w:color w:val="FFFFFF"/>
                <w:sz w:val="18"/>
              </w:rPr>
              <w:t xml:space="preserve">Full TB</w:t>
            </w:r>
          </w:p>
        </w:tc>
        <w:tc>
          <w:tcPr>
            <w:tcW w:w="850" w:type="dxa"/>
            <w:shd w:val="clear" w:color="auto" w:fill="1F3864"/>
          </w:tcPr>
          <w:p>
            <w:pPr>
              <w:spacing w:before="20" w:after="20"/>
            </w:pPr>
            <w:r>
              <w:rPr>
                <w:b/>
                <w:color w:val="FFFFFF"/>
                <w:sz w:val="18"/>
              </w:rPr>
              <w:t xml:space="preserve">Daily incr TB</w:t>
            </w:r>
          </w:p>
        </w:tc>
      </w:tr>
      <w:tr>
        <w:tc>
          <w:tcPr>
            <w:tcW w:w="1511" w:type="dxa"/>
          </w:tcPr>
          <w:p>
            <w:pPr>
              <w:spacing w:before="20" w:after="20"/>
            </w:pPr>
            <w:r>
              <w:rPr>
                <w:sz w:val="18"/>
              </w:rPr>
              <w:t xml:space="preserve">VMware virtual machines</w:t>
            </w:r>
          </w:p>
        </w:tc>
        <w:tc>
          <w:tcPr>
            <w:tcW w:w="1322" w:type="dxa"/>
          </w:tcPr>
          <w:p>
            <w:pPr>
              <w:spacing w:before="20" w:after="20"/>
            </w:pPr>
            <w:r>
              <w:rPr>
                <w:sz w:val="18"/>
              </w:rPr>
              <w:t xml:space="preserve">Virtual machines (VMware / Hyper-V)</w:t>
            </w:r>
          </w:p>
        </w:tc>
        <w:tc>
          <w:tcPr>
            <w:tcW w:w="661" w:type="dxa"/>
          </w:tcPr>
          <w:p>
            <w:pPr>
              <w:spacing w:before="20" w:after="20"/>
            </w:pPr>
            <w:r>
              <w:rPr>
                <w:sz w:val="18"/>
              </w:rPr>
              <w:t xml:space="preserve">100.0</w:t>
            </w:r>
          </w:p>
        </w:tc>
        <w:tc>
          <w:tcPr>
            <w:tcW w:w="566" w:type="dxa"/>
          </w:tcPr>
          <w:p>
            <w:pPr>
              <w:spacing w:before="20" w:after="20"/>
            </w:pPr>
            <w:r>
              <w:rPr>
                <w:sz w:val="18"/>
              </w:rPr>
              <w:t xml:space="preserve">100%</w:t>
            </w:r>
          </w:p>
        </w:tc>
        <w:tc>
          <w:tcPr>
            <w:tcW w:w="850" w:type="dxa"/>
          </w:tcPr>
          <w:p>
            <w:pPr>
              <w:spacing w:before="20" w:after="20"/>
            </w:pPr>
            <w:r>
              <w:rPr>
                <w:sz w:val="18"/>
              </w:rPr>
              <w:t xml:space="preserve">100.0</w:t>
            </w:r>
          </w:p>
        </w:tc>
        <w:tc>
          <w:tcPr>
            <w:tcW w:w="755" w:type="dxa"/>
          </w:tcPr>
          <w:p>
            <w:pPr>
              <w:spacing w:before="20" w:after="20"/>
            </w:pPr>
            <w:r>
              <w:rPr>
                <w:sz w:val="18"/>
              </w:rPr>
              <w:t xml:space="preserve">10%</w:t>
            </w:r>
          </w:p>
        </w:tc>
        <w:tc>
          <w:tcPr>
            <w:tcW w:w="850" w:type="dxa"/>
          </w:tcPr>
          <w:p>
            <w:pPr>
              <w:spacing w:before="20" w:after="20"/>
            </w:pPr>
            <w:r>
              <w:rPr>
                <w:sz w:val="18"/>
              </w:rPr>
              <w:t xml:space="preserve">133.1</w:t>
            </w:r>
          </w:p>
        </w:tc>
        <w:tc>
          <w:tcPr>
            <w:tcW w:w="755" w:type="dxa"/>
          </w:tcPr>
          <w:p>
            <w:pPr>
              <w:spacing w:before="20" w:after="20"/>
            </w:pPr>
            <w:r>
              <w:rPr>
                <w:sz w:val="18"/>
              </w:rPr>
              <w:t xml:space="preserve">5%</w:t>
            </w:r>
          </w:p>
        </w:tc>
        <w:tc>
          <w:tcPr>
            <w:tcW w:w="755" w:type="dxa"/>
          </w:tcPr>
          <w:p>
            <w:pPr>
              <w:spacing w:before="20" w:after="20"/>
            </w:pPr>
            <w:r>
              <w:rPr>
                <w:sz w:val="18"/>
              </w:rPr>
              <w:t xml:space="preserve">2.0:1</w:t>
            </w:r>
          </w:p>
        </w:tc>
        <w:tc>
          <w:tcPr>
            <w:tcW w:w="755" w:type="dxa"/>
          </w:tcPr>
          <w:p>
            <w:pPr>
              <w:spacing w:before="20" w:after="20"/>
            </w:pPr>
            <w:r>
              <w:rPr>
                <w:sz w:val="18"/>
              </w:rPr>
              <w:t xml:space="preserve">66.6</w:t>
            </w:r>
          </w:p>
        </w:tc>
        <w:tc>
          <w:tcPr>
            <w:tcW w:w="850" w:type="dxa"/>
          </w:tcPr>
          <w:p>
            <w:pPr>
              <w:spacing w:before="20" w:after="20"/>
            </w:pPr>
            <w:r>
              <w:rPr>
                <w:sz w:val="18"/>
              </w:rPr>
              <w:t xml:space="preserve">4.44</w:t>
            </w:r>
          </w:p>
        </w:tc>
      </w:tr>
      <w:tr>
        <w:tc>
          <w:tcPr>
            <w:tcW w:w="1511" w:type="dxa"/>
            <w:shd w:val="clear" w:color="auto" w:fill="F2F5FA"/>
          </w:tcPr>
          <w:p>
            <w:pPr>
              <w:spacing w:before="20" w:after="20"/>
            </w:pPr>
            <w:r>
              <w:rPr>
                <w:sz w:val="18"/>
              </w:rPr>
              <w:t xml:space="preserve">File servers</w:t>
            </w:r>
          </w:p>
        </w:tc>
        <w:tc>
          <w:tcPr>
            <w:tcW w:w="1322" w:type="dxa"/>
            <w:shd w:val="clear" w:color="auto" w:fill="F2F5FA"/>
          </w:tcPr>
          <w:p>
            <w:pPr>
              <w:spacing w:before="20" w:after="20"/>
            </w:pPr>
            <w:r>
              <w:rPr>
                <w:sz w:val="18"/>
              </w:rPr>
              <w:t xml:space="preserve">File servers / NAS shares</w:t>
            </w:r>
          </w:p>
        </w:tc>
        <w:tc>
          <w:tcPr>
            <w:tcW w:w="661" w:type="dxa"/>
            <w:shd w:val="clear" w:color="auto" w:fill="F2F5FA"/>
          </w:tcPr>
          <w:p>
            <w:pPr>
              <w:spacing w:before="20" w:after="20"/>
            </w:pPr>
            <w:r>
              <w:rPr>
                <w:sz w:val="18"/>
              </w:rPr>
              <w:t xml:space="preserve">40.0</w:t>
            </w:r>
          </w:p>
        </w:tc>
        <w:tc>
          <w:tcPr>
            <w:tcW w:w="566" w:type="dxa"/>
            <w:shd w:val="clear" w:color="auto" w:fill="F2F5FA"/>
          </w:tcPr>
          <w:p>
            <w:pPr>
              <w:spacing w:before="20" w:after="20"/>
            </w:pPr>
            <w:r>
              <w:rPr>
                <w:sz w:val="18"/>
              </w:rPr>
              <w:t xml:space="preserve">100%</w:t>
            </w:r>
          </w:p>
        </w:tc>
        <w:tc>
          <w:tcPr>
            <w:tcW w:w="850" w:type="dxa"/>
            <w:shd w:val="clear" w:color="auto" w:fill="F2F5FA"/>
          </w:tcPr>
          <w:p>
            <w:pPr>
              <w:spacing w:before="20" w:after="20"/>
            </w:pPr>
            <w:r>
              <w:rPr>
                <w:sz w:val="18"/>
              </w:rPr>
              <w:t xml:space="preserve">40.0</w:t>
            </w:r>
          </w:p>
        </w:tc>
        <w:tc>
          <w:tcPr>
            <w:tcW w:w="755" w:type="dxa"/>
            <w:shd w:val="clear" w:color="auto" w:fill="F2F5FA"/>
          </w:tcPr>
          <w:p>
            <w:pPr>
              <w:spacing w:before="20" w:after="20"/>
            </w:pPr>
            <w:r>
              <w:rPr>
                <w:sz w:val="18"/>
              </w:rPr>
              <w:t xml:space="preserve">15%</w:t>
            </w:r>
          </w:p>
        </w:tc>
        <w:tc>
          <w:tcPr>
            <w:tcW w:w="850" w:type="dxa"/>
            <w:shd w:val="clear" w:color="auto" w:fill="F2F5FA"/>
          </w:tcPr>
          <w:p>
            <w:pPr>
              <w:spacing w:before="20" w:after="20"/>
            </w:pPr>
            <w:r>
              <w:rPr>
                <w:sz w:val="18"/>
              </w:rPr>
              <w:t xml:space="preserve">60.8</w:t>
            </w:r>
          </w:p>
        </w:tc>
        <w:tc>
          <w:tcPr>
            <w:tcW w:w="755" w:type="dxa"/>
            <w:shd w:val="clear" w:color="auto" w:fill="F2F5FA"/>
          </w:tcPr>
          <w:p>
            <w:pPr>
              <w:spacing w:before="20" w:after="20"/>
            </w:pPr>
            <w:r>
              <w:rPr>
                <w:sz w:val="18"/>
              </w:rPr>
              <w:t xml:space="preserve">2%</w:t>
            </w:r>
          </w:p>
        </w:tc>
        <w:tc>
          <w:tcPr>
            <w:tcW w:w="755" w:type="dxa"/>
            <w:shd w:val="clear" w:color="auto" w:fill="F2F5FA"/>
          </w:tcPr>
          <w:p>
            <w:pPr>
              <w:spacing w:before="20" w:after="20"/>
            </w:pPr>
            <w:r>
              <w:rPr>
                <w:sz w:val="18"/>
              </w:rPr>
              <w:t xml:space="preserve">1.7:1</w:t>
            </w:r>
          </w:p>
        </w:tc>
        <w:tc>
          <w:tcPr>
            <w:tcW w:w="755" w:type="dxa"/>
            <w:shd w:val="clear" w:color="auto" w:fill="F2F5FA"/>
          </w:tcPr>
          <w:p>
            <w:pPr>
              <w:spacing w:before="20" w:after="20"/>
            </w:pPr>
            <w:r>
              <w:rPr>
                <w:sz w:val="18"/>
              </w:rPr>
              <w:t xml:space="preserve">35.8</w:t>
            </w:r>
          </w:p>
        </w:tc>
        <w:tc>
          <w:tcPr>
            <w:tcW w:w="850" w:type="dxa"/>
            <w:shd w:val="clear" w:color="auto" w:fill="F2F5FA"/>
          </w:tcPr>
          <w:p>
            <w:pPr>
              <w:spacing w:before="20" w:after="20"/>
            </w:pPr>
            <w:r>
              <w:rPr>
                <w:sz w:val="18"/>
              </w:rPr>
              <w:t xml:space="preserve">0.95</w:t>
            </w:r>
          </w:p>
        </w:tc>
      </w:tr>
      <w:tr>
        <w:tc>
          <w:tcPr>
            <w:tcW w:w="1511" w:type="dxa"/>
          </w:tcPr>
          <w:p>
            <w:pPr>
              <w:spacing w:before="20" w:after="20"/>
            </w:pPr>
            <w:r>
              <w:rPr>
                <w:sz w:val="18"/>
              </w:rPr>
              <w:t xml:space="preserve">SQL databases</w:t>
            </w:r>
          </w:p>
        </w:tc>
        <w:tc>
          <w:tcPr>
            <w:tcW w:w="1322" w:type="dxa"/>
          </w:tcPr>
          <w:p>
            <w:pPr>
              <w:spacing w:before="20" w:after="20"/>
            </w:pPr>
            <w:r>
              <w:rPr>
                <w:sz w:val="18"/>
              </w:rPr>
              <w:t xml:space="preserve">Databases (SQL / Oracle / SAP HANA)</w:t>
            </w:r>
          </w:p>
        </w:tc>
        <w:tc>
          <w:tcPr>
            <w:tcW w:w="661" w:type="dxa"/>
          </w:tcPr>
          <w:p>
            <w:pPr>
              <w:spacing w:before="20" w:after="20"/>
            </w:pPr>
            <w:r>
              <w:rPr>
                <w:sz w:val="18"/>
              </w:rPr>
              <w:t xml:space="preserve">20.0</w:t>
            </w:r>
          </w:p>
        </w:tc>
        <w:tc>
          <w:tcPr>
            <w:tcW w:w="566" w:type="dxa"/>
          </w:tcPr>
          <w:p>
            <w:pPr>
              <w:spacing w:before="20" w:after="20"/>
            </w:pPr>
            <w:r>
              <w:rPr>
                <w:sz w:val="18"/>
              </w:rPr>
              <w:t xml:space="preserve">100%</w:t>
            </w:r>
          </w:p>
        </w:tc>
        <w:tc>
          <w:tcPr>
            <w:tcW w:w="850" w:type="dxa"/>
          </w:tcPr>
          <w:p>
            <w:pPr>
              <w:spacing w:before="20" w:after="20"/>
            </w:pPr>
            <w:r>
              <w:rPr>
                <w:sz w:val="18"/>
              </w:rPr>
              <w:t xml:space="preserve">20.0</w:t>
            </w:r>
          </w:p>
        </w:tc>
        <w:tc>
          <w:tcPr>
            <w:tcW w:w="755" w:type="dxa"/>
          </w:tcPr>
          <w:p>
            <w:pPr>
              <w:spacing w:before="20" w:after="20"/>
            </w:pPr>
            <w:r>
              <w:rPr>
                <w:sz w:val="18"/>
              </w:rPr>
              <w:t xml:space="preserve">12%</w:t>
            </w:r>
          </w:p>
        </w:tc>
        <w:tc>
          <w:tcPr>
            <w:tcW w:w="850" w:type="dxa"/>
          </w:tcPr>
          <w:p>
            <w:pPr>
              <w:spacing w:before="20" w:after="20"/>
            </w:pPr>
            <w:r>
              <w:rPr>
                <w:sz w:val="18"/>
              </w:rPr>
              <w:t xml:space="preserve">28.1</w:t>
            </w:r>
          </w:p>
        </w:tc>
        <w:tc>
          <w:tcPr>
            <w:tcW w:w="755" w:type="dxa"/>
          </w:tcPr>
          <w:p>
            <w:pPr>
              <w:spacing w:before="20" w:after="20"/>
            </w:pPr>
            <w:r>
              <w:rPr>
                <w:sz w:val="18"/>
              </w:rPr>
              <w:t xml:space="preserve">10%</w:t>
            </w:r>
          </w:p>
        </w:tc>
        <w:tc>
          <w:tcPr>
            <w:tcW w:w="755" w:type="dxa"/>
          </w:tcPr>
          <w:p>
            <w:pPr>
              <w:spacing w:before="20" w:after="20"/>
            </w:pPr>
            <w:r>
              <w:rPr>
                <w:sz w:val="18"/>
              </w:rPr>
              <w:t xml:space="preserve">2.4:1</w:t>
            </w:r>
          </w:p>
        </w:tc>
        <w:tc>
          <w:tcPr>
            <w:tcW w:w="755" w:type="dxa"/>
          </w:tcPr>
          <w:p>
            <w:pPr>
              <w:spacing w:before="20" w:after="20"/>
            </w:pPr>
            <w:r>
              <w:rPr>
                <w:sz w:val="18"/>
              </w:rPr>
              <w:t xml:space="preserve">11.7</w:t>
            </w:r>
          </w:p>
        </w:tc>
        <w:tc>
          <w:tcPr>
            <w:tcW w:w="850" w:type="dxa"/>
          </w:tcPr>
          <w:p>
            <w:pPr>
              <w:spacing w:before="20" w:after="20"/>
            </w:pPr>
            <w:r>
              <w:rPr>
                <w:sz w:val="18"/>
              </w:rPr>
              <w:t xml:space="preserve">1.56</w:t>
            </w:r>
          </w:p>
        </w:tc>
      </w:tr>
    </w:tbl>
    <w:p>
      <w:pPr>
        <w:spacing w:after="80"/>
      </w:pPr>
    </w:p>
    <w:p>
      <w:pPr>
        <w:pStyle w:val="Heading1"/>
      </w:pPr>
      <w:r>
        <w:t xml:space="preserve">3. Retention and backup policy</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CellMar>
          <w:top w:w="60" w:type="dxa"/>
          <w:left w:w="90" w:type="dxa"/>
          <w:bottom w:w="60" w:type="dxa"/>
          <w:right w:w="90" w:type="dxa"/>
        </w:tblCellMar>
      </w:tblPr>
      <w:tblGrid>
        <w:gridCol w:w="4337"/>
        <w:gridCol w:w="5300"/>
      </w:tblGrid>
      <w:tr>
        <w:trPr>
          <w:tblHeader/>
        </w:trPr>
        <w:tc>
          <w:tcPr>
            <w:tcW w:w="4337" w:type="dxa"/>
            <w:shd w:val="clear" w:color="auto" w:fill="1F3864"/>
          </w:tcPr>
          <w:p>
            <w:pPr>
              <w:spacing w:before="20" w:after="20"/>
            </w:pPr>
            <w:r>
              <w:rPr>
                <w:b/>
                <w:color w:val="FFFFFF"/>
                <w:sz w:val="18"/>
              </w:rPr>
              <w:t xml:space="preserve">Policy element</w:t>
            </w:r>
          </w:p>
        </w:tc>
        <w:tc>
          <w:tcPr>
            <w:tcW w:w="5300" w:type="dxa"/>
            <w:shd w:val="clear" w:color="auto" w:fill="1F3864"/>
          </w:tcPr>
          <w:p>
            <w:pPr>
              <w:spacing w:before="20" w:after="20"/>
            </w:pPr>
            <w:r>
              <w:rPr>
                <w:b/>
                <w:color w:val="FFFFFF"/>
                <w:sz w:val="18"/>
              </w:rPr>
              <w:t xml:space="preserve">Value</w:t>
            </w:r>
          </w:p>
        </w:tc>
      </w:tr>
      <w:tr>
        <w:tc>
          <w:tcPr>
            <w:tcW w:w="4337" w:type="dxa"/>
          </w:tcPr>
          <w:p>
            <w:pPr>
              <w:spacing w:before="20" w:after="20"/>
            </w:pPr>
            <w:r>
              <w:rPr>
                <w:sz w:val="18"/>
              </w:rPr>
              <w:t xml:space="preserve">Daily restore points</w:t>
            </w:r>
          </w:p>
        </w:tc>
        <w:tc>
          <w:tcPr>
            <w:tcW w:w="5300" w:type="dxa"/>
          </w:tcPr>
          <w:p>
            <w:pPr>
              <w:spacing w:before="20" w:after="20"/>
            </w:pPr>
            <w:r>
              <w:rPr>
                <w:sz w:val="18"/>
              </w:rPr>
              <w:t xml:space="preserve">14</w:t>
            </w:r>
          </w:p>
        </w:tc>
      </w:tr>
      <w:tr>
        <w:tc>
          <w:tcPr>
            <w:tcW w:w="4337" w:type="dxa"/>
            <w:shd w:val="clear" w:color="auto" w:fill="F2F5FA"/>
          </w:tcPr>
          <w:p>
            <w:pPr>
              <w:spacing w:before="20" w:after="20"/>
            </w:pPr>
            <w:r>
              <w:rPr>
                <w:sz w:val="18"/>
              </w:rPr>
              <w:t xml:space="preserve">Weekly restore points</w:t>
            </w:r>
          </w:p>
        </w:tc>
        <w:tc>
          <w:tcPr>
            <w:tcW w:w="5300" w:type="dxa"/>
            <w:shd w:val="clear" w:color="auto" w:fill="F2F5FA"/>
          </w:tcPr>
          <w:p>
            <w:pPr>
              <w:spacing w:before="20" w:after="20"/>
            </w:pPr>
            <w:r>
              <w:rPr>
                <w:sz w:val="18"/>
              </w:rPr>
              <w:t xml:space="preserve">4</w:t>
            </w:r>
          </w:p>
        </w:tc>
      </w:tr>
      <w:tr>
        <w:tc>
          <w:tcPr>
            <w:tcW w:w="4337" w:type="dxa"/>
          </w:tcPr>
          <w:p>
            <w:pPr>
              <w:spacing w:before="20" w:after="20"/>
            </w:pPr>
            <w:r>
              <w:rPr>
                <w:sz w:val="18"/>
              </w:rPr>
              <w:t xml:space="preserve">Monthly restore points</w:t>
            </w:r>
          </w:p>
        </w:tc>
        <w:tc>
          <w:tcPr>
            <w:tcW w:w="5300" w:type="dxa"/>
          </w:tcPr>
          <w:p>
            <w:pPr>
              <w:spacing w:before="20" w:after="20"/>
            </w:pPr>
            <w:r>
              <w:rPr>
                <w:sz w:val="18"/>
              </w:rPr>
              <w:t xml:space="preserve">12</w:t>
            </w:r>
          </w:p>
        </w:tc>
      </w:tr>
      <w:tr>
        <w:tc>
          <w:tcPr>
            <w:tcW w:w="4337" w:type="dxa"/>
            <w:shd w:val="clear" w:color="auto" w:fill="F2F5FA"/>
          </w:tcPr>
          <w:p>
            <w:pPr>
              <w:spacing w:before="20" w:after="20"/>
            </w:pPr>
            <w:r>
              <w:rPr>
                <w:sz w:val="18"/>
              </w:rPr>
              <w:t xml:space="preserve">Yearly restore points</w:t>
            </w:r>
          </w:p>
        </w:tc>
        <w:tc>
          <w:tcPr>
            <w:tcW w:w="5300" w:type="dxa"/>
            <w:shd w:val="clear" w:color="auto" w:fill="F2F5FA"/>
          </w:tcPr>
          <w:p>
            <w:pPr>
              <w:spacing w:before="20" w:after="20"/>
            </w:pPr>
            <w:r>
              <w:rPr>
                <w:sz w:val="18"/>
              </w:rPr>
              <w:t xml:space="preserve">3</w:t>
            </w:r>
          </w:p>
        </w:tc>
      </w:tr>
      <w:tr>
        <w:tc>
          <w:tcPr>
            <w:tcW w:w="4337" w:type="dxa"/>
          </w:tcPr>
          <w:p>
            <w:pPr>
              <w:spacing w:before="20" w:after="20"/>
            </w:pPr>
            <w:r>
              <w:rPr>
                <w:sz w:val="18"/>
              </w:rPr>
              <w:t xml:space="preserve">Total restore points</w:t>
            </w:r>
          </w:p>
        </w:tc>
        <w:tc>
          <w:tcPr>
            <w:tcW w:w="5300" w:type="dxa"/>
          </w:tcPr>
          <w:p>
            <w:pPr>
              <w:spacing w:before="20" w:after="20"/>
            </w:pPr>
            <w:r>
              <w:rPr>
                <w:sz w:val="18"/>
              </w:rPr>
              <w:t xml:space="preserve">33</w:t>
            </w:r>
          </w:p>
        </w:tc>
      </w:tr>
      <w:tr>
        <w:tc>
          <w:tcPr>
            <w:tcW w:w="4337" w:type="dxa"/>
            <w:shd w:val="clear" w:color="auto" w:fill="F2F5FA"/>
          </w:tcPr>
          <w:p>
            <w:pPr>
              <w:spacing w:before="20" w:after="20"/>
            </w:pPr>
            <w:r>
              <w:rPr>
                <w:sz w:val="18"/>
              </w:rPr>
              <w:t xml:space="preserve">Backup mode</w:t>
            </w:r>
          </w:p>
        </w:tc>
        <w:tc>
          <w:tcPr>
            <w:tcW w:w="5300" w:type="dxa"/>
            <w:shd w:val="clear" w:color="auto" w:fill="F2F5FA"/>
          </w:tcPr>
          <w:p>
            <w:pPr>
              <w:spacing w:before="20" w:after="20"/>
            </w:pPr>
            <w:r>
              <w:rPr>
                <w:sz w:val="18"/>
              </w:rPr>
              <w:t xml:space="preserve">Forever forward incremental</w:t>
            </w:r>
          </w:p>
        </w:tc>
      </w:tr>
      <w:tr>
        <w:tc>
          <w:tcPr>
            <w:tcW w:w="4337" w:type="dxa"/>
          </w:tcPr>
          <w:p>
            <w:pPr>
              <w:spacing w:before="20" w:after="20"/>
            </w:pPr>
            <w:r>
              <w:rPr>
                <w:sz w:val="18"/>
              </w:rPr>
              <w:t xml:space="preserve">Cost of one GFS full</w:t>
            </w:r>
          </w:p>
        </w:tc>
        <w:tc>
          <w:tcPr>
            <w:tcW w:w="5300" w:type="dxa"/>
          </w:tcPr>
          <w:p>
            <w:pPr>
              <w:spacing w:before="20" w:after="20"/>
            </w:pPr>
            <w:r>
              <w:rPr>
                <w:sz w:val="18"/>
              </w:rPr>
              <w:t xml:space="preserve">36% of a stored full</w:t>
            </w:r>
          </w:p>
        </w:tc>
      </w:tr>
      <w:tr>
        <w:tc>
          <w:tcPr>
            <w:tcW w:w="4337" w:type="dxa"/>
            <w:shd w:val="clear" w:color="auto" w:fill="F2F5FA"/>
          </w:tcPr>
          <w:p>
            <w:pPr>
              <w:spacing w:before="20" w:after="20"/>
            </w:pPr>
            <w:r>
              <w:rPr>
                <w:sz w:val="18"/>
              </w:rPr>
              <w:t xml:space="preserve">Backup window</w:t>
            </w:r>
          </w:p>
        </w:tc>
        <w:tc>
          <w:tcPr>
            <w:tcW w:w="5300" w:type="dxa"/>
            <w:shd w:val="clear" w:color="auto" w:fill="F2F5FA"/>
          </w:tcPr>
          <w:p>
            <w:pPr>
              <w:spacing w:before="20" w:after="20"/>
            </w:pPr>
            <w:r>
              <w:rPr>
                <w:sz w:val="18"/>
              </w:rPr>
              <w:t xml:space="preserve">8.0 hours</w:t>
            </w:r>
          </w:p>
        </w:tc>
      </w:tr>
    </w:tbl>
    <w:p>
      <w:pPr>
        <w:spacing w:after="80"/>
      </w:pPr>
    </w:p>
    <w:p>
      <w:pPr>
        <w:pStyle w:val="Heading1"/>
      </w:pPr>
      <w:r>
        <w:t xml:space="preserve">4. Primary repository capacity build-up</w:t>
      </w:r>
    </w:p>
    <w:p>
      <w:r>
        <w:t xml:space="preserve">Every line below is additive. The usable figure is what the backup software must see; the raw figure is what must be purchased.</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CellMar>
          <w:top w:w="60" w:type="dxa"/>
          <w:left w:w="90" w:type="dxa"/>
          <w:bottom w:w="60" w:type="dxa"/>
          <w:right w:w="90" w:type="dxa"/>
        </w:tblCellMar>
      </w:tblPr>
      <w:tblGrid>
        <w:gridCol w:w="6746"/>
        <w:gridCol w:w="2891"/>
      </w:tblGrid>
      <w:tr>
        <w:trPr>
          <w:tblHeader/>
        </w:trPr>
        <w:tc>
          <w:tcPr>
            <w:tcW w:w="6746" w:type="dxa"/>
            <w:shd w:val="clear" w:color="auto" w:fill="1F3864"/>
          </w:tcPr>
          <w:p>
            <w:pPr>
              <w:spacing w:before="20" w:after="20"/>
            </w:pPr>
            <w:r>
              <w:rPr>
                <w:b/>
                <w:color w:val="FFFFFF"/>
                <w:sz w:val="18"/>
              </w:rPr>
              <w:t xml:space="preserve">Component</w:t>
            </w:r>
          </w:p>
        </w:tc>
        <w:tc>
          <w:tcPr>
            <w:tcW w:w="2891" w:type="dxa"/>
            <w:shd w:val="clear" w:color="auto" w:fill="1F3864"/>
          </w:tcPr>
          <w:p>
            <w:pPr>
              <w:spacing w:before="20" w:after="20"/>
            </w:pPr>
            <w:r>
              <w:rPr>
                <w:b/>
                <w:color w:val="FFFFFF"/>
                <w:sz w:val="18"/>
              </w:rPr>
              <w:t xml:space="preserve">Capacity</w:t>
            </w:r>
          </w:p>
        </w:tc>
      </w:tr>
      <w:tr>
        <w:tc>
          <w:tcPr>
            <w:tcW w:w="6746" w:type="dxa"/>
          </w:tcPr>
          <w:p>
            <w:pPr>
              <w:spacing w:before="20" w:after="20"/>
            </w:pPr>
            <w:r>
              <w:rPr>
                <w:sz w:val="18"/>
              </w:rPr>
              <w:t xml:space="preserve">1. First full backup of all workloads</w:t>
            </w:r>
          </w:p>
        </w:tc>
        <w:tc>
          <w:tcPr>
            <w:tcW w:w="2891" w:type="dxa"/>
          </w:tcPr>
          <w:p>
            <w:pPr>
              <w:spacing w:before="20" w:after="20"/>
            </w:pPr>
            <w:r>
              <w:rPr>
                <w:sz w:val="18"/>
              </w:rPr>
              <w:t xml:space="preserve">114.04 TB</w:t>
            </w:r>
          </w:p>
        </w:tc>
      </w:tr>
      <w:tr>
        <w:tc>
          <w:tcPr>
            <w:tcW w:w="6746" w:type="dxa"/>
            <w:shd w:val="clear" w:color="auto" w:fill="F2F5FA"/>
          </w:tcPr>
          <w:p>
            <w:pPr>
              <w:spacing w:before="20" w:after="20"/>
            </w:pPr>
            <w:r>
              <w:rPr>
                <w:sz w:val="18"/>
              </w:rPr>
              <w:t xml:space="preserve">2. Daily incrementals retained (13 x 6.95 TB)</w:t>
            </w:r>
          </w:p>
        </w:tc>
        <w:tc>
          <w:tcPr>
            <w:tcW w:w="2891" w:type="dxa"/>
            <w:shd w:val="clear" w:color="auto" w:fill="F2F5FA"/>
          </w:tcPr>
          <w:p>
            <w:pPr>
              <w:spacing w:before="20" w:after="20"/>
            </w:pPr>
            <w:r>
              <w:rPr>
                <w:sz w:val="18"/>
              </w:rPr>
              <w:t xml:space="preserve">90.38 TB</w:t>
            </w:r>
          </w:p>
        </w:tc>
      </w:tr>
      <w:tr>
        <w:tc>
          <w:tcPr>
            <w:tcW w:w="6746" w:type="dxa"/>
          </w:tcPr>
          <w:p>
            <w:pPr>
              <w:spacing w:before="20" w:after="20"/>
            </w:pPr>
            <w:r>
              <w:rPr>
                <w:sz w:val="18"/>
              </w:rPr>
              <w:t xml:space="preserve">3. GFS restore points (19 x 36% of a full)</w:t>
            </w:r>
          </w:p>
        </w:tc>
        <w:tc>
          <w:tcPr>
            <w:tcW w:w="2891" w:type="dxa"/>
          </w:tcPr>
          <w:p>
            <w:pPr>
              <w:spacing w:before="20" w:after="20"/>
            </w:pPr>
            <w:r>
              <w:rPr>
                <w:sz w:val="18"/>
              </w:rPr>
              <w:t xml:space="preserve">778.32 TB</w:t>
            </w:r>
          </w:p>
        </w:tc>
      </w:tr>
      <w:tr>
        <w:tc>
          <w:tcPr>
            <w:tcW w:w="6746" w:type="dxa"/>
            <w:shd w:val="clear" w:color="auto" w:fill="F2F5FA"/>
          </w:tcPr>
          <w:p>
            <w:pPr>
              <w:spacing w:before="20" w:after="20"/>
            </w:pPr>
            <w:r>
              <w:rPr>
                <w:sz w:val="18"/>
              </w:rPr>
              <w:t xml:space="preserve">    Weekly: 4 points, 19.7% unique change each</w:t>
            </w:r>
          </w:p>
        </w:tc>
        <w:tc>
          <w:tcPr>
            <w:tcW w:w="2891" w:type="dxa"/>
            <w:shd w:val="clear" w:color="auto" w:fill="F2F5FA"/>
          </w:tcPr>
          <w:p>
            <w:pPr>
              <w:spacing w:before="20" w:after="20"/>
            </w:pPr>
            <w:r>
              <w:rPr>
                <w:sz w:val="18"/>
              </w:rPr>
              <w:t xml:space="preserve">116.33 TB</w:t>
            </w:r>
          </w:p>
        </w:tc>
      </w:tr>
      <w:tr>
        <w:tc>
          <w:tcPr>
            <w:tcW w:w="6746" w:type="dxa"/>
          </w:tcPr>
          <w:p>
            <w:pPr>
              <w:spacing w:before="20" w:after="20"/>
            </w:pPr>
            <w:r>
              <w:rPr>
                <w:sz w:val="18"/>
              </w:rPr>
              <w:t xml:space="preserve">    Monthly: 12 points, 28.9% unique change each</w:t>
            </w:r>
          </w:p>
        </w:tc>
        <w:tc>
          <w:tcPr>
            <w:tcW w:w="2891" w:type="dxa"/>
          </w:tcPr>
          <w:p>
            <w:pPr>
              <w:spacing w:before="20" w:after="20"/>
            </w:pPr>
            <w:r>
              <w:rPr>
                <w:sz w:val="18"/>
              </w:rPr>
              <w:t xml:space="preserve">525.13 TB</w:t>
            </w:r>
          </w:p>
        </w:tc>
      </w:tr>
      <w:tr>
        <w:tc>
          <w:tcPr>
            <w:tcW w:w="6746" w:type="dxa"/>
            <w:shd w:val="clear" w:color="auto" w:fill="F2F5FA"/>
          </w:tcPr>
          <w:p>
            <w:pPr>
              <w:spacing w:before="20" w:after="20"/>
            </w:pPr>
            <w:r>
              <w:rPr>
                <w:sz w:val="18"/>
              </w:rPr>
              <w:t xml:space="preserve">    Yearly: 3 points, 30.0% unique change each</w:t>
            </w:r>
          </w:p>
        </w:tc>
        <w:tc>
          <w:tcPr>
            <w:tcW w:w="2891" w:type="dxa"/>
            <w:shd w:val="clear" w:color="auto" w:fill="F2F5FA"/>
          </w:tcPr>
          <w:p>
            <w:pPr>
              <w:spacing w:before="20" w:after="20"/>
            </w:pPr>
            <w:r>
              <w:rPr>
                <w:sz w:val="18"/>
              </w:rPr>
              <w:t xml:space="preserve">136.85 TB</w:t>
            </w:r>
          </w:p>
        </w:tc>
      </w:tr>
      <w:tr>
        <w:tc>
          <w:tcPr>
            <w:tcW w:w="6746" w:type="dxa"/>
          </w:tcPr>
          <w:p>
            <w:pPr>
              <w:spacing w:before="20" w:after="20"/>
            </w:pPr>
            <w:r>
              <w:rPr>
                <w:sz w:val="18"/>
              </w:rPr>
              <w:t xml:space="preserve">= Backup data on disk</w:t>
            </w:r>
          </w:p>
        </w:tc>
        <w:tc>
          <w:tcPr>
            <w:tcW w:w="2891" w:type="dxa"/>
          </w:tcPr>
          <w:p>
            <w:pPr>
              <w:spacing w:before="20" w:after="20"/>
            </w:pPr>
            <w:r>
              <w:rPr>
                <w:sz w:val="18"/>
              </w:rPr>
              <w:t xml:space="preserve">982.73 TB</w:t>
            </w:r>
          </w:p>
        </w:tc>
      </w:tr>
      <w:tr>
        <w:tc>
          <w:tcPr>
            <w:tcW w:w="6746" w:type="dxa"/>
            <w:shd w:val="clear" w:color="auto" w:fill="F2F5FA"/>
          </w:tcPr>
          <w:p>
            <w:pPr>
              <w:spacing w:before="20" w:after="20"/>
            </w:pPr>
            <w:r>
              <w:rPr>
                <w:sz w:val="18"/>
              </w:rPr>
              <w:t xml:space="preserve">4. Index / catalogue / metadata (2%)</w:t>
            </w:r>
          </w:p>
        </w:tc>
        <w:tc>
          <w:tcPr>
            <w:tcW w:w="2891" w:type="dxa"/>
            <w:shd w:val="clear" w:color="auto" w:fill="F2F5FA"/>
          </w:tcPr>
          <w:p>
            <w:pPr>
              <w:spacing w:before="20" w:after="20"/>
            </w:pPr>
            <w:r>
              <w:rPr>
                <w:sz w:val="18"/>
              </w:rPr>
              <w:t xml:space="preserve">19.65 TB</w:t>
            </w:r>
          </w:p>
        </w:tc>
      </w:tr>
      <w:tr>
        <w:tc>
          <w:tcPr>
            <w:tcW w:w="6746" w:type="dxa"/>
          </w:tcPr>
          <w:p>
            <w:pPr>
              <w:spacing w:before="20" w:after="20"/>
            </w:pPr>
            <w:r>
              <w:rPr>
                <w:sz w:val="18"/>
              </w:rPr>
              <w:t xml:space="preserve">5. Working / merge space (10% of a full)</w:t>
            </w:r>
          </w:p>
        </w:tc>
        <w:tc>
          <w:tcPr>
            <w:tcW w:w="2891" w:type="dxa"/>
          </w:tcPr>
          <w:p>
            <w:pPr>
              <w:spacing w:before="20" w:after="20"/>
            </w:pPr>
            <w:r>
              <w:rPr>
                <w:sz w:val="18"/>
              </w:rPr>
              <w:t xml:space="preserve">11.40 TB</w:t>
            </w:r>
          </w:p>
        </w:tc>
      </w:tr>
      <w:tr>
        <w:tc>
          <w:tcPr>
            <w:tcW w:w="6746" w:type="dxa"/>
            <w:shd w:val="clear" w:color="auto" w:fill="F2F5FA"/>
          </w:tcPr>
          <w:p>
            <w:pPr>
              <w:spacing w:before="20" w:after="20"/>
            </w:pPr>
            <w:r>
              <w:rPr>
                <w:sz w:val="18"/>
              </w:rPr>
              <w:t xml:space="preserve">6. Immutability / WORM reserve (10%)</w:t>
            </w:r>
          </w:p>
        </w:tc>
        <w:tc>
          <w:tcPr>
            <w:tcW w:w="2891" w:type="dxa"/>
            <w:shd w:val="clear" w:color="auto" w:fill="F2F5FA"/>
          </w:tcPr>
          <w:p>
            <w:pPr>
              <w:spacing w:before="20" w:after="20"/>
            </w:pPr>
            <w:r>
              <w:rPr>
                <w:sz w:val="18"/>
              </w:rPr>
              <w:t xml:space="preserve">98.27 TB</w:t>
            </w:r>
          </w:p>
        </w:tc>
      </w:tr>
      <w:tr>
        <w:tc>
          <w:tcPr>
            <w:tcW w:w="6746" w:type="dxa"/>
          </w:tcPr>
          <w:p>
            <w:pPr>
              <w:spacing w:before="20" w:after="20"/>
            </w:pPr>
            <w:r>
              <w:rPr>
                <w:sz w:val="18"/>
              </w:rPr>
              <w:t xml:space="preserve">7. File-system overhead (7%)</w:t>
            </w:r>
          </w:p>
        </w:tc>
        <w:tc>
          <w:tcPr>
            <w:tcW w:w="2891" w:type="dxa"/>
          </w:tcPr>
          <w:p>
            <w:pPr>
              <w:spacing w:before="20" w:after="20"/>
            </w:pPr>
            <w:r>
              <w:rPr>
                <w:sz w:val="18"/>
              </w:rPr>
              <w:t xml:space="preserve">77.84 TB</w:t>
            </w:r>
          </w:p>
        </w:tc>
      </w:tr>
      <w:tr>
        <w:tc>
          <w:tcPr>
            <w:tcW w:w="6746" w:type="dxa"/>
            <w:shd w:val="clear" w:color="auto" w:fill="F2F5FA"/>
          </w:tcPr>
          <w:p>
            <w:pPr>
              <w:spacing w:before="20" w:after="20"/>
            </w:pPr>
            <w:r>
              <w:rPr>
                <w:sz w:val="18"/>
              </w:rPr>
              <w:t xml:space="preserve">8. Free-space reserve (20%)</w:t>
            </w:r>
          </w:p>
        </w:tc>
        <w:tc>
          <w:tcPr>
            <w:tcW w:w="2891" w:type="dxa"/>
            <w:shd w:val="clear" w:color="auto" w:fill="F2F5FA"/>
          </w:tcPr>
          <w:p>
            <w:pPr>
              <w:spacing w:before="20" w:after="20"/>
            </w:pPr>
            <w:r>
              <w:rPr>
                <w:sz w:val="18"/>
              </w:rPr>
              <w:t xml:space="preserve">297.48 TB</w:t>
            </w:r>
          </w:p>
        </w:tc>
      </w:tr>
      <w:tr>
        <w:tc>
          <w:tcPr>
            <w:tcW w:w="6746" w:type="dxa"/>
          </w:tcPr>
          <w:p>
            <w:pPr>
              <w:spacing w:before="20" w:after="20"/>
            </w:pPr>
            <w:r>
              <w:rPr>
                <w:sz w:val="18"/>
              </w:rPr>
              <w:t xml:space="preserve">= USABLE capacity required</w:t>
            </w:r>
          </w:p>
        </w:tc>
        <w:tc>
          <w:tcPr>
            <w:tcW w:w="2891" w:type="dxa"/>
          </w:tcPr>
          <w:p>
            <w:pPr>
              <w:spacing w:before="20" w:after="20"/>
            </w:pPr>
            <w:r>
              <w:rPr>
                <w:sz w:val="18"/>
              </w:rPr>
              <w:t xml:space="preserve">1,487.39 TB</w:t>
            </w:r>
          </w:p>
        </w:tc>
      </w:tr>
      <w:tr>
        <w:tc>
          <w:tcPr>
            <w:tcW w:w="6746" w:type="dxa"/>
            <w:shd w:val="clear" w:color="auto" w:fill="F2F5FA"/>
          </w:tcPr>
          <w:p>
            <w:pPr>
              <w:spacing w:before="20" w:after="20"/>
            </w:pPr>
            <w:r>
              <w:rPr>
                <w:sz w:val="18"/>
              </w:rPr>
              <w:t xml:space="preserve">9. RAID 6 / DP (n-2) at 83.3% efficiency</w:t>
            </w:r>
          </w:p>
        </w:tc>
        <w:tc>
          <w:tcPr>
            <w:tcW w:w="2891" w:type="dxa"/>
            <w:shd w:val="clear" w:color="auto" w:fill="F2F5FA"/>
          </w:tcPr>
          <w:p>
            <w:pPr>
              <w:spacing w:before="20" w:after="20"/>
            </w:pPr>
            <w:r>
              <w:rPr>
                <w:sz w:val="18"/>
              </w:rPr>
              <w:t xml:space="preserve">297.48 TB</w:t>
            </w:r>
          </w:p>
        </w:tc>
      </w:tr>
      <w:tr>
        <w:tc>
          <w:tcPr>
            <w:tcW w:w="6746" w:type="dxa"/>
          </w:tcPr>
          <w:p>
            <w:pPr>
              <w:spacing w:before="20" w:after="20"/>
            </w:pPr>
            <w:r>
              <w:rPr>
                <w:sz w:val="18"/>
              </w:rPr>
              <w:t xml:space="preserve">= RAW capacity required</w:t>
            </w:r>
          </w:p>
        </w:tc>
        <w:tc>
          <w:tcPr>
            <w:tcW w:w="2891" w:type="dxa"/>
          </w:tcPr>
          <w:p>
            <w:pPr>
              <w:spacing w:before="20" w:after="20"/>
            </w:pPr>
            <w:r>
              <w:rPr>
                <w:sz w:val="18"/>
              </w:rPr>
              <w:t xml:space="preserve">1,784.87 TB</w:t>
            </w:r>
          </w:p>
        </w:tc>
      </w:tr>
    </w:tbl>
    <w:p>
      <w:pPr>
        <w:spacing w:after="80"/>
      </w:pPr>
    </w:p>
    <w:p>
      <w:pPr>
        <w:pStyle w:val="Heading2"/>
      </w:pPr>
      <w:r>
        <w:t xml:space="preserve">4.1 Backup storage target: Generic storage</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CellMar>
          <w:top w:w="60" w:type="dxa"/>
          <w:left w:w="90" w:type="dxa"/>
          <w:bottom w:w="60" w:type="dxa"/>
          <w:right w:w="90" w:type="dxa"/>
        </w:tblCellMar>
      </w:tblPr>
      <w:tblGrid>
        <w:gridCol w:w="3855"/>
        <w:gridCol w:w="5782"/>
      </w:tblGrid>
      <w:tr>
        <w:trPr>
          <w:tblHeader/>
        </w:trPr>
        <w:tc>
          <w:tcPr>
            <w:tcW w:w="3855" w:type="dxa"/>
            <w:shd w:val="clear" w:color="auto" w:fill="1F3864"/>
          </w:tcPr>
          <w:p>
            <w:pPr>
              <w:spacing w:before="20" w:after="20"/>
            </w:pPr>
            <w:r>
              <w:rPr>
                <w:b/>
                <w:color w:val="FFFFFF"/>
                <w:sz w:val="18"/>
              </w:rPr>
              <w:t xml:space="preserve">Item</w:t>
            </w:r>
          </w:p>
        </w:tc>
        <w:tc>
          <w:tcPr>
            <w:tcW w:w="5782" w:type="dxa"/>
            <w:shd w:val="clear" w:color="auto" w:fill="1F3864"/>
          </w:tcPr>
          <w:p>
            <w:pPr>
              <w:spacing w:before="20" w:after="20"/>
            </w:pPr>
            <w:r>
              <w:rPr>
                <w:b/>
                <w:color w:val="FFFFFF"/>
                <w:sz w:val="18"/>
              </w:rPr>
              <w:t xml:space="preserve">Value</w:t>
            </w:r>
          </w:p>
        </w:tc>
      </w:tr>
      <w:tr>
        <w:tc>
          <w:tcPr>
            <w:tcW w:w="3855" w:type="dxa"/>
          </w:tcPr>
          <w:p>
            <w:pPr>
              <w:spacing w:before="20" w:after="20"/>
            </w:pPr>
            <w:r>
              <w:rPr>
                <w:sz w:val="18"/>
              </w:rPr>
              <w:t xml:space="preserve">Storage</w:t>
            </w:r>
          </w:p>
        </w:tc>
        <w:tc>
          <w:tcPr>
            <w:tcW w:w="5782" w:type="dxa"/>
          </w:tcPr>
          <w:p>
            <w:pPr>
              <w:spacing w:before="20" w:after="20"/>
            </w:pPr>
            <w:r>
              <w:rPr>
                <w:sz w:val="18"/>
              </w:rPr>
              <w:t xml:space="preserve">Generic storage (server, NAS, SAN or JBOD)</w:t>
            </w:r>
          </w:p>
        </w:tc>
      </w:tr>
      <w:tr>
        <w:tc>
          <w:tcPr>
            <w:tcW w:w="3855" w:type="dxa"/>
            <w:shd w:val="clear" w:color="auto" w:fill="F2F5FA"/>
          </w:tcPr>
          <w:p>
            <w:pPr>
              <w:spacing w:before="20" w:after="20"/>
            </w:pPr>
            <w:r>
              <w:rPr>
                <w:sz w:val="18"/>
              </w:rPr>
              <w:t xml:space="preserve">Protection scheme</w:t>
            </w:r>
          </w:p>
        </w:tc>
        <w:tc>
          <w:tcPr>
            <w:tcW w:w="5782" w:type="dxa"/>
            <w:shd w:val="clear" w:color="auto" w:fill="F2F5FA"/>
          </w:tcPr>
          <w:p>
            <w:pPr>
              <w:spacing w:before="20" w:after="20"/>
            </w:pPr>
            <w:r>
              <w:rPr>
                <w:sz w:val="18"/>
              </w:rPr>
              <w:t xml:space="preserve">RAID 6 / DP (n-2) (83.3% efficient)</w:t>
            </w:r>
          </w:p>
        </w:tc>
      </w:tr>
      <w:tr>
        <w:tc>
          <w:tcPr>
            <w:tcW w:w="3855" w:type="dxa"/>
          </w:tcPr>
          <w:p>
            <w:pPr>
              <w:spacing w:before="20" w:after="20"/>
            </w:pPr>
            <w:r>
              <w:rPr>
                <w:sz w:val="18"/>
              </w:rPr>
              <w:t xml:space="preserve">Drives</w:t>
            </w:r>
          </w:p>
        </w:tc>
        <w:tc>
          <w:tcPr>
            <w:tcW w:w="5782" w:type="dxa"/>
          </w:tcPr>
          <w:p>
            <w:pPr>
              <w:spacing w:before="20" w:after="20"/>
            </w:pPr>
            <w:r>
              <w:rPr>
                <w:sz w:val="18"/>
              </w:rPr>
              <w:t xml:space="preserve">100 data + 2 spare = 102 x 18.0 TB</w:t>
            </w:r>
          </w:p>
        </w:tc>
      </w:tr>
      <w:tr>
        <w:tc>
          <w:tcPr>
            <w:tcW w:w="3855" w:type="dxa"/>
            <w:shd w:val="clear" w:color="auto" w:fill="F2F5FA"/>
          </w:tcPr>
          <w:p>
            <w:pPr>
              <w:spacing w:before="20" w:after="20"/>
            </w:pPr>
            <w:r>
              <w:rPr>
                <w:sz w:val="18"/>
              </w:rPr>
              <w:t xml:space="preserve">Usable / raw capacity</w:t>
            </w:r>
          </w:p>
        </w:tc>
        <w:tc>
          <w:tcPr>
            <w:tcW w:w="5782" w:type="dxa"/>
            <w:shd w:val="clear" w:color="auto" w:fill="F2F5FA"/>
          </w:tcPr>
          <w:p>
            <w:pPr>
              <w:spacing w:before="20" w:after="20"/>
            </w:pPr>
            <w:r>
              <w:rPr>
                <w:sz w:val="18"/>
              </w:rPr>
              <w:t xml:space="preserve">1,487.4 TB / 1,784.9 TB</w:t>
            </w:r>
          </w:p>
        </w:tc>
      </w:tr>
      <w:tr>
        <w:tc>
          <w:tcPr>
            <w:tcW w:w="3855" w:type="dxa"/>
          </w:tcPr>
          <w:p>
            <w:pPr>
              <w:spacing w:before="20" w:after="20"/>
            </w:pPr>
            <w:r>
              <w:rPr>
                <w:sz w:val="18"/>
              </w:rPr>
              <w:t xml:space="preserve">Data reduction</w:t>
            </w:r>
          </w:p>
        </w:tc>
        <w:tc>
          <w:tcPr>
            <w:tcW w:w="5782" w:type="dxa"/>
          </w:tcPr>
          <w:p>
            <w:pPr>
              <w:spacing w:before="20" w:after="20"/>
            </w:pPr>
            <w:r>
              <w:rPr>
                <w:sz w:val="18"/>
              </w:rPr>
              <w:t xml:space="preserve">By the backup software</w:t>
            </w:r>
          </w:p>
        </w:tc>
      </w:tr>
      <w:tr>
        <w:tc>
          <w:tcPr>
            <w:tcW w:w="3855" w:type="dxa"/>
            <w:shd w:val="clear" w:color="auto" w:fill="F2F5FA"/>
          </w:tcPr>
          <w:p>
            <w:pPr>
              <w:spacing w:before="20" w:after="20"/>
            </w:pPr>
            <w:r>
              <w:rPr>
                <w:sz w:val="18"/>
              </w:rPr>
              <w:t xml:space="preserve">Immutability</w:t>
            </w:r>
          </w:p>
        </w:tc>
        <w:tc>
          <w:tcPr>
            <w:tcW w:w="5782" w:type="dxa"/>
            <w:shd w:val="clear" w:color="auto" w:fill="F2F5FA"/>
          </w:tcPr>
          <w:p>
            <w:pPr>
              <w:spacing w:before="20" w:after="20"/>
            </w:pPr>
            <w:r>
              <w:rPr>
                <w:sz w:val="18"/>
              </w:rPr>
              <w:t xml:space="preserve">Hardened Linux repository, object lock or storage snapshots</w:t>
            </w:r>
          </w:p>
        </w:tc>
      </w:tr>
    </w:tbl>
    <w:p>
      <w:pPr>
        <w:spacing w:after="80"/>
      </w:pPr>
    </w:p>
    <w:p>
      <w:pPr>
        <w:pStyle w:val="Heading1"/>
      </w:pPr>
      <w:r>
        <w:t xml:space="preserve">5. Secondary copy and archive</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CellMar>
          <w:top w:w="60" w:type="dxa"/>
          <w:left w:w="90" w:type="dxa"/>
          <w:bottom w:w="60" w:type="dxa"/>
          <w:right w:w="90" w:type="dxa"/>
        </w:tblCellMar>
      </w:tblPr>
      <w:tblGrid>
        <w:gridCol w:w="4337"/>
        <w:gridCol w:w="5300"/>
      </w:tblGrid>
      <w:tr>
        <w:trPr>
          <w:tblHeader/>
        </w:trPr>
        <w:tc>
          <w:tcPr>
            <w:tcW w:w="4337" w:type="dxa"/>
            <w:shd w:val="clear" w:color="auto" w:fill="1F3864"/>
          </w:tcPr>
          <w:p>
            <w:pPr>
              <w:spacing w:before="20" w:after="20"/>
            </w:pPr>
            <w:r>
              <w:rPr>
                <w:b/>
                <w:color w:val="FFFFFF"/>
                <w:sz w:val="18"/>
              </w:rPr>
              <w:t xml:space="preserve">Item</w:t>
            </w:r>
          </w:p>
        </w:tc>
        <w:tc>
          <w:tcPr>
            <w:tcW w:w="5300" w:type="dxa"/>
            <w:shd w:val="clear" w:color="auto" w:fill="1F3864"/>
          </w:tcPr>
          <w:p>
            <w:pPr>
              <w:spacing w:before="20" w:after="20"/>
            </w:pPr>
            <w:r>
              <w:rPr>
                <w:b/>
                <w:color w:val="FFFFFF"/>
                <w:sz w:val="18"/>
              </w:rPr>
              <w:t xml:space="preserve">Value</w:t>
            </w:r>
          </w:p>
        </w:tc>
      </w:tr>
      <w:tr>
        <w:tc>
          <w:tcPr>
            <w:tcW w:w="4337" w:type="dxa"/>
          </w:tcPr>
          <w:p>
            <w:pPr>
              <w:spacing w:before="20" w:after="20"/>
            </w:pPr>
            <w:r>
              <w:rPr>
                <w:sz w:val="18"/>
              </w:rPr>
              <w:t xml:space="preserve">Secondary target</w:t>
            </w:r>
          </w:p>
        </w:tc>
        <w:tc>
          <w:tcPr>
            <w:tcW w:w="5300" w:type="dxa"/>
          </w:tcPr>
          <w:p>
            <w:pPr>
              <w:spacing w:before="20" w:after="20"/>
            </w:pPr>
            <w:r>
              <w:rPr>
                <w:sz w:val="18"/>
              </w:rPr>
              <w:t xml:space="preserve">Object storage (S3 / Azure Blob, immutable)</w:t>
            </w:r>
          </w:p>
        </w:tc>
      </w:tr>
      <w:tr>
        <w:tc>
          <w:tcPr>
            <w:tcW w:w="4337" w:type="dxa"/>
            <w:shd w:val="clear" w:color="auto" w:fill="F2F5FA"/>
          </w:tcPr>
          <w:p>
            <w:pPr>
              <w:spacing w:before="20" w:after="20"/>
            </w:pPr>
            <w:r>
              <w:rPr>
                <w:sz w:val="18"/>
              </w:rPr>
              <w:t xml:space="preserve">Secondary retention</w:t>
            </w:r>
          </w:p>
        </w:tc>
        <w:tc>
          <w:tcPr>
            <w:tcW w:w="5300" w:type="dxa"/>
            <w:shd w:val="clear" w:color="auto" w:fill="F2F5FA"/>
          </w:tcPr>
          <w:p>
            <w:pPr>
              <w:spacing w:before="20" w:after="20"/>
            </w:pPr>
            <w:r>
              <w:rPr>
                <w:sz w:val="18"/>
              </w:rPr>
              <w:t xml:space="preserve">7D / 4W / 12M / 7Y</w:t>
            </w:r>
          </w:p>
        </w:tc>
      </w:tr>
      <w:tr>
        <w:tc>
          <w:tcPr>
            <w:tcW w:w="4337" w:type="dxa"/>
          </w:tcPr>
          <w:p>
            <w:pPr>
              <w:spacing w:before="20" w:after="20"/>
            </w:pPr>
            <w:r>
              <w:rPr>
                <w:sz w:val="18"/>
              </w:rPr>
              <w:t xml:space="preserve">Secondary backup data</w:t>
            </w:r>
          </w:p>
        </w:tc>
        <w:tc>
          <w:tcPr>
            <w:tcW w:w="5300" w:type="dxa"/>
          </w:tcPr>
          <w:p>
            <w:pPr>
              <w:spacing w:before="20" w:after="20"/>
            </w:pPr>
            <w:r>
              <w:rPr>
                <w:sz w:val="18"/>
              </w:rPr>
              <w:t xml:space="preserve">1,116.5 TB</w:t>
            </w:r>
          </w:p>
        </w:tc>
      </w:tr>
      <w:tr>
        <w:tc>
          <w:tcPr>
            <w:tcW w:w="4337" w:type="dxa"/>
            <w:shd w:val="clear" w:color="auto" w:fill="F2F5FA"/>
          </w:tcPr>
          <w:p>
            <w:pPr>
              <w:spacing w:before="20" w:after="20"/>
            </w:pPr>
            <w:r>
              <w:rPr>
                <w:sz w:val="18"/>
              </w:rPr>
              <w:t xml:space="preserve">Secondary usable capacity</w:t>
            </w:r>
          </w:p>
        </w:tc>
        <w:tc>
          <w:tcPr>
            <w:tcW w:w="5300" w:type="dxa"/>
            <w:shd w:val="clear" w:color="auto" w:fill="F2F5FA"/>
          </w:tcPr>
          <w:p>
            <w:pPr>
              <w:spacing w:before="20" w:after="20"/>
            </w:pPr>
            <w:r>
              <w:rPr>
                <w:sz w:val="18"/>
              </w:rPr>
              <w:t xml:space="preserve">1,313.1 TB</w:t>
            </w:r>
          </w:p>
        </w:tc>
      </w:tr>
      <w:tr>
        <w:tc>
          <w:tcPr>
            <w:tcW w:w="4337" w:type="dxa"/>
          </w:tcPr>
          <w:p>
            <w:pPr>
              <w:spacing w:before="20" w:after="20"/>
            </w:pPr>
            <w:r>
              <w:rPr>
                <w:sz w:val="18"/>
              </w:rPr>
              <w:t xml:space="preserve">Secondary raw capacity</w:t>
            </w:r>
          </w:p>
        </w:tc>
        <w:tc>
          <w:tcPr>
            <w:tcW w:w="5300" w:type="dxa"/>
          </w:tcPr>
          <w:p>
            <w:pPr>
              <w:spacing w:before="20" w:after="20"/>
            </w:pPr>
            <w:r>
              <w:rPr>
                <w:sz w:val="18"/>
              </w:rPr>
              <w:t xml:space="preserve">1,313.1 TB</w:t>
            </w:r>
          </w:p>
        </w:tc>
      </w:tr>
      <w:tr>
        <w:tc>
          <w:tcPr>
            <w:tcW w:w="4337" w:type="dxa"/>
            <w:shd w:val="clear" w:color="auto" w:fill="F2F5FA"/>
          </w:tcPr>
          <w:p>
            <w:pPr>
              <w:spacing w:before="20" w:after="20"/>
            </w:pPr>
            <w:r>
              <w:rPr>
                <w:sz w:val="18"/>
              </w:rPr>
              <w:t xml:space="preserve">Replication bandwidth</w:t>
            </w:r>
          </w:p>
        </w:tc>
        <w:tc>
          <w:tcPr>
            <w:tcW w:w="5300" w:type="dxa"/>
            <w:shd w:val="clear" w:color="auto" w:fill="F2F5FA"/>
          </w:tcPr>
          <w:p>
            <w:pPr>
              <w:spacing w:before="20" w:after="20"/>
            </w:pPr>
            <w:r>
              <w:rPr>
                <w:sz w:val="18"/>
              </w:rPr>
              <w:t xml:space="preserve">1,931 Mbps over 8.0 h</w:t>
            </w:r>
          </w:p>
        </w:tc>
      </w:tr>
    </w:tbl>
    <w:p>
      <w:pPr>
        <w:spacing w:after="80"/>
      </w:pPr>
    </w:p>
    <w:p>
      <w:pPr>
        <w:pStyle w:val="Heading1"/>
      </w:pPr>
      <w:r>
        <w:t xml:space="preserve">7. Year-by-year forecast</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CellMar>
          <w:top w:w="60" w:type="dxa"/>
          <w:left w:w="90" w:type="dxa"/>
          <w:bottom w:w="60" w:type="dxa"/>
          <w:right w:w="90" w:type="dxa"/>
        </w:tblCellMar>
      </w:tblPr>
      <w:tblGrid>
        <w:gridCol w:w="1734"/>
        <w:gridCol w:w="1734"/>
        <w:gridCol w:w="1734"/>
        <w:gridCol w:w="1542"/>
        <w:gridCol w:w="1542"/>
        <w:gridCol w:w="1349"/>
      </w:tblGrid>
      <w:tr>
        <w:trPr>
          <w:tblHeader/>
        </w:trPr>
        <w:tc>
          <w:tcPr>
            <w:tcW w:w="1734" w:type="dxa"/>
            <w:shd w:val="clear" w:color="auto" w:fill="1F3864"/>
          </w:tcPr>
          <w:p>
            <w:pPr>
              <w:spacing w:before="20" w:after="20"/>
            </w:pPr>
            <w:r>
              <w:rPr>
                <w:b/>
                <w:color w:val="FFFFFF"/>
                <w:sz w:val="18"/>
              </w:rPr>
              <w:t xml:space="preserve">Period</w:t>
            </w:r>
          </w:p>
        </w:tc>
        <w:tc>
          <w:tcPr>
            <w:tcW w:w="1734" w:type="dxa"/>
            <w:shd w:val="clear" w:color="auto" w:fill="1F3864"/>
          </w:tcPr>
          <w:p>
            <w:pPr>
              <w:spacing w:before="20" w:after="20"/>
            </w:pPr>
            <w:r>
              <w:rPr>
                <w:b/>
                <w:color w:val="FFFFFF"/>
                <w:sz w:val="18"/>
              </w:rPr>
              <w:t xml:space="preserve">Front-end TB</w:t>
            </w:r>
          </w:p>
        </w:tc>
        <w:tc>
          <w:tcPr>
            <w:tcW w:w="1734" w:type="dxa"/>
            <w:shd w:val="clear" w:color="auto" w:fill="1F3864"/>
          </w:tcPr>
          <w:p>
            <w:pPr>
              <w:spacing w:before="20" w:after="20"/>
            </w:pPr>
            <w:r>
              <w:rPr>
                <w:b/>
                <w:color w:val="FFFFFF"/>
                <w:sz w:val="18"/>
              </w:rPr>
              <w:t xml:space="preserve">Backup data TB</w:t>
            </w:r>
          </w:p>
        </w:tc>
        <w:tc>
          <w:tcPr>
            <w:tcW w:w="1542" w:type="dxa"/>
            <w:shd w:val="clear" w:color="auto" w:fill="1F3864"/>
          </w:tcPr>
          <w:p>
            <w:pPr>
              <w:spacing w:before="20" w:after="20"/>
            </w:pPr>
            <w:r>
              <w:rPr>
                <w:b/>
                <w:color w:val="FFFFFF"/>
                <w:sz w:val="18"/>
              </w:rPr>
              <w:t xml:space="preserve">Usable TB</w:t>
            </w:r>
          </w:p>
        </w:tc>
        <w:tc>
          <w:tcPr>
            <w:tcW w:w="1542" w:type="dxa"/>
            <w:shd w:val="clear" w:color="auto" w:fill="1F3864"/>
          </w:tcPr>
          <w:p>
            <w:pPr>
              <w:spacing w:before="20" w:after="20"/>
            </w:pPr>
            <w:r>
              <w:rPr>
                <w:b/>
                <w:color w:val="FFFFFF"/>
                <w:sz w:val="18"/>
              </w:rPr>
              <w:t xml:space="preserve">Raw TB</w:t>
            </w:r>
          </w:p>
        </w:tc>
        <w:tc>
          <w:tcPr>
            <w:tcW w:w="1349" w:type="dxa"/>
            <w:shd w:val="clear" w:color="auto" w:fill="1F3864"/>
          </w:tcPr>
          <w:p>
            <w:pPr>
              <w:spacing w:before="20" w:after="20"/>
            </w:pPr>
            <w:r>
              <w:rPr>
                <w:b/>
                <w:color w:val="FFFFFF"/>
                <w:sz w:val="18"/>
              </w:rPr>
              <w:t xml:space="preserve">Drives</w:t>
            </w:r>
          </w:p>
        </w:tc>
      </w:tr>
      <w:tr>
        <w:tc>
          <w:tcPr>
            <w:tcW w:w="1734" w:type="dxa"/>
          </w:tcPr>
          <w:p>
            <w:pPr>
              <w:spacing w:before="20" w:after="20"/>
            </w:pPr>
            <w:r>
              <w:rPr>
                <w:sz w:val="18"/>
              </w:rPr>
              <w:t xml:space="preserve">Year 1</w:t>
            </w:r>
          </w:p>
        </w:tc>
        <w:tc>
          <w:tcPr>
            <w:tcW w:w="1734" w:type="dxa"/>
          </w:tcPr>
          <w:p>
            <w:pPr>
              <w:spacing w:before="20" w:after="20"/>
            </w:pPr>
            <w:r>
              <w:rPr>
                <w:sz w:val="18"/>
              </w:rPr>
              <w:t xml:space="preserve">178.4</w:t>
            </w:r>
          </w:p>
        </w:tc>
        <w:tc>
          <w:tcPr>
            <w:tcW w:w="1734" w:type="dxa"/>
          </w:tcPr>
          <w:p>
            <w:pPr>
              <w:spacing w:before="20" w:after="20"/>
            </w:pPr>
            <w:r>
              <w:rPr>
                <w:sz w:val="18"/>
              </w:rPr>
              <w:t xml:space="preserve">790.1</w:t>
            </w:r>
          </w:p>
        </w:tc>
        <w:tc>
          <w:tcPr>
            <w:tcW w:w="1542" w:type="dxa"/>
          </w:tcPr>
          <w:p>
            <w:pPr>
              <w:spacing w:before="20" w:after="20"/>
            </w:pPr>
            <w:r>
              <w:rPr>
                <w:sz w:val="18"/>
              </w:rPr>
              <w:t xml:space="preserve">1,195.8</w:t>
            </w:r>
          </w:p>
        </w:tc>
        <w:tc>
          <w:tcPr>
            <w:tcW w:w="1542" w:type="dxa"/>
          </w:tcPr>
          <w:p>
            <w:pPr>
              <w:spacing w:before="20" w:after="20"/>
            </w:pPr>
            <w:r>
              <w:rPr>
                <w:sz w:val="18"/>
              </w:rPr>
              <w:t xml:space="preserve">1,435.0</w:t>
            </w:r>
          </w:p>
        </w:tc>
        <w:tc>
          <w:tcPr>
            <w:tcW w:w="1349" w:type="dxa"/>
          </w:tcPr>
          <w:p>
            <w:pPr>
              <w:spacing w:before="20" w:after="20"/>
            </w:pPr>
            <w:r>
              <w:rPr>
                <w:sz w:val="18"/>
              </w:rPr>
              <w:t xml:space="preserve">82</w:t>
            </w:r>
          </w:p>
        </w:tc>
      </w:tr>
      <w:tr>
        <w:tc>
          <w:tcPr>
            <w:tcW w:w="1734" w:type="dxa"/>
            <w:shd w:val="clear" w:color="auto" w:fill="F2F5FA"/>
          </w:tcPr>
          <w:p>
            <w:pPr>
              <w:spacing w:before="20" w:after="20"/>
            </w:pPr>
            <w:r>
              <w:rPr>
                <w:sz w:val="18"/>
              </w:rPr>
              <w:t xml:space="preserve">Year 2</w:t>
            </w:r>
          </w:p>
        </w:tc>
        <w:tc>
          <w:tcPr>
            <w:tcW w:w="1734" w:type="dxa"/>
            <w:shd w:val="clear" w:color="auto" w:fill="F2F5FA"/>
          </w:tcPr>
          <w:p>
            <w:pPr>
              <w:spacing w:before="20" w:after="20"/>
            </w:pPr>
            <w:r>
              <w:rPr>
                <w:sz w:val="18"/>
              </w:rPr>
              <w:t xml:space="preserve">199.0</w:t>
            </w:r>
          </w:p>
        </w:tc>
        <w:tc>
          <w:tcPr>
            <w:tcW w:w="1734" w:type="dxa"/>
            <w:shd w:val="clear" w:color="auto" w:fill="F2F5FA"/>
          </w:tcPr>
          <w:p>
            <w:pPr>
              <w:spacing w:before="20" w:after="20"/>
            </w:pPr>
            <w:r>
              <w:rPr>
                <w:sz w:val="18"/>
              </w:rPr>
              <w:t xml:space="preserve">881.0</w:t>
            </w:r>
          </w:p>
        </w:tc>
        <w:tc>
          <w:tcPr>
            <w:tcW w:w="1542" w:type="dxa"/>
            <w:shd w:val="clear" w:color="auto" w:fill="F2F5FA"/>
          </w:tcPr>
          <w:p>
            <w:pPr>
              <w:spacing w:before="20" w:after="20"/>
            </w:pPr>
            <w:r>
              <w:rPr>
                <w:sz w:val="18"/>
              </w:rPr>
              <w:t xml:space="preserve">1,333.4</w:t>
            </w:r>
          </w:p>
        </w:tc>
        <w:tc>
          <w:tcPr>
            <w:tcW w:w="1542" w:type="dxa"/>
            <w:shd w:val="clear" w:color="auto" w:fill="F2F5FA"/>
          </w:tcPr>
          <w:p>
            <w:pPr>
              <w:spacing w:before="20" w:after="20"/>
            </w:pPr>
            <w:r>
              <w:rPr>
                <w:sz w:val="18"/>
              </w:rPr>
              <w:t xml:space="preserve">1,600.1</w:t>
            </w:r>
          </w:p>
        </w:tc>
        <w:tc>
          <w:tcPr>
            <w:tcW w:w="1349" w:type="dxa"/>
            <w:shd w:val="clear" w:color="auto" w:fill="F2F5FA"/>
          </w:tcPr>
          <w:p>
            <w:pPr>
              <w:spacing w:before="20" w:after="20"/>
            </w:pPr>
            <w:r>
              <w:rPr>
                <w:sz w:val="18"/>
              </w:rPr>
              <w:t xml:space="preserve">91</w:t>
            </w:r>
          </w:p>
        </w:tc>
      </w:tr>
      <w:tr>
        <w:tc>
          <w:tcPr>
            <w:tcW w:w="1734" w:type="dxa"/>
          </w:tcPr>
          <w:p>
            <w:pPr>
              <w:spacing w:before="20" w:after="20"/>
            </w:pPr>
            <w:r>
              <w:rPr>
                <w:sz w:val="18"/>
              </w:rPr>
              <w:t xml:space="preserve">Year 3</w:t>
            </w:r>
          </w:p>
        </w:tc>
        <w:tc>
          <w:tcPr>
            <w:tcW w:w="1734" w:type="dxa"/>
          </w:tcPr>
          <w:p>
            <w:pPr>
              <w:spacing w:before="20" w:after="20"/>
            </w:pPr>
            <w:r>
              <w:rPr>
                <w:sz w:val="18"/>
              </w:rPr>
              <w:t xml:space="preserve">222.0</w:t>
            </w:r>
          </w:p>
        </w:tc>
        <w:tc>
          <w:tcPr>
            <w:tcW w:w="1734" w:type="dxa"/>
          </w:tcPr>
          <w:p>
            <w:pPr>
              <w:spacing w:before="20" w:after="20"/>
            </w:pPr>
            <w:r>
              <w:rPr>
                <w:sz w:val="18"/>
              </w:rPr>
              <w:t xml:space="preserve">982.7</w:t>
            </w:r>
          </w:p>
        </w:tc>
        <w:tc>
          <w:tcPr>
            <w:tcW w:w="1542" w:type="dxa"/>
          </w:tcPr>
          <w:p>
            <w:pPr>
              <w:spacing w:before="20" w:after="20"/>
            </w:pPr>
            <w:r>
              <w:rPr>
                <w:sz w:val="18"/>
              </w:rPr>
              <w:t xml:space="preserve">1,487.4</w:t>
            </w:r>
          </w:p>
        </w:tc>
        <w:tc>
          <w:tcPr>
            <w:tcW w:w="1542" w:type="dxa"/>
          </w:tcPr>
          <w:p>
            <w:pPr>
              <w:spacing w:before="20" w:after="20"/>
            </w:pPr>
            <w:r>
              <w:rPr>
                <w:sz w:val="18"/>
              </w:rPr>
              <w:t xml:space="preserve">1,784.9</w:t>
            </w:r>
          </w:p>
        </w:tc>
        <w:tc>
          <w:tcPr>
            <w:tcW w:w="1349" w:type="dxa"/>
          </w:tcPr>
          <w:p>
            <w:pPr>
              <w:spacing w:before="20" w:after="20"/>
            </w:pPr>
            <w:r>
              <w:rPr>
                <w:sz w:val="18"/>
              </w:rPr>
              <w:t xml:space="preserve">102</w:t>
            </w:r>
          </w:p>
        </w:tc>
      </w:tr>
    </w:tbl>
    <w:p>
      <w:pPr>
        <w:spacing w:after="80"/>
      </w:pPr>
    </w:p>
    <w:p>
      <w:pPr>
        <w:pStyle w:val="Heading1"/>
      </w:pPr>
      <w:r>
        <w:t xml:space="preserve">8. Recommendations</w:t>
      </w:r>
    </w:p>
    <w:p>
      <w:pPr>
        <w:pStyle w:val="BsztBullet"/>
      </w:pPr>
      <w:r>
        <w:t xml:space="preserve">•  Provision at least 1,487.4 TB of usable capacity on the primary backup target (1,784.9 TB raw with RAID 6 / DP (n-2)).</w:t>
      </w:r>
    </w:p>
    <w:p>
      <w:pPr>
        <w:pStyle w:val="BsztBullet"/>
      </w:pPr>
      <w:r>
        <w:t xml:space="preserve">•  That equates to approximately 100 x 18.0 TB drives plus hot spares (102 drives in total).</w:t>
      </w:r>
    </w:p>
    <w:p>
      <w:pPr>
        <w:pStyle w:val="BsztBullet"/>
      </w:pPr>
      <w:r>
        <w:t xml:space="preserve">•  Enable immutability on the primary repository: Hardened Linux repository (XFS immutable flag).</w:t>
      </w:r>
    </w:p>
    <w:p>
      <w:pPr>
        <w:pStyle w:val="BsztBullet"/>
      </w:pPr>
      <w:r>
        <w:t xml:space="preserve">•  Secondary copy on Object storage (S3 / Azure Blob, immutable) requires 1,313.1 TB usable and about 1,931 Mbps of replication bandwidth.</w:t>
      </w:r>
    </w:p>
    <w:p>
      <w:pPr>
        <w:pStyle w:val="BsztBullet"/>
      </w:pPr>
      <w:r>
        <w:t xml:space="preserve">•  Sustained ingest for the daily incremental run is about 371 MB/s inside a 8.0 hour window; size proxies and network accordingly.</w:t>
      </w:r>
    </w:p>
    <w:p>
      <w:pPr>
        <w:pStyle w:val="BsztBullet"/>
      </w:pPr>
      <w:r>
        <w:t xml:space="preserve">•  Re-validate the data reduction ratio with a real assessment before placing a hardware order: it is the single largest driver of the result.</w:t>
      </w:r>
    </w:p>
    <w:p>
      <w:pPr>
        <w:pStyle w:val="Heading2"/>
      </w:pPr>
      <w:r>
        <w:t xml:space="preserve">8.1 Platform notes</w:t>
      </w:r>
    </w:p>
    <w:p>
      <w:r>
        <w:t xml:space="preserve">Per-VM backup chains on ReFS/XFS give block-clone savings on synthetic and GFS fulls. Add a performance-tier extent to the scale-out backup repository.</w:t>
      </w:r>
    </w:p>
    <w:p>
      <w:pPr>
        <w:pStyle w:val="Heading1"/>
      </w:pPr>
      <w:r>
        <w:t xml:space="preserve">9. Assumptions and exclusions</w:t>
      </w:r>
    </w:p>
    <w:p>
      <w:pPr>
        <w:pStyle w:val="BsztBullet"/>
      </w:pPr>
      <w:r>
        <w:t xml:space="preserve">•  Capacity is sized for the END of a 3-year horizon: every retained restore point is costed against the year-3 front-end size.</w:t>
      </w:r>
    </w:p>
    <w:p>
      <w:pPr>
        <w:pStyle w:val="BsztBullet"/>
      </w:pPr>
      <w:r>
        <w:t xml:space="preserve">•  Data reduction defaults come from the Veeam Backup &amp; Replication profile and were applied per workload type; they are planning estimates, not a guarantee.</w:t>
      </w:r>
    </w:p>
    <w:p>
      <w:pPr>
        <w:pStyle w:val="BsztBullet"/>
      </w:pPr>
      <w:r>
        <w:t xml:space="preserve">•  Retention: 14 daily, 4 weekly, 12 monthly, 3 yearly restore points (GFS).</w:t>
      </w:r>
    </w:p>
    <w:p>
      <w:pPr>
        <w:pStyle w:val="BsztBullet"/>
      </w:pPr>
      <w:r>
        <w:t xml:space="preserve">•  Each retained GFS full stores only the data that changed since the previous retained point (block clone or incremental forever). Unique change is modelled from each workload's daily change rate, concentrated in an active working set of 30% of the data, over the spacing of the tier (7 days weekly, 30 monthly, 365 yearly), then reduced at the changed-data ratio. The same model applies to every target, so storage options are compared like for like.</w:t>
      </w:r>
    </w:p>
    <w:p>
      <w:pPr>
        <w:pStyle w:val="BsztBullet"/>
      </w:pPr>
      <w:r>
        <w:t xml:space="preserve">•  Overheads applied: 2% index/metadata, 10% working space (of one full), 10% immutability/WORM reserve, 7% file-system overhead and 20% free-space reserve.</w:t>
      </w:r>
    </w:p>
    <w:p>
      <w:pPr>
        <w:pStyle w:val="BsztBullet"/>
      </w:pPr>
      <w:r>
        <w:t xml:space="preserve">•  Raw capacity derived from usable using RAID 6 / DP (n-2) at 83.3% efficiency, on 18.0 TB drives plus 2 hot spare(s).</w:t>
      </w:r>
    </w:p>
    <w:p>
      <w:pPr>
        <w:pStyle w:val="BsztBullet"/>
      </w:pPr>
      <w:r>
        <w:t xml:space="preserve">•  All capacities are decimal TB (1 TB = 1,000,000,000,000 bytes) unless stated otherwise.</w:t>
      </w:r>
    </w:p>
    <w:p>
      <w:pPr>
        <w:pStyle w:val="BsztBullet"/>
      </w:pPr>
      <w:r>
        <w:t xml:space="preserve">•  Sizing does not include the operating system, backup server, database/catalogue servers or proxy infrastructure.</w:t>
      </w:r>
    </w:p>
    <w:p>
      <w:r>
        <w:t xml:space="preserve"/>
      </w:r>
    </w:p>
    <w:p>
      <w:r>
        <w:rPr>
          <w:i/>
        </w:rPr>
        <w:t xml:space="preserve">Generated by the Niyya Backup Storage Sizing Tool (BSZT) - 2026-09-20 22:32</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52" w:lineRule="auto"/>
      </w:pPr>
    </w:pPrDefault>
  </w:docDefaults>
  <w:style w:type="paragraph" w:default="1" w:styleId="Normal">
    <w:name w:val="Normal"/>
  </w:style>
  <w:style w:type="paragraph" w:styleId="BsztTitle">
    <w:name w:val="BSZT Title"/>
    <w:basedOn w:val="Normal"/>
    <w:pPr>
      <w:spacing w:before="0" w:after="60"/>
    </w:pPr>
    <w:rPr>
      <w:b/>
      <w:color w:val="1F3864"/>
      <w:sz w:val="52"/>
    </w:rPr>
  </w:style>
  <w:style w:type="paragraph" w:styleId="BsztSubtitle">
    <w:name w:val="BSZT Subtitle"/>
    <w:basedOn w:val="Normal"/>
    <w:pPr>
      <w:spacing w:after="360"/>
    </w:pPr>
    <w:rPr>
      <w:color w:val="595959"/>
      <w:sz w:val="26"/>
    </w:rPr>
  </w:style>
  <w:style w:type="paragraph" w:styleId="Heading1">
    <w:name w:val="heading 1"/>
    <w:basedOn w:val="Normal"/>
    <w:pPr>
      <w:keepNext/>
      <w:pBdr>
        <w:bottom w:val="single" w:sz="8" w:color="2E86C1"/>
      </w:pBdr>
      <w:spacing w:before="320" w:after="140"/>
    </w:pPr>
    <w:rPr>
      <w:b/>
      <w:color w:val="1F3864"/>
      <w:sz w:val="30"/>
    </w:rPr>
  </w:style>
  <w:style w:type="paragraph" w:styleId="Heading2">
    <w:name w:val="heading 2"/>
    <w:basedOn w:val="Normal"/>
    <w:pPr>
      <w:keepNext/>
      <w:spacing w:before="240" w:after="100"/>
    </w:pPr>
    <w:rPr>
      <w:b/>
      <w:color w:val="2E86C1"/>
      <w:sz w:val="24"/>
    </w:rPr>
  </w:style>
  <w:style w:type="paragraph" w:styleId="Heading3">
    <w:name w:val="heading 3"/>
    <w:basedOn w:val="Normal"/>
    <w:pPr>
      <w:keepNext/>
      <w:spacing w:before="180" w:after="80"/>
    </w:pPr>
    <w:rPr>
      <w:b/>
      <w:color w:val="404040"/>
      <w:sz w:val="22"/>
    </w:rPr>
  </w:style>
  <w:style w:type="paragraph" w:styleId="BsztBullet">
    <w:name w:val="BSZT Bullet"/>
    <w:basedOn w:val="Normal"/>
    <w:pPr>
      <w:spacing w:after="60"/>
      <w:ind w:left="340" w:hanging="20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Niyya Software BSZT</Application>
</Properties>
</file>

<file path=docProps/core.xml><?xml version="1.0" encoding="utf-8"?>
<cp:coreProperties xmlns:cp="http://schemas.openxmlformats.org/package/2006/metadata/core-properties" xmlns:dc="http://purl.org/dc/elements/1.1/" xmlns:dcterms="http://purl.org/dc/terms/" xmlns:xsi="http://www.w3.org/2001/XMLSchema-instance">
  <dc:title>Backup storage sizing - production estate - Backup Storage Sizing</dc:title>
  <dc:creator>Niyya Software BSZT</dc:creator>
  <cp:lastModifiedBy>Niyya Software BSZT</cp:lastModifiedBy>
  <dcterms:created xsi:type="dcterms:W3CDTF">2026-09-20T22:32:22+03:00</dcterms:created>
  <dcterms:modified xsi:type="dcterms:W3CDTF">2026-09-20T22:32:22+03:00</dcterms:modified>
</cp:coreProperties>
</file>