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4.xml" ContentType="application/vnd.openxmlformats-officedocument.wordprocessingml.head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left"/>
      </w:pPr>
      <w:r>
        <w:pict>
          <v:shape type="#_x0000_t75" stroked="f" style="width:54pt; height:54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/>
      <w:r>
        <w:rPr>
          <w:color w:val="F06FA8"/>
          <w:sz w:val="22"/>
          <w:szCs w:val="22"/>
          <w:b w:val="1"/>
          <w:bCs w:val="1"/>
          <w:spacing w:val="40"/>
        </w:rPr>
        <w:t xml:space="preserve">CITRIX SIZER  by Niyyasoft</w:t>
      </w:r>
    </w:p>
    <w:p>
      <w:pPr>
        <w:spacing w:after="120"/>
      </w:pPr>
      <w:r>
        <w:rPr>
          <w:color w:val="0B0B0B"/>
          <w:sz w:val="60"/>
          <w:szCs w:val="60"/>
          <w:b w:val="1"/>
          <w:bCs w:val="1"/>
        </w:rPr>
        <w:t xml:space="preserve">Technical Sizing Report</w:t>
      </w:r>
    </w:p>
    <w:p>
      <w:pPr>
        <w:spacing w:after="60"/>
      </w:pPr>
      <w:r>
        <w:rPr>
          <w:color w:val="0B0B0B"/>
          <w:sz w:val="36"/>
          <w:szCs w:val="36"/>
        </w:rPr>
        <w:t xml:space="preserve">Workspace modernisation 2027</w:t>
      </w:r>
    </w:p>
    <w:p>
      <w:pPr>
        <w:spacing w:after="600"/>
      </w:pPr>
      <w:r>
        <w:rPr>
          <w:color w:val="6B6B66"/>
          <w:sz w:val="28"/>
          <w:szCs w:val="28"/>
        </w:rPr>
        <w:t xml:space="preserve">Northwind Health (demo)</w:t>
      </w:r>
    </w:p>
    <w:tbl>
      <w:tblGrid>
        <w:gridCol w:w="3200" w:type="dxa"/>
        <w:gridCol w:w="6000" w:type="dxa"/>
      </w:tblGrid>
      <w:tblPr>
        <w:tblStyle w:val="cs"/>
      </w:tblPr>
      <w:tr>
        <w:trPr/>
        <w:tc>
          <w:tcPr>
            <w:tcW w:w="3200" w:type="dxa"/>
            <w:shd w:val="clear" w:fill="F3F1EC"/>
            <w:noWrap/>
          </w:tcPr>
          <w:p>
            <w:pPr/>
            <w:r>
              <w:rPr>
                <w:b w:val="1"/>
                <w:bCs w:val="1"/>
              </w:rPr>
              <w:t xml:space="preserve">Customer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Northwind Health (demo)</w:t>
            </w:r>
          </w:p>
        </w:tc>
      </w:tr>
      <w:tr>
        <w:trPr/>
        <w:tc>
          <w:tcPr>
            <w:tcW w:w="3200" w:type="dxa"/>
            <w:shd w:val="clear" w:fill="F3F1EC"/>
            <w:noWrap/>
          </w:tcPr>
          <w:p>
            <w:pPr/>
            <w:r>
              <w:rPr>
                <w:b w:val="1"/>
                <w:bCs w:val="1"/>
              </w:rPr>
              <w:t xml:space="preserve">Project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Workspace modernisation 2027</w:t>
            </w:r>
          </w:p>
        </w:tc>
      </w:tr>
      <w:tr>
        <w:trPr/>
        <w:tc>
          <w:tcPr>
            <w:tcW w:w="3200" w:type="dxa"/>
            <w:shd w:val="clear" w:fill="F3F1EC"/>
            <w:noWrap/>
          </w:tcPr>
          <w:p>
            <w:pPr/>
            <w:r>
              <w:rPr>
                <w:b w:val="1"/>
                <w:bCs w:val="1"/>
              </w:rPr>
              <w:t xml:space="preserve">Engagement reference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DEMO-001</w:t>
            </w:r>
          </w:p>
        </w:tc>
      </w:tr>
      <w:tr>
        <w:trPr/>
        <w:tc>
          <w:tcPr>
            <w:tcW w:w="3200" w:type="dxa"/>
            <w:shd w:val="clear" w:fill="F3F1EC"/>
            <w:noWrap/>
          </w:tcPr>
          <w:p>
            <w:pPr/>
            <w:r>
              <w:rPr>
                <w:b w:val="1"/>
                <w:bCs w:val="1"/>
              </w:rPr>
              <w:t xml:space="preserve">Prepared by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Dev Administrator</w:t>
            </w:r>
          </w:p>
        </w:tc>
      </w:tr>
      <w:tr>
        <w:trPr/>
        <w:tc>
          <w:tcPr>
            <w:tcW w:w="3200" w:type="dxa"/>
            <w:shd w:val="clear" w:fill="F3F1EC"/>
            <w:noWrap/>
          </w:tcPr>
          <w:p>
            <w:pPr/>
            <w:r>
              <w:rPr>
                <w:b w:val="1"/>
                <w:bCs w:val="1"/>
              </w:rPr>
              <w:t xml:space="preserve">Version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v4</w:t>
            </w:r>
          </w:p>
        </w:tc>
      </w:tr>
      <w:tr>
        <w:trPr/>
        <w:tc>
          <w:tcPr>
            <w:tcW w:w="3200" w:type="dxa"/>
            <w:shd w:val="clear" w:fill="F3F1EC"/>
            <w:noWrap/>
          </w:tcPr>
          <w:p>
            <w:pPr/>
            <w:r>
              <w:rPr>
                <w:b w:val="1"/>
                <w:bCs w:val="1"/>
              </w:rPr>
              <w:t xml:space="preserve">Calculated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2026-10-02 02:07 UTC</w:t>
            </w:r>
          </w:p>
        </w:tc>
      </w:tr>
      <w:tr>
        <w:trPr/>
        <w:tc>
          <w:tcPr>
            <w:tcW w:w="3200" w:type="dxa"/>
            <w:shd w:val="clear" w:fill="F3F1EC"/>
            <w:noWrap/>
          </w:tcPr>
          <w:p>
            <w:pPr/>
            <w:r>
              <w:rPr>
                <w:b w:val="1"/>
                <w:bCs w:val="1"/>
              </w:rPr>
              <w:t xml:space="preserve">Sizing status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Preliminary estimate - validation items open</w:t>
            </w:r>
          </w:p>
        </w:tc>
      </w:tr>
      <w:tr>
        <w:trPr/>
        <w:tc>
          <w:tcPr>
            <w:tcW w:w="3200" w:type="dxa"/>
            <w:shd w:val="clear" w:fill="F3F1EC"/>
            <w:noWrap/>
          </w:tcPr>
          <w:p>
            <w:pPr/>
            <w:r>
              <w:rPr>
                <w:b w:val="1"/>
                <w:bCs w:val="1"/>
              </w:rPr>
              <w:t xml:space="preserve">Scenario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Balanced</w:t>
            </w:r>
          </w:p>
        </w:tc>
      </w:tr>
      <w:tr>
        <w:trPr/>
        <w:tc>
          <w:tcPr>
            <w:tcW w:w="3200" w:type="dxa"/>
            <w:shd w:val="clear" w:fill="F3F1EC"/>
            <w:noWrap/>
          </w:tcPr>
          <w:p>
            <w:pPr/>
            <w:r>
              <w:rPr>
                <w:b w:val="1"/>
                <w:bCs w:val="1"/>
              </w:rPr>
              <w:t xml:space="preserve">Citrix release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Citrix Virtual Apps and Desktops 2607 LTSR</w:t>
            </w:r>
          </w:p>
        </w:tc>
      </w:tr>
      <w:tr>
        <w:trPr/>
        <w:tc>
          <w:tcPr>
            <w:tcW w:w="3200" w:type="dxa"/>
            <w:shd w:val="clear" w:fill="F3F1EC"/>
            <w:noWrap/>
          </w:tcPr>
          <w:p>
            <w:pPr/>
            <w:r>
              <w:rPr>
                <w:b w:val="1"/>
                <w:bCs w:val="1"/>
              </w:rPr>
              <w:t xml:space="preserve">Engine version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1.0.0 / app 1.0.0</w:t>
            </w:r>
          </w:p>
        </w:tc>
      </w:tr>
    </w:tbl>
    <w:p/>
    <w:p/>
    <w:p>
      <w:pPr/>
      <w:r>
        <w:rPr>
          <w:color w:val="6B6B66"/>
          <w:sz w:val="18"/>
          <w:szCs w:val="18"/>
          <w:i w:val="1"/>
          <w:iCs w:val="1"/>
        </w:rPr>
        <w:t xml:space="preserve">This sizing is an engineering estimate. It is not certified by Citrix or any hardware vendor and must be validated (load testing / proof of concept, vendor configurators) before production use.</w:t>
      </w:r>
    </w:p>
    <w:p>
      <w:pPr/>
      <w:r>
        <w:rPr>
          <w:rStyle w:val="small"/>
        </w:rPr>
        <w:t xml:space="preserve">Citrix is a trademark of Cloud Software Group, Inc. This report was produced with Citrix Sizer by Niyyasoft, which is not affiliated with or endorsed by Citrix.</w:t>
      </w:r>
    </w:p>
    <w:p>
      <w:pPr>
        <w:sectPr>
          <w:pgSz w:orient="portrait" w:w="11905.511811023622" w:h="16837.79527559055"/>
          <w:pgMar w:top="1700.787401574803" w:right="1440" w:bottom="1440" w:left="1440" w:header="720" w:footer="720" w:gutter="0"/>
          <w:cols w:num="1" w:space="720"/>
        </w:sectPr>
      </w:pPr>
    </w:p>
    <w:p>
      <w:pPr/>
      <w:r>
        <w:rPr>
          <w:sz w:val="32"/>
          <w:szCs w:val="32"/>
          <w:b w:val="1"/>
          <w:bCs w:val="1"/>
        </w:rPr>
        <w:t xml:space="preserve">Contents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1-2 \h \z \u</w:instrText>
      </w:r>
      <w:r>
        <w:fldChar w:fldCharType="separate"/>
      </w:r>
      <w:hyperlink w:anchor="_Toc0" w:history="1">
        <w:r>
          <w:rPr>
            <w:sz w:val="20"/>
            <w:szCs w:val="20"/>
          </w:rPr>
          <w:t>1. Executive summary</w:t>
        </w:r>
        <w:r>
          <w:tab/>
        </w:r>
        <w:r>
          <w:fldChar w:fldCharType="begin"/>
        </w:r>
        <w:r>
          <w:instrText xml:space="preserve">PAGEREF 0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1" w:history="1">
        <w:r>
          <w:rPr>
            <w:sz w:val="20"/>
            <w:szCs w:val="20"/>
          </w:rPr>
          <w:t>2. Customer requirements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2" w:history="1">
        <w:r>
          <w:rPr>
            <w:sz w:val="20"/>
            <w:szCs w:val="20"/>
          </w:rPr>
          <w:t>3. Workload profile</w:t>
        </w:r>
        <w:r>
          <w:tab/>
        </w:r>
        <w:r>
          <w:fldChar w:fldCharType="begin"/>
        </w:r>
        <w:r>
          <w:instrText xml:space="preserve">PAGEREF 2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3" w:history="1">
        <w:r>
          <w:rPr>
            <w:sz w:val="20"/>
            <w:szCs w:val="20"/>
          </w:rPr>
          <w:t>4. Design assumptions</w:t>
        </w:r>
        <w:r>
          <w:tab/>
        </w:r>
        <w:r>
          <w:fldChar w:fldCharType="begin"/>
        </w:r>
        <w:r>
          <w:instrText xml:space="preserve">PAGEREF 3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4" w:history="1">
        <w:r>
          <w:rPr>
            <w:sz w:val="20"/>
            <w:szCs w:val="20"/>
          </w:rPr>
          <w:t>5. Sizing methodology</w:t>
        </w:r>
        <w:r>
          <w:tab/>
        </w:r>
        <w:r>
          <w:fldChar w:fldCharType="begin"/>
        </w:r>
        <w:r>
          <w:instrText xml:space="preserve">PAGEREF 4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5" w:history="1">
        <w:r>
          <w:rPr>
            <w:sz w:val="20"/>
            <w:szCs w:val="20"/>
          </w:rPr>
          <w:t>6. Compute sizing</w:t>
        </w:r>
        <w:r>
          <w:tab/>
        </w:r>
        <w:r>
          <w:fldChar w:fldCharType="begin"/>
        </w:r>
        <w:r>
          <w:instrText xml:space="preserve">PAGEREF 5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6" w:history="1">
        <w:r>
          <w:rPr>
            <w:sz w:val="20"/>
            <w:szCs w:val="20"/>
          </w:rPr>
          <w:t>7. Memory sizing</w:t>
        </w:r>
        <w:r>
          <w:tab/>
        </w:r>
        <w:r>
          <w:fldChar w:fldCharType="begin"/>
        </w:r>
        <w:r>
          <w:instrText xml:space="preserve">PAGEREF 6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7" w:history="1">
        <w:r>
          <w:rPr>
            <w:sz w:val="20"/>
            <w:szCs w:val="20"/>
          </w:rPr>
          <w:t>8. Storage sizing</w:t>
        </w:r>
        <w:r>
          <w:tab/>
        </w:r>
        <w:r>
          <w:fldChar w:fldCharType="begin"/>
        </w:r>
        <w:r>
          <w:instrText xml:space="preserve">PAGEREF 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8" w:history="1">
        <w:r>
          <w:rPr>
            <w:sz w:val="20"/>
            <w:szCs w:val="20"/>
          </w:rPr>
          <w:t>Storage performance</w:t>
        </w:r>
        <w:r>
          <w:tab/>
        </w:r>
        <w:r>
          <w:fldChar w:fldCharType="begin"/>
        </w:r>
        <w:r>
          <w:instrText xml:space="preserve">PAGEREF 8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9" w:history="1">
        <w:r>
          <w:rPr>
            <w:sz w:val="20"/>
            <w:szCs w:val="20"/>
          </w:rPr>
          <w:t>9. Network sizing</w:t>
        </w:r>
        <w:r>
          <w:tab/>
        </w:r>
        <w:r>
          <w:fldChar w:fldCharType="begin"/>
        </w:r>
        <w:r>
          <w:instrText xml:space="preserve">PAGEREF 9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10" w:history="1">
        <w:r>
          <w:rPr>
            <w:sz w:val="20"/>
            <w:szCs w:val="20"/>
          </w:rPr>
          <w:t>10. Recommended hardware specifications</w:t>
        </w:r>
        <w:r>
          <w:tab/>
        </w:r>
        <w:r>
          <w:fldChar w:fldCharType="begin"/>
        </w:r>
        <w:r>
          <w:instrText xml:space="preserve">PAGEREF 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11" w:history="1">
        <w:r>
          <w:rPr>
            <w:sz w:val="20"/>
            <w:szCs w:val="20"/>
          </w:rPr>
          <w:t>Minimum compliant specification</w:t>
        </w:r>
        <w:r>
          <w:tab/>
        </w:r>
        <w:r>
          <w:fldChar w:fldCharType="begin"/>
        </w:r>
        <w:r>
          <w:instrText xml:space="preserve">PAGEREF 11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12" w:history="1">
        <w:r>
          <w:rPr>
            <w:sz w:val="20"/>
            <w:szCs w:val="20"/>
          </w:rPr>
          <w:t>11. Logical architecture</w:t>
        </w:r>
        <w:r>
          <w:tab/>
        </w:r>
        <w:r>
          <w:fldChar w:fldCharType="begin"/>
        </w:r>
        <w:r>
          <w:instrText xml:space="preserve">PAGEREF 12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13" w:history="1">
        <w:r>
          <w:rPr>
            <w:sz w:val="20"/>
            <w:szCs w:val="20"/>
          </w:rPr>
          <w:t>12. Physical connectivity diagram</w:t>
        </w:r>
        <w:r>
          <w:tab/>
        </w:r>
        <w:r>
          <w:fldChar w:fldCharType="begin"/>
        </w:r>
        <w:r>
          <w:instrText xml:space="preserve">PAGEREF 13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14" w:history="1">
        <w:r>
          <w:rPr>
            <w:sz w:val="20"/>
            <w:szCs w:val="20"/>
          </w:rPr>
          <w:t>13. Firewall port matrix</w:t>
        </w:r>
        <w:r>
          <w:tab/>
        </w:r>
        <w:r>
          <w:fldChar w:fldCharType="begin"/>
        </w:r>
        <w:r>
          <w:instrText xml:space="preserve">PAGEREF 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15" w:history="1">
        <w:r>
          <w:rPr>
            <w:sz w:val="20"/>
            <w:szCs w:val="20"/>
          </w:rPr>
          <w:t>Network zones and traffic flow</w:t>
        </w:r>
        <w:r>
          <w:tab/>
        </w:r>
        <w:r>
          <w:fldChar w:fldCharType="begin"/>
        </w:r>
        <w:r>
          <w:instrText xml:space="preserve">PAGEREF 15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16" w:history="1">
        <w:r>
          <w:rPr>
            <w:sz w:val="20"/>
            <w:szCs w:val="20"/>
          </w:rPr>
          <w:t>14. High availability and failure scenarios</w:t>
        </w:r>
        <w:r>
          <w:tab/>
        </w:r>
        <w:r>
          <w:fldChar w:fldCharType="begin"/>
        </w:r>
        <w:r>
          <w:instrText xml:space="preserve">PAGEREF 16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17" w:history="1">
        <w:r>
          <w:rPr>
            <w:sz w:val="20"/>
            <w:szCs w:val="20"/>
          </w:rPr>
          <w:t>15. Risks, dependencies and limitations</w:t>
        </w:r>
        <w:r>
          <w:tab/>
        </w:r>
        <w:r>
          <w:fldChar w:fldCharType="begin"/>
        </w:r>
        <w:r>
          <w:instrText xml:space="preserve">PAGEREF 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18" w:history="1">
        <w:r>
          <w:rPr>
            <w:sz w:val="20"/>
            <w:szCs w:val="20"/>
          </w:rPr>
          <w:t>Mobile device management</w:t>
        </w:r>
        <w:r>
          <w:tab/>
        </w:r>
        <w:r>
          <w:fldChar w:fldCharType="begin"/>
        </w:r>
        <w:r>
          <w:instrText xml:space="preserve">PAGEREF 18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19" w:history="1">
        <w:r>
          <w:rPr>
            <w:sz w:val="20"/>
            <w:szCs w:val="20"/>
          </w:rPr>
          <w:t>16. Official references</w:t>
        </w:r>
        <w:r>
          <w:tab/>
        </w:r>
        <w:r>
          <w:fldChar w:fldCharType="begin"/>
        </w:r>
        <w:r>
          <w:instrText xml:space="preserve">PAGEREF 19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20" w:history="1">
        <w:r>
          <w:rPr>
            <w:sz w:val="20"/>
            <w:szCs w:val="20"/>
          </w:rPr>
          <w:t>17. Detailed calculation appendix</w:t>
        </w:r>
        <w:r>
          <w:tab/>
        </w:r>
        <w:r>
          <w:fldChar w:fldCharType="begin"/>
        </w:r>
        <w:r>
          <w:instrText xml:space="preserve">PAGEREF 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21" w:history="1">
        <w:r>
          <w:rPr>
            <w:sz w:val="20"/>
            <w:szCs w:val="20"/>
          </w:rPr>
          <w:t>Validation warnings</w:t>
        </w:r>
        <w:r>
          <w:tab/>
        </w:r>
        <w:r>
          <w:fldChar w:fldCharType="begin"/>
        </w:r>
        <w:r>
          <w:instrText xml:space="preserve">PAGEREF 21 \h</w:instrText>
        </w:r>
        <w:r>
          <w:fldChar w:fldCharType="end"/>
        </w:r>
      </w:hyperlink>
    </w:p>
    <w:p>
      <w:r>
        <w:fldChar w:fldCharType="end"/>
      </w:r>
    </w:p>
    <w:p>
      <w:pPr/>
      <w:r>
        <w:rPr>
          <w:rStyle w:val="small"/>
        </w:rPr>
        <w:t xml:space="preserve">Right-click the table of contents and choose "Update field" if page numbers are not shown.</w:t>
      </w:r>
    </w:p>
    <w:p>
      <w:r>
        <w:br w:type="page"/>
      </w:r>
    </w:p>
    <w:p>
      <w:pPr>
        <w:pStyle w:val="Heading1"/>
      </w:pPr>
      <w:bookmarkStart w:id="0" w:name="_Toc0"/>
      <w:r>
        <w:t>1. Executive summary</w:t>
      </w:r>
      <w:bookmarkEnd w:id="0"/>
    </w:p>
    <w:p>
      <w:pPr>
        <w:pStyle w:val="body"/>
        <w:numPr>
          <w:ilvl w:val="0"/>
          <w:numId w:val="6"/>
        </w:numPr>
      </w:pPr>
      <w:r>
        <w:rPr/>
        <w:t xml:space="preserve">Scope: Citrix Virtual Apps, Citrix Virtual Desktops, GPU-accelerated workloads, Mobile Device Management for Northwind Health (demo).</w:t>
      </w:r>
    </w:p>
    <w:p>
      <w:pPr>
        <w:pStyle w:val="body"/>
        <w:numPr>
          <w:ilvl w:val="0"/>
          <w:numId w:val="6"/>
        </w:numPr>
      </w:pPr>
      <w:r>
        <w:rPr/>
        <w:t xml:space="preserve">Design load: 9,525 named users and 7,207 concurrent sessions/desktops at the 3-year growth horizon.</w:t>
      </w:r>
    </w:p>
    <w:p>
      <w:pPr>
        <w:pStyle w:val="body"/>
        <w:numPr>
          <w:ilvl w:val="0"/>
          <w:numId w:val="6"/>
        </w:numPr>
      </w:pPr>
      <w:r>
        <w:rPr/>
        <w:t xml:space="preserve">Recommended platform: Hyperconverged (HCI): Nutanix AOS with AHV, Replication factor 2 (1N/1D).</w:t>
      </w:r>
    </w:p>
    <w:p>
      <w:pPr>
        <w:pStyle w:val="body"/>
        <w:numPr>
          <w:ilvl w:val="0"/>
          <w:numId w:val="6"/>
        </w:numPr>
      </w:pPr>
      <w:r>
        <w:rPr/>
        <w:t xml:space="preserve">Hosts: 44 across 3 cluster(s), each sized for N+1 (worst-case utilization after failure: CPU 83.2%, memory 77.1%).</w:t>
      </w:r>
    </w:p>
    <w:p>
      <w:pPr>
        <w:pStyle w:val="body"/>
        <w:numPr>
          <w:ilvl w:val="0"/>
          <w:numId w:val="6"/>
        </w:numPr>
      </w:pPr>
      <w:r>
        <w:rPr/>
        <w:t xml:space="preserve">Compute: 1,863 physical cores required (2,816 installed); memory 26,541 GB required (40,960 GB installed).</w:t>
      </w:r>
    </w:p>
    <w:p>
      <w:pPr>
        <w:pStyle w:val="body"/>
        <w:numPr>
          <w:ilvl w:val="0"/>
          <w:numId w:val="6"/>
        </w:numPr>
      </w:pPr>
      <w:r>
        <w:rPr/>
        <w:t xml:space="preserve">Storage: 153.18 TB usable / 340.39 TB raw on the virtualization platform; 76.2 TB of profile and user data on existing file services.</w:t>
      </w:r>
    </w:p>
    <w:p>
      <w:pPr>
        <w:pStyle w:val="body"/>
        <w:numPr>
          <w:ilvl w:val="0"/>
          <w:numId w:val="6"/>
        </w:numPr>
      </w:pPr>
      <w:r>
        <w:rPr/>
        <w:t xml:space="preserve">Performance: approximately 62,273 peak IOPS (80,955 IOPS with headroom); HDX bandwidth at peak 1,937 Mbps.</w:t>
      </w:r>
    </w:p>
    <w:p>
      <w:pPr>
        <w:pStyle w:val="body"/>
        <w:numPr>
          <w:ilvl w:val="0"/>
          <w:numId w:val="6"/>
        </w:numPr>
      </w:pPr>
      <w:r>
        <w:rPr/>
        <w:t xml:space="preserve">MDM: Citrix Endpoint Management - XenMobile Server (on-premises) for 5,039 devices.</w:t>
      </w:r>
    </w:p>
    <w:p>
      <w:pPr>
        <w:pStyle w:val="body"/>
        <w:numPr>
          <w:ilvl w:val="0"/>
          <w:numId w:val="6"/>
        </w:numPr>
      </w:pPr>
      <w:r>
        <w:rPr/>
        <w:t xml:space="preserve">Status: Preliminary estimate - validation items open - 0 critical, 2 warnings, 79 knowledge-base rules pending approval.</w:t>
      </w:r>
    </w:p>
    <w:tbl>
      <w:tblGrid>
        <w:gridCol w:w="3400" w:type="dxa"/>
        <w:gridCol w:w="6000" w:type="dxa"/>
      </w:tblGrid>
      <w:tblPr>
        <w:tblStyle w:val="cs"/>
      </w:tblPr>
      <w:tr>
        <w:trPr/>
        <w:tc>
          <w:tcPr>
            <w:tcW w:w="3400" w:type="dxa"/>
            <w:shd w:val="clear" w:fill="F3F1EC"/>
            <w:noWrap/>
          </w:tcPr>
          <w:p>
            <w:pPr/>
            <w:r>
              <w:rPr>
                <w:b w:val="1"/>
                <w:bCs w:val="1"/>
              </w:rPr>
              <w:t xml:space="preserve">Hosts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44 (3 clusters, N+1)</w:t>
            </w:r>
          </w:p>
        </w:tc>
      </w:tr>
      <w:tr>
        <w:trPr/>
        <w:tc>
          <w:tcPr>
            <w:tcW w:w="3400" w:type="dxa"/>
            <w:shd w:val="clear" w:fill="F3F1EC"/>
            <w:noWrap/>
          </w:tcPr>
          <w:p>
            <w:pPr/>
            <w:r>
              <w:rPr>
                <w:b w:val="1"/>
                <w:bCs w:val="1"/>
              </w:rPr>
              <w:t xml:space="preserve">Physical cores required / installed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1,863 / 2,816</w:t>
            </w:r>
          </w:p>
        </w:tc>
      </w:tr>
      <w:tr>
        <w:trPr/>
        <w:tc>
          <w:tcPr>
            <w:tcW w:w="3400" w:type="dxa"/>
            <w:shd w:val="clear" w:fill="F3F1EC"/>
            <w:noWrap/>
          </w:tcPr>
          <w:p>
            <w:pPr/>
            <w:r>
              <w:rPr>
                <w:b w:val="1"/>
                <w:bCs w:val="1"/>
              </w:rPr>
              <w:t xml:space="preserve">Memory required / installed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26,541 GB / 40,960 GB</w:t>
            </w:r>
          </w:p>
        </w:tc>
      </w:tr>
      <w:tr>
        <w:trPr/>
        <w:tc>
          <w:tcPr>
            <w:tcW w:w="3400" w:type="dxa"/>
            <w:shd w:val="clear" w:fill="F3F1EC"/>
            <w:noWrap/>
          </w:tcPr>
          <w:p>
            <w:pPr/>
            <w:r>
              <w:rPr>
                <w:b w:val="1"/>
                <w:bCs w:val="1"/>
              </w:rPr>
              <w:t xml:space="preserve">Usable / raw storage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153.18 TB / 340.39 TB</w:t>
            </w:r>
          </w:p>
        </w:tc>
      </w:tr>
      <w:tr>
        <w:trPr/>
        <w:tc>
          <w:tcPr>
            <w:tcW w:w="3400" w:type="dxa"/>
            <w:shd w:val="clear" w:fill="F3F1EC"/>
            <w:noWrap/>
          </w:tcPr>
          <w:p>
            <w:pPr/>
            <w:r>
              <w:rPr>
                <w:b w:val="1"/>
                <w:bCs w:val="1"/>
              </w:rPr>
              <w:t xml:space="preserve">Peak IOPS (with headroom)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62,273 (80,955)</w:t>
            </w:r>
          </w:p>
        </w:tc>
      </w:tr>
      <w:tr>
        <w:trPr/>
        <w:tc>
          <w:tcPr>
            <w:tcW w:w="3400" w:type="dxa"/>
            <w:shd w:val="clear" w:fill="F3F1EC"/>
            <w:noWrap/>
          </w:tcPr>
          <w:p>
            <w:pPr/>
            <w:r>
              <w:rPr>
                <w:b w:val="1"/>
                <w:bCs w:val="1"/>
              </w:rPr>
              <w:t xml:space="preserve">HDX bandwidth at peak / via Gateway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1,937 Mbps / 484 Mbps</w:t>
            </w:r>
          </w:p>
        </w:tc>
      </w:tr>
    </w:tbl>
    <w:p/>
    <w:p>
      <w:pPr>
        <w:pStyle w:val="Heading1"/>
      </w:pPr>
      <w:bookmarkStart w:id="1" w:name="_Toc1"/>
      <w:r>
        <w:t>2. Customer requirements</w:t>
      </w:r>
      <w:bookmarkEnd w:id="1"/>
    </w:p>
    <w:tbl>
      <w:tblGrid>
        <w:gridCol w:w="3600" w:type="dxa"/>
        <w:gridCol w:w="4800" w:type="dxa"/>
        <w:gridCol w:w="1200" w:type="dxa"/>
      </w:tblGrid>
      <w:tblPr>
        <w:tblStyle w:val="cs"/>
      </w:tblPr>
      <w:tr>
        <w:trPr>
          <w:tblHeader w:val="1"/>
        </w:trPr>
        <w:tc>
          <w:tcPr>
            <w:tcW w:w="3600" w:type="dxa"/>
            <w:shd w:val="clear" w:fill="0B0B0B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Requirement</w:t>
            </w:r>
          </w:p>
        </w:tc>
        <w:tc>
          <w:tcPr>
            <w:tcW w:w="4800" w:type="dxa"/>
            <w:shd w:val="clear" w:fill="0B0B0B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Value</w:t>
            </w:r>
          </w:p>
        </w:tc>
        <w:tc>
          <w:tcPr>
            <w:tcW w:w="1200" w:type="dxa"/>
            <w:shd w:val="clear" w:fill="0B0B0B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Source</w:t>
            </w:r>
          </w:p>
        </w:tc>
      </w:tr>
      <w:tr>
        <w:trPr/>
        <w:tc>
          <w:tcPr>
            <w:tcW w:w="3600" w:type="dxa"/>
            <w:noWrap/>
          </w:tcPr>
          <w:p>
            <w:pPr/>
            <w:r>
              <w:rPr>
                <w:sz w:val="18"/>
                <w:szCs w:val="18"/>
              </w:rPr>
              <w:t xml:space="preserve">Workloads in scope</w:t>
            </w:r>
          </w:p>
        </w:tc>
        <w:tc>
          <w:tcPr>
            <w:tcW w:w="4800" w:type="dxa"/>
            <w:noWrap/>
          </w:tcPr>
          <w:p>
            <w:pPr/>
            <w:r>
              <w:rPr>
                <w:sz w:val="18"/>
                <w:szCs w:val="18"/>
              </w:rPr>
              <w:t xml:space="preserve">Citrix Virtual Apps, Citrix Virtual Desktops, GPU-accelerated workloads, Mobile Device Management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18"/>
                <w:szCs w:val="18"/>
              </w:rPr>
              <w:t xml:space="preserve">Customer</w:t>
            </w:r>
          </w:p>
        </w:tc>
      </w:tr>
      <w:tr>
        <w:trPr/>
        <w:tc>
          <w:tcPr>
            <w:tcW w:w="3600" w:type="dxa"/>
            <w:shd w:val="clear" w:fill="FAF9F6"/>
            <w:noWrap/>
          </w:tcPr>
          <w:p>
            <w:pPr/>
            <w:r>
              <w:rPr>
                <w:sz w:val="18"/>
                <w:szCs w:val="18"/>
              </w:rPr>
              <w:t xml:space="preserve">Citrix release / control plane</w:t>
            </w:r>
          </w:p>
        </w:tc>
        <w:tc>
          <w:tcPr>
            <w:tcW w:w="4800" w:type="dxa"/>
            <w:shd w:val="clear" w:fill="FAF9F6"/>
            <w:noWrap/>
          </w:tcPr>
          <w:p>
            <w:pPr/>
            <w:r>
              <w:rPr>
                <w:sz w:val="18"/>
                <w:szCs w:val="18"/>
              </w:rPr>
              <w:t xml:space="preserve">Citrix Virtual Apps and Desktops 2607 LTSR</w:t>
            </w:r>
          </w:p>
        </w:tc>
        <w:tc>
          <w:tcPr>
            <w:tcW w:w="1200" w:type="dxa"/>
            <w:shd w:val="clear" w:fill="FAF9F6"/>
            <w:noWrap/>
          </w:tcPr>
          <w:p>
            <w:pPr/>
            <w:r>
              <w:rPr>
                <w:sz w:val="18"/>
                <w:szCs w:val="18"/>
              </w:rPr>
              <w:t xml:space="preserve">Customer</w:t>
            </w:r>
          </w:p>
        </w:tc>
      </w:tr>
      <w:tr>
        <w:trPr/>
        <w:tc>
          <w:tcPr>
            <w:tcW w:w="3600" w:type="dxa"/>
            <w:noWrap/>
          </w:tcPr>
          <w:p>
            <w:pPr/>
            <w:r>
              <w:rPr>
                <w:sz w:val="18"/>
                <w:szCs w:val="18"/>
              </w:rPr>
              <w:t xml:space="preserve">External access</w:t>
            </w:r>
          </w:p>
        </w:tc>
        <w:tc>
          <w:tcPr>
            <w:tcW w:w="4800" w:type="dxa"/>
            <w:noWrap/>
          </w:tcPr>
          <w:p>
            <w:pPr/>
            <w:r>
              <w:rPr>
                <w:sz w:val="18"/>
                <w:szCs w:val="18"/>
              </w:rPr>
              <w:t xml:space="preserve">Yes - 25% of users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18"/>
                <w:szCs w:val="18"/>
              </w:rPr>
              <w:t xml:space="preserve">Customer</w:t>
            </w:r>
          </w:p>
        </w:tc>
      </w:tr>
      <w:tr>
        <w:trPr/>
        <w:tc>
          <w:tcPr>
            <w:tcW w:w="3600" w:type="dxa"/>
            <w:shd w:val="clear" w:fill="FAF9F6"/>
            <w:noWrap/>
          </w:tcPr>
          <w:p>
            <w:pPr/>
            <w:r>
              <w:rPr>
                <w:sz w:val="18"/>
                <w:szCs w:val="18"/>
              </w:rPr>
              <w:t xml:space="preserve">Virtual Apps: named / concurrent / peak sessions</w:t>
            </w:r>
          </w:p>
        </w:tc>
        <w:tc>
          <w:tcPr>
            <w:tcW w:w="4800" w:type="dxa"/>
            <w:shd w:val="clear" w:fill="FAF9F6"/>
            <w:noWrap/>
          </w:tcPr>
          <w:p>
            <w:pPr/>
            <w:r>
              <w:rPr>
                <w:sz w:val="18"/>
                <w:szCs w:val="18"/>
              </w:rPr>
              <w:t xml:space="preserve">6,000 / 4,200 / 4,400</w:t>
            </w:r>
          </w:p>
        </w:tc>
        <w:tc>
          <w:tcPr>
            <w:tcW w:w="1200" w:type="dxa"/>
            <w:shd w:val="clear" w:fill="FAF9F6"/>
            <w:noWrap/>
          </w:tcPr>
          <w:p>
            <w:pPr/>
            <w:r>
              <w:rPr>
                <w:sz w:val="18"/>
                <w:szCs w:val="18"/>
              </w:rPr>
              <w:t xml:space="preserve">Customer</w:t>
            </w:r>
          </w:p>
        </w:tc>
      </w:tr>
      <w:tr>
        <w:trPr/>
        <w:tc>
          <w:tcPr>
            <w:tcW w:w="3600" w:type="dxa"/>
            <w:noWrap/>
          </w:tcPr>
          <w:p>
            <w:pPr/>
            <w:r>
              <w:rPr>
                <w:sz w:val="18"/>
                <w:szCs w:val="18"/>
              </w:rPr>
              <w:t xml:space="preserve">Virtual Apps: applications</w:t>
            </w:r>
          </w:p>
        </w:tc>
        <w:tc>
          <w:tcPr>
            <w:tcW w:w="4800" w:type="dxa"/>
            <w:noWrap/>
          </w:tcPr>
          <w:p>
            <w:pPr/>
            <w:r>
              <w:rPr>
                <w:sz w:val="18"/>
                <w:szCs w:val="18"/>
              </w:rPr>
              <w:t xml:space="preserve">85 applications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18"/>
                <w:szCs w:val="18"/>
              </w:rPr>
              <w:t xml:space="preserve">Customer</w:t>
            </w:r>
          </w:p>
        </w:tc>
      </w:tr>
      <w:tr>
        <w:trPr/>
        <w:tc>
          <w:tcPr>
            <w:tcW w:w="3600" w:type="dxa"/>
            <w:shd w:val="clear" w:fill="FAF9F6"/>
            <w:noWrap/>
          </w:tcPr>
          <w:p>
            <w:pPr/>
            <w:r>
              <w:rPr>
                <w:sz w:val="18"/>
                <w:szCs w:val="18"/>
              </w:rPr>
              <w:t xml:space="preserve">Virtual Apps: workload mix (light/medium/heavy)</w:t>
            </w:r>
          </w:p>
        </w:tc>
        <w:tc>
          <w:tcPr>
            <w:tcW w:w="4800" w:type="dxa"/>
            <w:shd w:val="clear" w:fill="FAF9F6"/>
            <w:noWrap/>
          </w:tcPr>
          <w:p>
            <w:pPr/>
            <w:r>
              <w:rPr>
                <w:sz w:val="18"/>
                <w:szCs w:val="18"/>
              </w:rPr>
              <w:t xml:space="preserve">35% / 50% / 15%</w:t>
            </w:r>
          </w:p>
        </w:tc>
        <w:tc>
          <w:tcPr>
            <w:tcW w:w="1200" w:type="dxa"/>
            <w:shd w:val="clear" w:fill="FAF9F6"/>
            <w:noWrap/>
          </w:tcPr>
          <w:p>
            <w:pPr/>
            <w:r>
              <w:rPr>
                <w:sz w:val="18"/>
                <w:szCs w:val="18"/>
              </w:rPr>
              <w:t xml:space="preserve">Customer</w:t>
            </w:r>
          </w:p>
        </w:tc>
      </w:tr>
      <w:tr>
        <w:trPr/>
        <w:tc>
          <w:tcPr>
            <w:tcW w:w="3600" w:type="dxa"/>
            <w:noWrap/>
          </w:tcPr>
          <w:p>
            <w:pPr/>
            <w:r>
              <w:rPr>
                <w:sz w:val="18"/>
                <w:szCs w:val="18"/>
              </w:rPr>
              <w:t xml:space="preserve">Virtual Apps: session host OS</w:t>
            </w:r>
          </w:p>
        </w:tc>
        <w:tc>
          <w:tcPr>
            <w:tcW w:w="4800" w:type="dxa"/>
            <w:noWrap/>
          </w:tcPr>
          <w:p>
            <w:pPr/>
            <w:r>
              <w:rPr>
                <w:sz w:val="18"/>
                <w:szCs w:val="18"/>
              </w:rPr>
              <w:t xml:space="preserve">Windows Server 2022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18"/>
                <w:szCs w:val="18"/>
              </w:rPr>
              <w:t xml:space="preserve">Customer</w:t>
            </w:r>
          </w:p>
        </w:tc>
      </w:tr>
      <w:tr>
        <w:trPr/>
        <w:tc>
          <w:tcPr>
            <w:tcW w:w="3600" w:type="dxa"/>
            <w:shd w:val="clear" w:fill="FAF9F6"/>
            <w:noWrap/>
          </w:tcPr>
          <w:p>
            <w:pPr/>
            <w:r>
              <w:rPr>
                <w:sz w:val="18"/>
                <w:szCs w:val="18"/>
              </w:rPr>
              <w:t xml:space="preserve">Desktop pool "Pooled knowledge workers"</w:t>
            </w:r>
          </w:p>
        </w:tc>
        <w:tc>
          <w:tcPr>
            <w:tcW w:w="4800" w:type="dxa"/>
            <w:shd w:val="clear" w:fill="FAF9F6"/>
            <w:noWrap/>
          </w:tcPr>
          <w:p>
            <w:pPr/>
            <w:r>
              <w:rPr>
                <w:sz w:val="18"/>
                <w:szCs w:val="18"/>
              </w:rPr>
              <w:t xml:space="preserve">1,200 users, non-persistent, single-session, Windows 11, medium workload, 80% concurrency</w:t>
            </w:r>
          </w:p>
        </w:tc>
        <w:tc>
          <w:tcPr>
            <w:tcW w:w="1200" w:type="dxa"/>
            <w:shd w:val="clear" w:fill="FAF9F6"/>
            <w:noWrap/>
          </w:tcPr>
          <w:p>
            <w:pPr/>
            <w:r>
              <w:rPr>
                <w:sz w:val="18"/>
                <w:szCs w:val="18"/>
              </w:rPr>
              <w:t xml:space="preserve">Customer</w:t>
            </w:r>
          </w:p>
        </w:tc>
      </w:tr>
      <w:tr>
        <w:trPr/>
        <w:tc>
          <w:tcPr>
            <w:tcW w:w="3600" w:type="dxa"/>
            <w:noWrap/>
          </w:tcPr>
          <w:p>
            <w:pPr/>
            <w:r>
              <w:rPr>
                <w:sz w:val="18"/>
                <w:szCs w:val="18"/>
              </w:rPr>
              <w:t xml:space="preserve">Desktop pool "Developers (persistent)"</w:t>
            </w:r>
          </w:p>
        </w:tc>
        <w:tc>
          <w:tcPr>
            <w:tcW w:w="4800" w:type="dxa"/>
            <w:noWrap/>
          </w:tcPr>
          <w:p>
            <w:pPr/>
            <w:r>
              <w:rPr>
                <w:sz w:val="18"/>
                <w:szCs w:val="18"/>
              </w:rPr>
              <w:t xml:space="preserve">300 users, persistent, single-session, Windows 11, heavy workload, 100% concurrency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18"/>
                <w:szCs w:val="18"/>
              </w:rPr>
              <w:t xml:space="preserve">Customer</w:t>
            </w:r>
          </w:p>
        </w:tc>
      </w:tr>
      <w:tr>
        <w:trPr/>
        <w:tc>
          <w:tcPr>
            <w:tcW w:w="3600" w:type="dxa"/>
            <w:shd w:val="clear" w:fill="FAF9F6"/>
            <w:noWrap/>
          </w:tcPr>
          <w:p>
            <w:pPr/>
            <w:r>
              <w:rPr>
                <w:sz w:val="18"/>
                <w:szCs w:val="18"/>
              </w:rPr>
              <w:t xml:space="preserve">Display</w:t>
            </w:r>
          </w:p>
        </w:tc>
        <w:tc>
          <w:tcPr>
            <w:tcW w:w="4800" w:type="dxa"/>
            <w:shd w:val="clear" w:fill="FAF9F6"/>
            <w:noWrap/>
          </w:tcPr>
          <w:p>
            <w:pPr/>
            <w:r>
              <w:rPr>
                <w:sz w:val="18"/>
                <w:szCs w:val="18"/>
              </w:rPr>
              <w:t xml:space="preserve">2 monitor(s) at 1920x1080, 30 fps</w:t>
            </w:r>
          </w:p>
        </w:tc>
        <w:tc>
          <w:tcPr>
            <w:tcW w:w="1200" w:type="dxa"/>
            <w:shd w:val="clear" w:fill="FAF9F6"/>
            <w:noWrap/>
          </w:tcPr>
          <w:p>
            <w:pPr/>
            <w:r>
              <w:rPr>
                <w:sz w:val="18"/>
                <w:szCs w:val="18"/>
              </w:rPr>
              <w:t xml:space="preserve">Customer</w:t>
            </w:r>
          </w:p>
        </w:tc>
      </w:tr>
      <w:tr>
        <w:trPr/>
        <w:tc>
          <w:tcPr>
            <w:tcW w:w="3600" w:type="dxa"/>
            <w:noWrap/>
          </w:tcPr>
          <w:p>
            <w:pPr/>
            <w:r>
              <w:rPr>
                <w:sz w:val="18"/>
                <w:szCs w:val="18"/>
              </w:rPr>
              <w:t xml:space="preserve">GPU pool "Radiology viewing"</w:t>
            </w:r>
          </w:p>
        </w:tc>
        <w:tc>
          <w:tcPr>
            <w:tcW w:w="4800" w:type="dxa"/>
            <w:noWrap/>
          </w:tcPr>
          <w:p>
            <w:pPr/>
            <w:r>
              <w:rPr>
                <w:sz w:val="18"/>
                <w:szCs w:val="18"/>
              </w:rPr>
              <w:t xml:space="preserve">60 users, NVIDIA vGPU 8 GB profile, 2 x 4K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18"/>
                <w:szCs w:val="18"/>
              </w:rPr>
              <w:t xml:space="preserve">Customer</w:t>
            </w:r>
          </w:p>
        </w:tc>
      </w:tr>
      <w:tr>
        <w:trPr/>
        <w:tc>
          <w:tcPr>
            <w:tcW w:w="3600" w:type="dxa"/>
            <w:shd w:val="clear" w:fill="FAF9F6"/>
            <w:noWrap/>
          </w:tcPr>
          <w:p>
            <w:pPr/>
            <w:r>
              <w:rPr>
                <w:sz w:val="18"/>
                <w:szCs w:val="18"/>
              </w:rPr>
              <w:t xml:space="preserve">MDM product</w:t>
            </w:r>
          </w:p>
        </w:tc>
        <w:tc>
          <w:tcPr>
            <w:tcW w:w="4800" w:type="dxa"/>
            <w:shd w:val="clear" w:fill="FAF9F6"/>
            <w:noWrap/>
          </w:tcPr>
          <w:p>
            <w:pPr/>
            <w:r>
              <w:rPr>
                <w:sz w:val="18"/>
                <w:szCs w:val="18"/>
              </w:rPr>
              <w:t xml:space="preserve">Citrix Endpoint Management - XenMobile Server (on-premises)</w:t>
            </w:r>
          </w:p>
        </w:tc>
        <w:tc>
          <w:tcPr>
            <w:tcW w:w="1200" w:type="dxa"/>
            <w:shd w:val="clear" w:fill="FAF9F6"/>
            <w:noWrap/>
          </w:tcPr>
          <w:p>
            <w:pPr/>
            <w:r>
              <w:rPr>
                <w:sz w:val="18"/>
                <w:szCs w:val="18"/>
              </w:rPr>
              <w:t xml:space="preserve">Customer</w:t>
            </w:r>
          </w:p>
        </w:tc>
      </w:tr>
      <w:tr>
        <w:trPr/>
        <w:tc>
          <w:tcPr>
            <w:tcW w:w="3600" w:type="dxa"/>
            <w:noWrap/>
          </w:tcPr>
          <w:p>
            <w:pPr/>
            <w:r>
              <w:rPr>
                <w:sz w:val="18"/>
                <w:szCs w:val="18"/>
              </w:rPr>
              <w:t xml:space="preserve">Managed devices (iOS/Android/Windows/macOS)</w:t>
            </w:r>
          </w:p>
        </w:tc>
        <w:tc>
          <w:tcPr>
            <w:tcW w:w="4800" w:type="dxa"/>
            <w:noWrap/>
          </w:tcPr>
          <w:p>
            <w:pPr/>
            <w:r>
              <w:rPr>
                <w:sz w:val="18"/>
                <w:szCs w:val="18"/>
              </w:rPr>
              <w:t xml:space="preserve">2,500 / 1,500 / 0 / 0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18"/>
                <w:szCs w:val="18"/>
              </w:rPr>
              <w:t xml:space="preserve">Customer</w:t>
            </w:r>
          </w:p>
        </w:tc>
      </w:tr>
      <w:tr>
        <w:trPr/>
        <w:tc>
          <w:tcPr>
            <w:tcW w:w="3600" w:type="dxa"/>
            <w:shd w:val="clear" w:fill="FAF9F6"/>
            <w:noWrap/>
          </w:tcPr>
          <w:p>
            <w:pPr/>
            <w:r>
              <w:rPr>
                <w:sz w:val="18"/>
                <w:szCs w:val="18"/>
              </w:rPr>
              <w:t xml:space="preserve">Resilience policy</w:t>
            </w:r>
          </w:p>
        </w:tc>
        <w:tc>
          <w:tcPr>
            <w:tcW w:w="4800" w:type="dxa"/>
            <w:shd w:val="clear" w:fill="FAF9F6"/>
            <w:noWrap/>
          </w:tcPr>
          <w:p>
            <w:pPr/>
            <w:r>
              <w:rPr>
                <w:sz w:val="18"/>
                <w:szCs w:val="18"/>
              </w:rPr>
              <w:t xml:space="preserve">N+1</w:t>
            </w:r>
          </w:p>
        </w:tc>
        <w:tc>
          <w:tcPr>
            <w:tcW w:w="1200" w:type="dxa"/>
            <w:shd w:val="clear" w:fill="FAF9F6"/>
            <w:noWrap/>
          </w:tcPr>
          <w:p>
            <w:pPr/>
            <w:r>
              <w:rPr>
                <w:sz w:val="18"/>
                <w:szCs w:val="18"/>
              </w:rPr>
              <w:t xml:space="preserve">Customer</w:t>
            </w:r>
          </w:p>
        </w:tc>
      </w:tr>
      <w:tr>
        <w:trPr/>
        <w:tc>
          <w:tcPr>
            <w:tcW w:w="3600" w:type="dxa"/>
            <w:noWrap/>
          </w:tcPr>
          <w:p>
            <w:pPr/>
            <w:r>
              <w:rPr>
                <w:sz w:val="18"/>
                <w:szCs w:val="18"/>
              </w:rPr>
              <w:t xml:space="preserve">Growth</w:t>
            </w:r>
          </w:p>
        </w:tc>
        <w:tc>
          <w:tcPr>
            <w:tcW w:w="4800" w:type="dxa"/>
            <w:noWrap/>
          </w:tcPr>
          <w:p>
            <w:pPr/>
            <w:r>
              <w:rPr>
                <w:sz w:val="18"/>
                <w:szCs w:val="18"/>
              </w:rPr>
              <w:t xml:space="preserve">8% per year for 3 years (sizing for growth horizon)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18"/>
                <w:szCs w:val="18"/>
              </w:rPr>
              <w:t xml:space="preserve">Customer</w:t>
            </w:r>
          </w:p>
        </w:tc>
      </w:tr>
      <w:tr>
        <w:trPr/>
        <w:tc>
          <w:tcPr>
            <w:tcW w:w="3600" w:type="dxa"/>
            <w:shd w:val="clear" w:fill="FAF9F6"/>
            <w:noWrap/>
          </w:tcPr>
          <w:p>
            <w:pPr/>
            <w:r>
              <w:rPr>
                <w:sz w:val="18"/>
                <w:szCs w:val="18"/>
              </w:rPr>
              <w:t xml:space="preserve">Disaster recovery</w:t>
            </w:r>
          </w:p>
        </w:tc>
        <w:tc>
          <w:tcPr>
            <w:tcW w:w="4800" w:type="dxa"/>
            <w:shd w:val="clear" w:fill="FAF9F6"/>
            <w:noWrap/>
          </w:tcPr>
          <w:p>
            <w:pPr/>
            <w:r>
              <w:rPr>
                <w:sz w:val="18"/>
                <w:szCs w:val="18"/>
              </w:rPr>
              <w:t xml:space="preserve">active-passive (50% capacity)</w:t>
            </w:r>
          </w:p>
        </w:tc>
        <w:tc>
          <w:tcPr>
            <w:tcW w:w="1200" w:type="dxa"/>
            <w:shd w:val="clear" w:fill="FAF9F6"/>
            <w:noWrap/>
          </w:tcPr>
          <w:p>
            <w:pPr/>
            <w:r>
              <w:rPr>
                <w:sz w:val="18"/>
                <w:szCs w:val="18"/>
              </w:rPr>
              <w:t xml:space="preserve">Customer</w:t>
            </w:r>
          </w:p>
        </w:tc>
      </w:tr>
      <w:tr>
        <w:trPr/>
        <w:tc>
          <w:tcPr>
            <w:tcW w:w="3600" w:type="dxa"/>
            <w:noWrap/>
          </w:tcPr>
          <w:p>
            <w:pPr/>
            <w:r>
              <w:rPr>
                <w:sz w:val="18"/>
                <w:szCs w:val="18"/>
              </w:rPr>
              <w:t xml:space="preserve">Storage latency objective</w:t>
            </w:r>
          </w:p>
        </w:tc>
        <w:tc>
          <w:tcPr>
            <w:tcW w:w="4800" w:type="dxa"/>
            <w:noWrap/>
          </w:tcPr>
          <w:p>
            <w:pPr/>
            <w:r>
              <w:rPr>
                <w:sz w:val="18"/>
                <w:szCs w:val="18"/>
              </w:rPr>
              <w:t xml:space="preserve">5 ms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18"/>
                <w:szCs w:val="18"/>
              </w:rPr>
              <w:t xml:space="preserve">Customer</w:t>
            </w:r>
          </w:p>
        </w:tc>
      </w:tr>
    </w:tbl>
    <w:p/>
    <w:p>
      <w:pPr>
        <w:pStyle w:val="body"/>
      </w:pPr>
      <w:r>
        <w:rPr/>
        <w:t xml:space="preserve">Demonstration project: published clinical applications, pooled knowledge-worker desktops, GPU workstations for imaging and MDM for clinical mobile devices.</w:t>
      </w:r>
    </w:p>
    <w:p>
      <w:pPr>
        <w:pStyle w:val="Heading1"/>
      </w:pPr>
      <w:bookmarkStart w:id="2" w:name="_Toc2"/>
      <w:r>
        <w:t>3. Workload profile</w:t>
      </w:r>
      <w:bookmarkEnd w:id="2"/>
    </w:p>
    <w:tbl>
      <w:tblGrid>
        <w:gridCol w:w="2200" w:type="dxa"/>
        <w:gridCol w:w="800" w:type="dxa"/>
        <w:gridCol w:w="800" w:type="dxa"/>
        <w:gridCol w:w="1700" w:type="dxa"/>
        <w:gridCol w:w="800" w:type="dxa"/>
        <w:gridCol w:w="800" w:type="dxa"/>
        <w:gridCol w:w="800" w:type="dxa"/>
        <w:gridCol w:w="800" w:type="dxa"/>
        <w:gridCol w:w="800" w:type="dxa"/>
      </w:tblGrid>
      <w:tblPr>
        <w:tblStyle w:val="cs"/>
      </w:tblPr>
      <w:tr>
        <w:trPr>
          <w:tblHeader w:val="1"/>
        </w:trPr>
        <w:tc>
          <w:tcPr>
            <w:tcW w:w="22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Workload / pool</w:t>
            </w:r>
          </w:p>
        </w:tc>
        <w:tc>
          <w:tcPr>
            <w:tcW w:w="8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Users</w:t>
            </w:r>
          </w:p>
        </w:tc>
        <w:tc>
          <w:tcPr>
            <w:tcW w:w="8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Sessions</w:t>
            </w:r>
          </w:p>
        </w:tc>
        <w:tc>
          <w:tcPr>
            <w:tcW w:w="17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VMs (spec)</w:t>
            </w:r>
          </w:p>
        </w:tc>
        <w:tc>
          <w:tcPr>
            <w:tcW w:w="8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Sessions/VM</w:t>
            </w:r>
          </w:p>
        </w:tc>
        <w:tc>
          <w:tcPr>
            <w:tcW w:w="8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vCPU</w:t>
            </w:r>
          </w:p>
        </w:tc>
        <w:tc>
          <w:tcPr>
            <w:tcW w:w="8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vCPU:pCore</w:t>
            </w:r>
          </w:p>
        </w:tc>
        <w:tc>
          <w:tcPr>
            <w:tcW w:w="8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Cores</w:t>
            </w:r>
          </w:p>
        </w:tc>
        <w:tc>
          <w:tcPr>
            <w:tcW w:w="8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RAM GB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16"/>
                <w:szCs w:val="16"/>
              </w:rPr>
              <w:t xml:space="preserve">Virtual Apps session hosts</w:t>
            </w:r>
          </w:p>
        </w:tc>
        <w:tc>
          <w:tcPr>
            <w:tcW w:w="800" w:type="dxa"/>
            <w:noWrap/>
          </w:tcPr>
          <w:p>
            <w:pPr/>
            <w:r>
              <w:rPr>
                <w:sz w:val="16"/>
                <w:szCs w:val="16"/>
              </w:rPr>
              <w:t xml:space="preserve">7,559</w:t>
            </w:r>
          </w:p>
        </w:tc>
        <w:tc>
          <w:tcPr>
            <w:tcW w:w="800" w:type="dxa"/>
            <w:noWrap/>
          </w:tcPr>
          <w:p>
            <w:pPr/>
            <w:r>
              <w:rPr>
                <w:sz w:val="16"/>
                <w:szCs w:val="16"/>
              </w:rPr>
              <w:t xml:space="preserve">5,543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6"/>
                <w:szCs w:val="16"/>
              </w:rPr>
              <w:t xml:space="preserve">245 (8 vCPU / 28 GB)</w:t>
            </w:r>
          </w:p>
        </w:tc>
        <w:tc>
          <w:tcPr>
            <w:tcW w:w="800" w:type="dxa"/>
            <w:noWrap/>
          </w:tcPr>
          <w:p>
            <w:pPr/>
            <w:r>
              <w:rPr>
                <w:sz w:val="16"/>
                <w:szCs w:val="16"/>
              </w:rPr>
              <w:t xml:space="preserve">25</w:t>
            </w:r>
          </w:p>
        </w:tc>
        <w:tc>
          <w:tcPr>
            <w:tcW w:w="800" w:type="dxa"/>
            <w:noWrap/>
          </w:tcPr>
          <w:p>
            <w:pPr/>
            <w:r>
              <w:rPr>
                <w:sz w:val="16"/>
                <w:szCs w:val="16"/>
              </w:rPr>
              <w:t xml:space="preserve">1,960</w:t>
            </w:r>
          </w:p>
        </w:tc>
        <w:tc>
          <w:tcPr>
            <w:tcW w:w="800" w:type="dxa"/>
            <w:noWrap/>
          </w:tcPr>
          <w:p>
            <w:pPr/>
            <w:r>
              <w:rPr>
                <w:sz w:val="16"/>
                <w:szCs w:val="16"/>
              </w:rPr>
              <w:t xml:space="preserve">2:1</w:t>
            </w:r>
          </w:p>
        </w:tc>
        <w:tc>
          <w:tcPr>
            <w:tcW w:w="800" w:type="dxa"/>
            <w:noWrap/>
          </w:tcPr>
          <w:p>
            <w:pPr/>
            <w:r>
              <w:rPr>
                <w:sz w:val="16"/>
                <w:szCs w:val="16"/>
              </w:rPr>
              <w:t xml:space="preserve">980</w:t>
            </w:r>
          </w:p>
        </w:tc>
        <w:tc>
          <w:tcPr>
            <w:tcW w:w="800" w:type="dxa"/>
            <w:noWrap/>
          </w:tcPr>
          <w:p>
            <w:pPr/>
            <w:r>
              <w:rPr>
                <w:sz w:val="16"/>
                <w:szCs w:val="16"/>
              </w:rPr>
              <w:t xml:space="preserve">6,860</w:t>
            </w:r>
          </w:p>
        </w:tc>
      </w:tr>
      <w:tr>
        <w:trPr/>
        <w:tc>
          <w:tcPr>
            <w:tcW w:w="2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Desktop pool: Pooled knowledge workers</w:t>
            </w:r>
          </w:p>
        </w:tc>
        <w:tc>
          <w:tcPr>
            <w:tcW w:w="8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1,512</w:t>
            </w:r>
          </w:p>
        </w:tc>
        <w:tc>
          <w:tcPr>
            <w:tcW w:w="8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1,210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1,331 (2 vCPU / 8.3 GB)</w:t>
            </w:r>
          </w:p>
        </w:tc>
        <w:tc>
          <w:tcPr>
            <w:tcW w:w="8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2,662</w:t>
            </w:r>
          </w:p>
        </w:tc>
        <w:tc>
          <w:tcPr>
            <w:tcW w:w="8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8:1</w:t>
            </w:r>
          </w:p>
        </w:tc>
        <w:tc>
          <w:tcPr>
            <w:tcW w:w="8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332.8</w:t>
            </w:r>
          </w:p>
        </w:tc>
        <w:tc>
          <w:tcPr>
            <w:tcW w:w="8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10,981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16"/>
                <w:szCs w:val="16"/>
              </w:rPr>
              <w:t xml:space="preserve">Desktop pool: Developers (persistent)</w:t>
            </w:r>
          </w:p>
        </w:tc>
        <w:tc>
          <w:tcPr>
            <w:tcW w:w="800" w:type="dxa"/>
            <w:noWrap/>
          </w:tcPr>
          <w:p>
            <w:pPr/>
            <w:r>
              <w:rPr>
                <w:sz w:val="16"/>
                <w:szCs w:val="16"/>
              </w:rPr>
              <w:t xml:space="preserve">378</w:t>
            </w:r>
          </w:p>
        </w:tc>
        <w:tc>
          <w:tcPr>
            <w:tcW w:w="800" w:type="dxa"/>
            <w:noWrap/>
          </w:tcPr>
          <w:p>
            <w:pPr/>
            <w:r>
              <w:rPr>
                <w:sz w:val="16"/>
                <w:szCs w:val="16"/>
              </w:rPr>
              <w:t xml:space="preserve">378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6"/>
                <w:szCs w:val="16"/>
              </w:rPr>
              <w:t xml:space="preserve">378 (4 vCPU / 16 GB)</w:t>
            </w:r>
          </w:p>
        </w:tc>
        <w:tc>
          <w:tcPr>
            <w:tcW w:w="800" w:type="dxa"/>
            <w:noWrap/>
          </w:tcPr>
          <w:p>
            <w:pPr/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00" w:type="dxa"/>
            <w:noWrap/>
          </w:tcPr>
          <w:p>
            <w:pPr/>
            <w:r>
              <w:rPr>
                <w:sz w:val="16"/>
                <w:szCs w:val="16"/>
              </w:rPr>
              <w:t xml:space="preserve">1,512</w:t>
            </w:r>
          </w:p>
        </w:tc>
        <w:tc>
          <w:tcPr>
            <w:tcW w:w="800" w:type="dxa"/>
            <w:noWrap/>
          </w:tcPr>
          <w:p>
            <w:pPr/>
            <w:r>
              <w:rPr>
                <w:sz w:val="16"/>
                <w:szCs w:val="16"/>
              </w:rPr>
              <w:t xml:space="preserve">8:1</w:t>
            </w:r>
          </w:p>
        </w:tc>
        <w:tc>
          <w:tcPr>
            <w:tcW w:w="800" w:type="dxa"/>
            <w:noWrap/>
          </w:tcPr>
          <w:p>
            <w:pPr/>
            <w:r>
              <w:rPr>
                <w:sz w:val="16"/>
                <w:szCs w:val="16"/>
              </w:rPr>
              <w:t xml:space="preserve">189</w:t>
            </w:r>
          </w:p>
        </w:tc>
        <w:tc>
          <w:tcPr>
            <w:tcW w:w="800" w:type="dxa"/>
            <w:noWrap/>
          </w:tcPr>
          <w:p>
            <w:pPr/>
            <w:r>
              <w:rPr>
                <w:sz w:val="16"/>
                <w:szCs w:val="16"/>
              </w:rPr>
              <w:t xml:space="preserve">6,048</w:t>
            </w:r>
          </w:p>
        </w:tc>
      </w:tr>
      <w:tr>
        <w:trPr/>
        <w:tc>
          <w:tcPr>
            <w:tcW w:w="2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GPU pool: Radiology viewing</w:t>
            </w:r>
          </w:p>
        </w:tc>
        <w:tc>
          <w:tcPr>
            <w:tcW w:w="8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76</w:t>
            </w:r>
          </w:p>
        </w:tc>
        <w:tc>
          <w:tcPr>
            <w:tcW w:w="8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76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76 (8 vCPU / 32 GB)</w:t>
            </w:r>
          </w:p>
        </w:tc>
        <w:tc>
          <w:tcPr>
            <w:tcW w:w="8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608</w:t>
            </w:r>
          </w:p>
        </w:tc>
        <w:tc>
          <w:tcPr>
            <w:tcW w:w="8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2:1</w:t>
            </w:r>
          </w:p>
        </w:tc>
        <w:tc>
          <w:tcPr>
            <w:tcW w:w="8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304</w:t>
            </w:r>
          </w:p>
        </w:tc>
        <w:tc>
          <w:tcPr>
            <w:tcW w:w="8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2,432</w:t>
            </w:r>
          </w:p>
        </w:tc>
      </w:tr>
    </w:tbl>
    <w:p/>
    <w:p>
      <w:pPr>
        <w:pStyle w:val="Heading1"/>
      </w:pPr>
      <w:bookmarkStart w:id="3" w:name="_Toc3"/>
      <w:r>
        <w:t>4. Design assumptions</w:t>
      </w:r>
      <w:bookmarkEnd w:id="3"/>
    </w:p>
    <w:p>
      <w:pPr>
        <w:pStyle w:val="body"/>
      </w:pPr>
      <w:r>
        <w:rPr>
          <w:rStyle w:val="small"/>
        </w:rPr>
        <w:t xml:space="preserve">Every value in this report is classified: Official = Official documented requirement; Customer = User-provided assumption; Assumption = Configurable engineering assumption; Calculated = Calculated estimate; Validate = Requires Citrix/vendor validation.</w:t>
      </w:r>
    </w:p>
    <w:tbl>
      <w:tblGrid>
        <w:gridCol w:w="1300" w:type="dxa"/>
        <w:gridCol w:w="4000" w:type="dxa"/>
        <w:gridCol w:w="900" w:type="dxa"/>
        <w:gridCol w:w="900" w:type="dxa"/>
        <w:gridCol w:w="900" w:type="dxa"/>
        <w:gridCol w:w="1300" w:type="dxa"/>
      </w:tblGrid>
      <w:tblPr>
        <w:tblStyle w:val="cs"/>
      </w:tblPr>
      <w:tr>
        <w:trPr>
          <w:tblHeader w:val="1"/>
        </w:trPr>
        <w:tc>
          <w:tcPr>
            <w:tcW w:w="13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Area</w:t>
            </w:r>
          </w:p>
        </w:tc>
        <w:tc>
          <w:tcPr>
            <w:tcW w:w="40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Parameter</w:t>
            </w:r>
          </w:p>
        </w:tc>
        <w:tc>
          <w:tcPr>
            <w:tcW w:w="9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Value</w:t>
            </w:r>
          </w:p>
        </w:tc>
        <w:tc>
          <w:tcPr>
            <w:tcW w:w="9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Unit</w:t>
            </w:r>
          </w:p>
        </w:tc>
        <w:tc>
          <w:tcPr>
            <w:tcW w:w="9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Class</w:t>
            </w:r>
          </w:p>
        </w:tc>
        <w:tc>
          <w:tcPr>
            <w:tcW w:w="13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Rule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Compute &amp; density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Single-session desktops per physical core - heavy (Windows 10/11)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desktops/core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CTX-WKL-036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Compute &amp; density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Single-session desktops per physical core - medium (Windows 11)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desktops/core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CTX-WKL-035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Compute &amp; density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Maximum sessions per multi-session VDA (load management cap)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250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sessions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CTX-WKL-094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Compute &amp; density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Persistent desktops powered on at peak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100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%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Compute &amp; density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vCPU-to-physical-core ratio - GPU workloads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:1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Compute &amp; density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vCPU-to-physical-core ratio - infrastructure VMs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:1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Compute &amp; density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vCPU-to-physical-core ratio - multi-session (Virtual Apps)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:1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CTX-WKL-003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Compute &amp; density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Density reduction when Microsoft Teams runs in multi-session sessions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40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%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CTX-WKL-081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Compute &amp; density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Multi-session users per physical core - heavy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6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users/core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CTX-WKL-039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Compute &amp; density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Multi-session users per physical core - light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18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users/core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CTX-WKL-037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Compute &amp; density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Multi-session users per physical core - medium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10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users/core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CTX-WKL-038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Compute &amp; density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VDA spare capacity (powered-on buffer)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%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CTX-WKL-095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Minimum Delivery Controllers per zone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VMs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CTX-INF-005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Delivery Controller RAM (Citrix reference configuration)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8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GB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CTX-INF-007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Active sessions per Delivery Controller (count formula divisor)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10,000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sessions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CTX-INF-008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Delivery Controller vCPU (Citrix reference configuration)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vCPU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CTX-INF-006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Director servers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VMs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Director server RAM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GB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Director server vCPU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vCPU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FAS logons per server per hour (4 x 8 vCPU servers for 100,000 users/hour)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25,000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logons/h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CTX-INF-064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FAS server RAM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8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GB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CTX-INF-064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FAS server vCPU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8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vCPU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CTX-INF-064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Hypervisor management appliance disk (validate with vendor sizing)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600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GB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Hypervisor management appliance RAM (validate with vendor sizing)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24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GB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Hypervisor management appliance vCPU (validate with vendor sizing)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vCPU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Local Host Cache additional RAM per Controller (starting point)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GB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CTX-INF-016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Local Host Cache additional cores per Controller (starting point)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vCPU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CTX-INF-016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License Server RAM (minimum)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8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GB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CTX-INF-035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License Server vCPU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vCPU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Monitoring data retention (sessions)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90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days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CTX-INF-024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NetScaler VPX RAM (validate against VPX data sheet)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8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GB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NetScaler VPX vCPU (validate against VPX data sheet)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vCPU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StoreFront CPU uplift with FAS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30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%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CTX-INF-066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StoreFront servers per server group (maximum recommended)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6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VMs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CTX-INF-031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StoreFront minimum RAM (VDI Handbook starting point)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8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GB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CTX-INF-033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StoreFront servers per server group (minimum)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VMs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CTX-INF-030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StoreFront base RAM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GB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CTX-INF-027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StoreFront RAM per available resource per user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700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bytes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CTX-INF-027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StoreFront vCPU (recommended)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vCPU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CTX-INF-026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WEM agents per infrastructure server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1,000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agents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CTX-INF-070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WEM infrastructure server disk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80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GB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CTX-INF-069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WEM infrastructure server RAM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8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GB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CTX-INF-069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WEM users per infrastructure server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3,000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users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CTX-INF-070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Citrix infrastructure services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WEM infrastructure server vCPU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vCPU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CTX-INF-069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Memory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Multi-session VDA base memory (OS + agents) per VM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GB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Memory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Single-session RAM cache sizing column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scale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mode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Memory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MCS/PVS RAM cache per multi-session VM - heavy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10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GB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CTX-WKL-025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Memory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MCS/PVS RAM cache per multi-session VM - light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GB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CTX-WKL-023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Memory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MCS/PVS RAM cache per multi-session VM - medium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8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GB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CTX-WKL-024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Memory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MCS/PVS RAM cache per desktop - medium (for scale)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256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MB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CTX-WKL-021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Memory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Multi-session vRAM per user - heavy (WS2022)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1,024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MB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CTX-WKL-013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Memory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Multi-session vRAM per user - light (WS2022)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256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MB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CTX-WKL-011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Memory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Multi-session vRAM per user - medium (WS2022)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640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MB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CTX-WKL-012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Memory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Single-session vRAM per desktop - medium (Win10/11)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8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GB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CTX-WKL-009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Memory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Additional per-user memory with Microsoft Teams (multi-session)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20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%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CTX-WKL-082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Network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HDX bandwidth per GPU (3D) session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5,000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kbps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Network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HDX bandwidth per session - Office workload (Citrix measured average)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22.14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kbps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CTX-WKL-074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Network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HDX bandwidth per session - 1080p video without BCR (Citrix measured average)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1,663.47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kbps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CTX-WKL-077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Network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HDX bandwidth per session - rich web browsing (Citrix measured average)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478.38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kbps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CTX-WKL-075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Network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Mixed bandwidth profile - share of Office activity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70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%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Network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Mixed bandwidth profile - share of video activity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5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%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Network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Mixed bandwidth profile - share of web activity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25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%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Network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Management traffic allowance per host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Gbps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Network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Live-migration (vMotion) burst allowance per host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Gbps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Network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PVS streaming bandwidth per 500 target devices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Gbps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CTX-WKL-050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Network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Steady profile/user-data (SMB) traffic per session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100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kbps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Network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Teams optimized audio per user (each way)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90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kbps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CTX-WKL-078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Network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Users in Teams meetings concurrently at peak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%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Network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Teams optimized video per user (each way)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700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kbps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CTX-WKL-079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Network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Inter-switch (peer) link ports per ToR switch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ports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Network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ToR downlink-to-uplink oversubscription target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:1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Network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ToR uplink port speed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100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Gbps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Network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Average user activity ratio (for average bandwidth)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60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%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CTX-WKL-005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Storage performance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IOPS per VM while booting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100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IOPS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Storage performance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Average I/O size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16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KB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Storage performance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Steady-state IOPS per multi-session user - heavy, with RAM cache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IOPS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CTX-WKL-031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Storage performance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Steady-state IOPS per multi-session user - light, with RAM cache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0.5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IOPS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CTX-WKL-029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Storage performance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Steady-state IOPS per multi-session user - medium, with RAM cache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IOPS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CTX-WKL-030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Storage performance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Steady-state IOPS per desktop user - heavy, without RAM cache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35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IOPS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CTX-WKL-028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Storage performance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Steady-state IOPS per desktop user - medium, with RAM cache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IOPS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CTX-WKL-027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Storage performance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Additional IOPS per session during logon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50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IOPS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Storage performance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Steady-state read percentage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%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Storage performance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Boot/logon storm read percentage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80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%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Storage performance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Storage performance headroom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30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%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Hosts &amp; platform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Host CPU utilization ceiling at peak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85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%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Hosts &amp; platform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Host memory utilization ceiling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90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%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Hosts &amp; platform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Hypervisor memory overhead per host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8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GB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Hosts &amp; platform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Physical cores reserved per host for the hypervisor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cores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Hosts &amp; platform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Maximum DIMMs per channel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DPC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Hosts &amp; platform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Memory channels per CPU socket (balanced DIMM population)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8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channels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Storage capacity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Backup target capacity multiplier over protected data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1.5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x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Storage capacity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Configuration Logging database allowance (MCS environments)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GB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Storage capacity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Data reduction ratio claimed (deduplication/compression)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:1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Storage capacity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MCS differencing / PVS write-cache disk per multi-session VM - heavy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60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GB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CTX-WKL-019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Storage capacity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MCS differencing / PVS write-cache disk per multi-session VM - light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20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GB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CTX-WKL-017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Storage capacity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MCS differencing / PVS write-cache disk per multi-session VM - medium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60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GB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CTX-WKL-018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Storage capacity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MCS differencing / PVS write-cache disk per desktop - heavy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20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GB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CTX-WKL-016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Storage capacity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MCS differencing / PVS write-cache disk per desktop - medium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15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GB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CTX-WKL-015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Storage capacity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Image versions retained per master image (MCS snapshots / PVS versions)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versions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Storage capacity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OS/system disk per infrastructure VM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100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GB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Storage capacity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Logs and monitoring data allowance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200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GB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Storage capacity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MCS identity disk per VM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16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MB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CTX-WKL-057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Storage capacity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Profile Management container default capacity (reference limit)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50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GB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CTX-WKL-071</w:t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Storage capacity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User profile size per named user (default if not measured)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GB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Storage capacity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SQL transaction log, tempdb and local backup allowance over database size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100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%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Storage capacity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Free-space reserve kept on datastores / storage pool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%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Storage capacity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Storage growth allowance (beyond user growth)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10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%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Storage capacity</w:t>
            </w:r>
          </w:p>
        </w:tc>
        <w:tc>
          <w:tcPr>
            <w:tcW w:w="4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Additional per-user storage with Microsoft Teams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1,024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MB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CTX-WKL-082</w:t>
            </w:r>
          </w:p>
        </w:tc>
      </w:tr>
      <w:tr>
        <w:trPr/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Storage capacity</w:t>
            </w:r>
          </w:p>
        </w:tc>
        <w:tc>
          <w:tcPr>
            <w:tcW w:w="4000" w:type="dxa"/>
            <w:noWrap/>
          </w:tcPr>
          <w:p>
            <w:pPr/>
            <w:r>
              <w:rPr>
                <w:sz w:val="16"/>
                <w:szCs w:val="16"/>
              </w:rPr>
              <w:t xml:space="preserve">User data / home drive per named user (default if not provided)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5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GB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</w:tbl>
    <w:p/>
    <w:p>
      <w:pPr>
        <w:pStyle w:val="Heading1"/>
      </w:pPr>
      <w:bookmarkStart w:id="4" w:name="_Toc4"/>
      <w:r>
        <w:t>5. Sizing methodology</w:t>
      </w:r>
      <w:bookmarkEnd w:id="4"/>
    </w:p>
    <w:p>
      <w:pPr>
        <w:pStyle w:val="body"/>
        <w:numPr>
          <w:ilvl w:val="0"/>
          <w:numId w:val="6"/>
        </w:numPr>
      </w:pPr>
      <w:r>
        <w:rPr/>
        <w:t xml:space="preserve">Compute follows the Citrix VDI Handbook method: physical cores = users / users-per-core x (1 + AV + Mon + Off - HT). The vCPU-to-physical-core ratio is shown explicitly and vCPUs are never counted as physical cores.</w:t>
      </w:r>
    </w:p>
    <w:p>
      <w:pPr>
        <w:pStyle w:val="body"/>
        <w:numPr>
          <w:ilvl w:val="0"/>
          <w:numId w:val="6"/>
        </w:numPr>
      </w:pPr>
      <w:r>
        <w:rPr/>
        <w:t xml:space="preserve">Memory is sized per VM from documented vRAM per user/desktop plus MCS/PVS RAM cache; host memory is sized so the full workload fits after the selected number of host failures (no memory overcommit).</w:t>
      </w:r>
    </w:p>
    <w:p>
      <w:pPr>
        <w:pStyle w:val="body"/>
        <w:numPr>
          <w:ilvl w:val="0"/>
          <w:numId w:val="6"/>
        </w:numPr>
      </w:pPr>
      <w:r>
        <w:rPr/>
        <w:t xml:space="preserve">Host count = max(CPU-driven, memory-driven, storage-driven, GPU-driven hosts) + failure hosts, never below the platform minimum; clusters above the platform maximum are split.</w:t>
      </w:r>
    </w:p>
    <w:p>
      <w:pPr>
        <w:pStyle w:val="body"/>
        <w:numPr>
          <w:ilvl w:val="0"/>
          <w:numId w:val="6"/>
        </w:numPr>
      </w:pPr>
      <w:r>
        <w:rPr/>
        <w:t xml:space="preserve">Storage separates performance and capacity tiers and converts logical capacity to raw: growth allowance, data reduction, free-space reserve, then platform protection overhead.</w:t>
      </w:r>
    </w:p>
    <w:p>
      <w:pPr>
        <w:pStyle w:val="body"/>
        <w:numPr>
          <w:ilvl w:val="0"/>
          <w:numId w:val="6"/>
        </w:numPr>
      </w:pPr>
      <w:r>
        <w:rPr/>
        <w:t xml:space="preserve">Citrix-specific rules come only from official Citrix documentation in the knowledge base; platform rules come from each vendor's own documentation. Rules are used as "official" only after administrator approval.</w:t>
      </w:r>
    </w:p>
    <w:p>
      <w:pPr>
        <w:pStyle w:val="body"/>
        <w:numPr>
          <w:ilvl w:val="0"/>
          <w:numId w:val="6"/>
        </w:numPr>
      </w:pPr>
      <w:r>
        <w:rPr/>
        <w:t xml:space="preserve">Growth: 8% per year for 3 years (factor 1.26), applied to user and session counts.</w:t>
      </w:r>
    </w:p>
    <w:p>
      <w:pPr>
        <w:pStyle w:val="Heading1"/>
      </w:pPr>
      <w:bookmarkStart w:id="5" w:name="_Toc5"/>
      <w:r>
        <w:t>6. Compute sizing</w:t>
      </w:r>
      <w:bookmarkEnd w:id="5"/>
    </w:p>
    <w:tbl>
      <w:tblGrid>
        <w:gridCol w:w="2000" w:type="dxa"/>
        <w:gridCol w:w="900" w:type="dxa"/>
        <w:gridCol w:w="900" w:type="dxa"/>
        <w:gridCol w:w="1200" w:type="dxa"/>
        <w:gridCol w:w="1300" w:type="dxa"/>
        <w:gridCol w:w="1000" w:type="dxa"/>
        <w:gridCol w:w="1200" w:type="dxa"/>
        <w:gridCol w:w="1200" w:type="dxa"/>
      </w:tblGrid>
      <w:tblPr>
        <w:tblStyle w:val="cs"/>
      </w:tblPr>
      <w:tr>
        <w:trPr>
          <w:tblHeader w:val="1"/>
        </w:trPr>
        <w:tc>
          <w:tcPr>
            <w:tcW w:w="20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Cluster</w:t>
            </w:r>
          </w:p>
        </w:tc>
        <w:tc>
          <w:tcPr>
            <w:tcW w:w="9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Hosts</w:t>
            </w:r>
          </w:p>
        </w:tc>
        <w:tc>
          <w:tcPr>
            <w:tcW w:w="9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Resilience</w:t>
            </w:r>
          </w:p>
        </w:tc>
        <w:tc>
          <w:tcPr>
            <w:tcW w:w="12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Driven by</w:t>
            </w:r>
          </w:p>
        </w:tc>
        <w:tc>
          <w:tcPr>
            <w:tcW w:w="13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CPU per host</w:t>
            </w:r>
          </w:p>
        </w:tc>
        <w:tc>
          <w:tcPr>
            <w:tcW w:w="10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RAM per host</w:t>
            </w:r>
          </w:p>
        </w:tc>
        <w:tc>
          <w:tcPr>
            <w:tcW w:w="12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CPU normal/failure</w:t>
            </w:r>
          </w:p>
        </w:tc>
        <w:tc>
          <w:tcPr>
            <w:tcW w:w="12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RAM normal/failure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>
                <w:sz w:val="16"/>
                <w:szCs w:val="16"/>
              </w:rPr>
              <w:t xml:space="preserve">Multi-session (Virtual Apps) cluster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24 (2 x 12)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N+1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16"/>
                <w:szCs w:val="16"/>
              </w:rPr>
              <w:t xml:space="preserve">CPU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2 x 32 cores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6"/>
                <w:szCs w:val="16"/>
              </w:rPr>
              <w:t xml:space="preserve">512 GB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16"/>
                <w:szCs w:val="16"/>
              </w:rPr>
              <w:t xml:space="preserve">75.8% / 82.7%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16"/>
                <w:szCs w:val="16"/>
              </w:rPr>
              <w:t xml:space="preserve">62.5% / 68.2%</w:t>
            </w:r>
          </w:p>
        </w:tc>
      </w:tr>
      <w:tr>
        <w:trPr/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Single-session (Virtual Desktops) cluster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12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N+1</w:t>
            </w:r>
          </w:p>
        </w:tc>
        <w:tc>
          <w:tcPr>
            <w:tcW w:w="1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CPU</w:t>
            </w:r>
          </w:p>
        </w:tc>
        <w:tc>
          <w:tcPr>
            <w:tcW w:w="13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 x 32 cores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2,048 GB</w:t>
            </w:r>
          </w:p>
        </w:tc>
        <w:tc>
          <w:tcPr>
            <w:tcW w:w="1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76.3% / 83.2%</w:t>
            </w:r>
          </w:p>
        </w:tc>
        <w:tc>
          <w:tcPr>
            <w:tcW w:w="1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70.7% / 77.1%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>
                <w:sz w:val="16"/>
                <w:szCs w:val="16"/>
              </w:rPr>
              <w:t xml:space="preserve">GPU cluster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8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N+1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16"/>
                <w:szCs w:val="16"/>
              </w:rPr>
              <w:t xml:space="preserve">CPU</w:t>
            </w:r>
          </w:p>
        </w:tc>
        <w:tc>
          <w:tcPr>
            <w:tcW w:w="1300" w:type="dxa"/>
            <w:noWrap/>
          </w:tcPr>
          <w:p>
            <w:pPr/>
            <w:r>
              <w:rPr>
                <w:sz w:val="16"/>
                <w:szCs w:val="16"/>
              </w:rPr>
              <w:t xml:space="preserve">2 x 32 cores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6"/>
                <w:szCs w:val="16"/>
              </w:rPr>
              <w:t xml:space="preserve">512 GB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16"/>
                <w:szCs w:val="16"/>
              </w:rPr>
              <w:t xml:space="preserve">66.7% / 76.2%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16"/>
                <w:szCs w:val="16"/>
              </w:rPr>
              <w:t xml:space="preserve">64.4% / 73.6%</w:t>
            </w:r>
          </w:p>
        </w:tc>
      </w:tr>
    </w:tbl>
    <w:p/>
    <w:tbl>
      <w:tblGrid>
        <w:gridCol w:w="400" w:type="dxa"/>
        <w:gridCol w:w="2000" w:type="dxa"/>
        <w:gridCol w:w="2000" w:type="dxa"/>
        <w:gridCol w:w="2000" w:type="dxa"/>
        <w:gridCol w:w="1000" w:type="dxa"/>
        <w:gridCol w:w="600" w:type="dxa"/>
        <w:gridCol w:w="700" w:type="dxa"/>
        <w:gridCol w:w="900" w:type="dxa"/>
      </w:tblGrid>
      <w:tblPr>
        <w:tblStyle w:val="cs"/>
      </w:tblPr>
      <w:tr>
        <w:trPr>
          <w:tblHeader w:val="1"/>
        </w:trPr>
        <w:tc>
          <w:tcPr>
            <w:tcW w:w="4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#</w:t>
            </w:r>
          </w:p>
        </w:tc>
        <w:tc>
          <w:tcPr>
            <w:tcW w:w="20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Step</w:t>
            </w:r>
          </w:p>
        </w:tc>
        <w:tc>
          <w:tcPr>
            <w:tcW w:w="20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Formula</w:t>
            </w:r>
          </w:p>
        </w:tc>
        <w:tc>
          <w:tcPr>
            <w:tcW w:w="20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Substitution</w:t>
            </w:r>
          </w:p>
        </w:tc>
        <w:tc>
          <w:tcPr>
            <w:tcW w:w="10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Result</w:t>
            </w:r>
          </w:p>
        </w:tc>
        <w:tc>
          <w:tcPr>
            <w:tcW w:w="6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Rounding</w:t>
            </w:r>
          </w:p>
        </w:tc>
        <w:tc>
          <w:tcPr>
            <w:tcW w:w="7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Class</w:t>
            </w:r>
          </w:p>
        </w:tc>
        <w:tc>
          <w:tcPr>
            <w:tcW w:w="9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Refs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4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users per physical core (light)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users/core = VDI Handbook density (WS2022) x scenario density multiplier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18 x 1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18 users/core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CTX-WKL-037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5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Microsoft Teams density reduction (light)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users/core x (1 - Teams reduction%)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18 x (1 - 40%)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10.8 users/core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CTX-WKL-081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users per physical core (medium)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users/core = VDI Handbook density (WS2022) x scenario density multiplier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10 x 1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10 users/core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CTX-WKL-038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7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Microsoft Teams density reduction (medium)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users/core x (1 - Teams reduction%)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10 x (1 - 40%)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6 users/core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CTX-WKL-081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8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users per physical core (heavy)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users/core = VDI Handbook density (WS2022) x scenario density multiplier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6 x 1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6 users/core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CTX-WKL-039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9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Microsoft Teams density reduction (heavy)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users/core x (1 - Teams reduction%)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6 x (1 - 40%)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3.6 users/core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CTX-WKL-081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10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density adjustment factor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F = 1 + AV + Mon + Off - HT (selected characteristics only)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 factor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CTX-WKL-041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11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physical cores required (VDI Handbook method)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cores = sum(sessions_class / users-per-core_class) x (1 + AV + Mon + Off - HT)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(1,940.1 / 10.8) + (2,771.5 / 6) + (831.5 / 3.6) x 1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872.509 cores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CTX-WKL-037, CTX-WKL-038, CTX-WKL-039, CTX-WKL-041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12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aggregate vCPU demand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vCPU demand = physical cores x vCPU:pCore ratio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872.51 x 2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1,745.019 vCPU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CTX-WKL-003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13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sessions per VM (CPU-bound)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sessions/VM = floor(vCPU per VM / vCPU per session)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 / 0.3148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25 sessions/VM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floor</w:t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17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sessions per VM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sessions/VM = min(CPU, load management cap)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min(25, 250)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25 sessions/VM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CTX-WKL-094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18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VDA VMs for peak sessions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VMs = ceil(sessions / sessions per VM)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5,543 / 25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222 VMs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19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VDA VMs including spare capacity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VMs = base VMs + ceil(base VMs x spare%)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222 + ceil(222 x 10%)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245 VMs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CTX-WKL-095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21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provisioned vCPU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vCPU = VMs x vCPU per VM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245 x 8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1,960 vCPU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22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physical cores for provisioned VMs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cores = provisioned vCPU / vCPU:pCore ratio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1960 / 2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980 cores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CTX-WKL-003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27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Desktop pool: Pooled knowledge workers: density adjustment factor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F = 1 + AV + Mon + Off - HT (selected characteristics only)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 factor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CTX-WKL-041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28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Desktop pool: Pooled knowledge workers: aggregate vCPU demand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vCPU demand = powered-on desktops x vCPU per desktop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1331 x 2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2,662 vCPU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Customer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29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Desktop pool: Pooled knowledge workers: desktops per physical core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desktops/core = VDI Handbook density x scenario density multiplier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 x 1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 desktops/core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CTX-WKL-035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30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Desktop pool: Pooled knowledge workers: physical cores required (VDI Handbook method)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cores = desktops / desktops-per-core x (1 + AV + Mon + Off - HT)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1331 / 4 x 1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332.75 cores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CTX-WKL-035, CTX-WKL-041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31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Desktop pool: Pooled knowledge workers: implied vCPU-to-physical-core ratio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ratio = vCPU demand / physical cores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2662 / 332.75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 :1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38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Desktop pool: Developers (persistent): density adjustment factor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F = 1 + AV + Mon + Off - HT (selected characteristics only)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 factor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CTX-WKL-041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39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Desktop pool: Developers (persistent): aggregate vCPU demand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vCPU demand = powered-on desktops x vCPU per desktop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378 x 4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1,512 vCPU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Customer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40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Desktop pool: Developers (persistent): desktops per physical core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desktops/core = VDI Handbook density x scenario density multiplier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2 x 1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2 desktops/core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CTX-WKL-036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41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Desktop pool: Developers (persistent): physical cores required (VDI Handbook method)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cores = desktops / desktops-per-core x (1 + AV + Mon + Off - HT)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378 / 2 x 1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189 cores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CTX-WKL-036, CTX-WKL-041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42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Desktop pool: Developers (persistent): implied vCPU-to-physical-core ratio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ratio = vCPU demand / physical cores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1512 / 189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8 :1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</w:tbl>
    <w:p/>
    <w:p>
      <w:pPr>
        <w:pStyle w:val="Heading1"/>
      </w:pPr>
      <w:bookmarkStart w:id="6" w:name="_Toc6"/>
      <w:r>
        <w:t>7. Memory sizing</w:t>
      </w:r>
      <w:bookmarkEnd w:id="6"/>
    </w:p>
    <w:tbl>
      <w:tblGrid>
        <w:gridCol w:w="400" w:type="dxa"/>
        <w:gridCol w:w="2000" w:type="dxa"/>
        <w:gridCol w:w="2000" w:type="dxa"/>
        <w:gridCol w:w="2000" w:type="dxa"/>
        <w:gridCol w:w="1000" w:type="dxa"/>
        <w:gridCol w:w="600" w:type="dxa"/>
        <w:gridCol w:w="700" w:type="dxa"/>
        <w:gridCol w:w="900" w:type="dxa"/>
      </w:tblGrid>
      <w:tblPr>
        <w:tblStyle w:val="cs"/>
      </w:tblPr>
      <w:tr>
        <w:trPr>
          <w:tblHeader w:val="1"/>
        </w:trPr>
        <w:tc>
          <w:tcPr>
            <w:tcW w:w="4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#</w:t>
            </w:r>
          </w:p>
        </w:tc>
        <w:tc>
          <w:tcPr>
            <w:tcW w:w="20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Step</w:t>
            </w:r>
          </w:p>
        </w:tc>
        <w:tc>
          <w:tcPr>
            <w:tcW w:w="20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Formula</w:t>
            </w:r>
          </w:p>
        </w:tc>
        <w:tc>
          <w:tcPr>
            <w:tcW w:w="20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Substitution</w:t>
            </w:r>
          </w:p>
        </w:tc>
        <w:tc>
          <w:tcPr>
            <w:tcW w:w="10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Result</w:t>
            </w:r>
          </w:p>
        </w:tc>
        <w:tc>
          <w:tcPr>
            <w:tcW w:w="6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Rounding</w:t>
            </w:r>
          </w:p>
        </w:tc>
        <w:tc>
          <w:tcPr>
            <w:tcW w:w="7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Class</w:t>
            </w:r>
          </w:p>
        </w:tc>
        <w:tc>
          <w:tcPr>
            <w:tcW w:w="9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Refs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14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memory per session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RAM/session = sum(mix% x vRAM per user_class) x scenario RAM multiplier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35% x 256 MB + 50% x 640 MB + 15% x 1,024 MB x 1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563.2 MB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CTX-WKL-011, CTX-WKL-012, CTX-WKL-013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15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Microsoft Teams memory uplift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RAM/session x (1 + Teams uplift%)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563.2 x (1 + 20%)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675.84 MB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CTX-WKL-082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16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MCS/PVS RAM cache per VM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RAM cache = sum(mix% x RAM cache_class), rounded up to 0.5 GB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7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7 GB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ceil 0.5 GB</w:t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CTX-WKL-023, CTX-WKL-024, CTX-WKL-025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20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memory per VM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VM RAM = OS base + RAM cache + sessions/VM x RAM/session, rounded up to 2 GB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 + 7 + 25 x 675.8 MB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28 GB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ceil 2 GB</w:t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23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total VDA memory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RAM = VMs x RAM per VM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245 x 28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6,860 GB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32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Desktop pool: Pooled knowledge workers: vRAM per desktop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vRAM = VDI Handbook vRAM (medium) x scenario RAM multiplier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 x 1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 GB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CTX-WKL-009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33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Desktop pool: Pooled knowledge workers: MCS/PVS RAM cache per desktop (scale)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RAM cache = VDI Handbook value (scale)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256 MB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0.25 GB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CTX-WKL-021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34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Desktop pool: Pooled knowledge workers: total desktop memory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RAM = powered-on desktops x (vRAM + RAM cache)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1331 x (8 + 0.25)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10,980.75 GB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43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Desktop pool: Developers (persistent): vRAM per desktop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vRAM = customer-specified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16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16 GB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Customer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44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Desktop pool: Developers (persistent): total desktop memory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RAM = powered-on desktops x (vRAM + RAM cache)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378 x (16 + 0)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6,048 GB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</w:tbl>
    <w:p/>
    <w:p>
      <w:pPr>
        <w:pStyle w:val="Heading1"/>
      </w:pPr>
      <w:bookmarkStart w:id="7" w:name="_Toc7"/>
      <w:r>
        <w:t>8. Storage sizing</w:t>
      </w:r>
      <w:bookmarkEnd w:id="7"/>
    </w:p>
    <w:tbl>
      <w:tblGrid>
        <w:gridCol w:w="2200" w:type="dxa"/>
        <w:gridCol w:w="1100" w:type="dxa"/>
        <w:gridCol w:w="1100" w:type="dxa"/>
        <w:gridCol w:w="1100" w:type="dxa"/>
        <w:gridCol w:w="1100" w:type="dxa"/>
        <w:gridCol w:w="2000" w:type="dxa"/>
        <w:gridCol w:w="1100" w:type="dxa"/>
      </w:tblGrid>
      <w:tblPr>
        <w:tblStyle w:val="cs"/>
      </w:tblPr>
      <w:tr>
        <w:trPr>
          <w:tblHeader w:val="1"/>
        </w:trPr>
        <w:tc>
          <w:tcPr>
            <w:tcW w:w="22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Cluster</w:t>
            </w:r>
          </w:p>
        </w:tc>
        <w:tc>
          <w:tcPr>
            <w:tcW w:w="11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Logical</w:t>
            </w:r>
          </w:p>
        </w:tc>
        <w:tc>
          <w:tcPr>
            <w:tcW w:w="11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With growth</w:t>
            </w:r>
          </w:p>
        </w:tc>
        <w:tc>
          <w:tcPr>
            <w:tcW w:w="11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Effective</w:t>
            </w:r>
          </w:p>
        </w:tc>
        <w:tc>
          <w:tcPr>
            <w:tcW w:w="11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Usable</w:t>
            </w:r>
          </w:p>
        </w:tc>
        <w:tc>
          <w:tcPr>
            <w:tcW w:w="20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Protection</w:t>
            </w:r>
          </w:p>
        </w:tc>
        <w:tc>
          <w:tcPr>
            <w:tcW w:w="11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Raw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16"/>
                <w:szCs w:val="16"/>
              </w:rPr>
              <w:t xml:space="preserve">Multi-session (Virtual Apps) cluster</w:t>
            </w:r>
          </w:p>
        </w:tc>
        <w:tc>
          <w:tcPr>
            <w:tcW w:w="1100" w:type="dxa"/>
            <w:noWrap/>
          </w:tcPr>
          <w:p>
            <w:pPr/>
            <w:r>
              <w:rPr>
                <w:sz w:val="16"/>
                <w:szCs w:val="16"/>
              </w:rPr>
              <w:t xml:space="preserve">14.69 TB</w:t>
            </w:r>
          </w:p>
        </w:tc>
        <w:tc>
          <w:tcPr>
            <w:tcW w:w="1100" w:type="dxa"/>
            <w:noWrap/>
          </w:tcPr>
          <w:p>
            <w:pPr/>
            <w:r>
              <w:rPr>
                <w:sz w:val="16"/>
                <w:szCs w:val="16"/>
              </w:rPr>
              <w:t xml:space="preserve">16.16 TB</w:t>
            </w:r>
          </w:p>
        </w:tc>
        <w:tc>
          <w:tcPr>
            <w:tcW w:w="1100" w:type="dxa"/>
            <w:noWrap/>
          </w:tcPr>
          <w:p>
            <w:pPr/>
            <w:r>
              <w:rPr>
                <w:sz w:val="16"/>
                <w:szCs w:val="16"/>
              </w:rPr>
              <w:t xml:space="preserve">16.16 TB</w:t>
            </w:r>
          </w:p>
        </w:tc>
        <w:tc>
          <w:tcPr>
            <w:tcW w:w="1100" w:type="dxa"/>
            <w:noWrap/>
          </w:tcPr>
          <w:p>
            <w:pPr/>
            <w:r>
              <w:rPr>
                <w:sz w:val="16"/>
                <w:szCs w:val="16"/>
              </w:rPr>
              <w:t xml:space="preserve">20.2 TB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6"/>
                <w:szCs w:val="16"/>
              </w:rPr>
              <w:t xml:space="preserve">Nutanix AOS with AHV Replication factor 2 (1N/1D) (x2.222)</w:t>
            </w:r>
          </w:p>
        </w:tc>
        <w:tc>
          <w:tcPr>
            <w:tcW w:w="1100" w:type="dxa"/>
            <w:noWrap/>
          </w:tcPr>
          <w:p>
            <w:pPr/>
            <w:r>
              <w:rPr>
                <w:sz w:val="16"/>
                <w:szCs w:val="16"/>
              </w:rPr>
              <w:t xml:space="preserve">44.89 TB</w:t>
            </w:r>
          </w:p>
        </w:tc>
      </w:tr>
      <w:tr>
        <w:trPr/>
        <w:tc>
          <w:tcPr>
            <w:tcW w:w="2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Single-session (Virtual Desktops) cluster</w:t>
            </w:r>
          </w:p>
        </w:tc>
        <w:tc>
          <w:tcPr>
            <w:tcW w:w="11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87.59 TB</w:t>
            </w:r>
          </w:p>
        </w:tc>
        <w:tc>
          <w:tcPr>
            <w:tcW w:w="11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96.35 TB</w:t>
            </w:r>
          </w:p>
        </w:tc>
        <w:tc>
          <w:tcPr>
            <w:tcW w:w="11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96.35 TB</w:t>
            </w:r>
          </w:p>
        </w:tc>
        <w:tc>
          <w:tcPr>
            <w:tcW w:w="11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120.44 TB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Nutanix AOS with AHV Replication factor 2 (1N/1D) (x2.222)</w:t>
            </w:r>
          </w:p>
        </w:tc>
        <w:tc>
          <w:tcPr>
            <w:tcW w:w="11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267.64 TB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16"/>
                <w:szCs w:val="16"/>
              </w:rPr>
              <w:t xml:space="preserve">GPU cluster</w:t>
            </w:r>
          </w:p>
        </w:tc>
        <w:tc>
          <w:tcPr>
            <w:tcW w:w="1100" w:type="dxa"/>
            <w:noWrap/>
          </w:tcPr>
          <w:p>
            <w:pPr/>
            <w:r>
              <w:rPr>
                <w:sz w:val="16"/>
                <w:szCs w:val="16"/>
              </w:rPr>
              <w:t xml:space="preserve">9.12 TB</w:t>
            </w:r>
          </w:p>
        </w:tc>
        <w:tc>
          <w:tcPr>
            <w:tcW w:w="1100" w:type="dxa"/>
            <w:noWrap/>
          </w:tcPr>
          <w:p>
            <w:pPr/>
            <w:r>
              <w:rPr>
                <w:sz w:val="16"/>
                <w:szCs w:val="16"/>
              </w:rPr>
              <w:t xml:space="preserve">10.03 TB</w:t>
            </w:r>
          </w:p>
        </w:tc>
        <w:tc>
          <w:tcPr>
            <w:tcW w:w="1100" w:type="dxa"/>
            <w:noWrap/>
          </w:tcPr>
          <w:p>
            <w:pPr/>
            <w:r>
              <w:rPr>
                <w:sz w:val="16"/>
                <w:szCs w:val="16"/>
              </w:rPr>
              <w:t xml:space="preserve">10.03 TB</w:t>
            </w:r>
          </w:p>
        </w:tc>
        <w:tc>
          <w:tcPr>
            <w:tcW w:w="1100" w:type="dxa"/>
            <w:noWrap/>
          </w:tcPr>
          <w:p>
            <w:pPr/>
            <w:r>
              <w:rPr>
                <w:sz w:val="16"/>
                <w:szCs w:val="16"/>
              </w:rPr>
              <w:t xml:space="preserve">12.54 TB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6"/>
                <w:szCs w:val="16"/>
              </w:rPr>
              <w:t xml:space="preserve">Nutanix AOS with AHV Replication factor 2 (1N/1D) (x2.222)</w:t>
            </w:r>
          </w:p>
        </w:tc>
        <w:tc>
          <w:tcPr>
            <w:tcW w:w="1100" w:type="dxa"/>
            <w:noWrap/>
          </w:tcPr>
          <w:p>
            <w:pPr/>
            <w:r>
              <w:rPr>
                <w:sz w:val="16"/>
                <w:szCs w:val="16"/>
              </w:rPr>
              <w:t xml:space="preserve">27.87 TB</w:t>
            </w:r>
          </w:p>
        </w:tc>
      </w:tr>
    </w:tbl>
    <w:p/>
    <w:tbl>
      <w:tblGrid>
        <w:gridCol w:w="3200" w:type="dxa"/>
        <w:gridCol w:w="1000" w:type="dxa"/>
        <w:gridCol w:w="900" w:type="dxa"/>
        <w:gridCol w:w="3600" w:type="dxa"/>
        <w:gridCol w:w="900" w:type="dxa"/>
      </w:tblGrid>
      <w:tblPr>
        <w:tblStyle w:val="cs"/>
      </w:tblPr>
      <w:tr>
        <w:trPr>
          <w:tblHeader w:val="1"/>
        </w:trPr>
        <w:tc>
          <w:tcPr>
            <w:tcW w:w="32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Item</w:t>
            </w:r>
          </w:p>
        </w:tc>
        <w:tc>
          <w:tcPr>
            <w:tcW w:w="10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Tier</w:t>
            </w:r>
          </w:p>
        </w:tc>
        <w:tc>
          <w:tcPr>
            <w:tcW w:w="9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GB</w:t>
            </w:r>
          </w:p>
        </w:tc>
        <w:tc>
          <w:tcPr>
            <w:tcW w:w="36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Basis</w:t>
            </w:r>
          </w:p>
        </w:tc>
        <w:tc>
          <w:tcPr>
            <w:tcW w:w="9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Class</w:t>
            </w:r>
          </w:p>
        </w:tc>
      </w:tr>
      <w:tr>
        <w:trPr/>
        <w:tc>
          <w:tcPr>
            <w:tcW w:w="3200" w:type="dxa"/>
            <w:noWrap/>
          </w:tcPr>
          <w:p>
            <w:pPr/>
            <w:r>
              <w:rPr>
                <w:sz w:val="16"/>
                <w:szCs w:val="16"/>
              </w:rPr>
              <w:t xml:space="preserve">Virtual Apps session hosts: master image, snapshots and prepared copies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6"/>
                <w:szCs w:val="16"/>
              </w:rPr>
              <w:t xml:space="preserve">Performance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400</w:t>
            </w:r>
          </w:p>
        </w:tc>
        <w:tc>
          <w:tcPr>
            <w:tcW w:w="3600" w:type="dxa"/>
            <w:noWrap/>
          </w:tcPr>
          <w:p>
            <w:pPr/>
            <w:r>
              <w:rPr>
                <w:sz w:val="16"/>
                <w:szCs w:val="16"/>
              </w:rPr>
              <w:t xml:space="preserve">1 image(s) x 100 GB x (3 versions + 1 storage location copy)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Calculated</w:t>
            </w:r>
          </w:p>
        </w:tc>
      </w:tr>
      <w:tr>
        <w:trPr/>
        <w:tc>
          <w:tcPr>
            <w:tcW w:w="3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Virtual Apps session hosts: MCS differencing disks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Performance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11,270</w:t>
            </w:r>
          </w:p>
        </w:tc>
        <w:tc>
          <w:tcPr>
            <w:tcW w:w="36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245 VMs x 46 GB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</w:tr>
      <w:tr>
        <w:trPr/>
        <w:tc>
          <w:tcPr>
            <w:tcW w:w="3200" w:type="dxa"/>
            <w:noWrap/>
          </w:tcPr>
          <w:p>
            <w:pPr/>
            <w:r>
              <w:rPr>
                <w:sz w:val="16"/>
                <w:szCs w:val="16"/>
              </w:rPr>
              <w:t xml:space="preserve">Virtual Apps session hosts: MCS identity disks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6"/>
                <w:szCs w:val="16"/>
              </w:rPr>
              <w:t xml:space="preserve">Performance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3.8</w:t>
            </w:r>
          </w:p>
        </w:tc>
        <w:tc>
          <w:tcPr>
            <w:tcW w:w="3600" w:type="dxa"/>
            <w:noWrap/>
          </w:tcPr>
          <w:p>
            <w:pPr/>
            <w:r>
              <w:rPr>
                <w:sz w:val="16"/>
                <w:szCs w:val="16"/>
              </w:rPr>
              <w:t xml:space="preserve">245 VMs x 16 MB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</w:tr>
      <w:tr>
        <w:trPr/>
        <w:tc>
          <w:tcPr>
            <w:tcW w:w="3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Infrastructure VM disks: Delivery Controller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Performance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200</w:t>
            </w:r>
          </w:p>
        </w:tc>
        <w:tc>
          <w:tcPr>
            <w:tcW w:w="36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 x 100 GB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</w:tr>
      <w:tr>
        <w:trPr/>
        <w:tc>
          <w:tcPr>
            <w:tcW w:w="3200" w:type="dxa"/>
            <w:noWrap/>
          </w:tcPr>
          <w:p>
            <w:pPr/>
            <w:r>
              <w:rPr>
                <w:sz w:val="16"/>
                <w:szCs w:val="16"/>
              </w:rPr>
              <w:t xml:space="preserve">Infrastructure VM disks: Citrix License Server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6"/>
                <w:szCs w:val="16"/>
              </w:rPr>
              <w:t xml:space="preserve">Performance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100</w:t>
            </w:r>
          </w:p>
        </w:tc>
        <w:tc>
          <w:tcPr>
            <w:tcW w:w="3600" w:type="dxa"/>
            <w:noWrap/>
          </w:tcPr>
          <w:p>
            <w:pPr/>
            <w:r>
              <w:rPr>
                <w:sz w:val="16"/>
                <w:szCs w:val="16"/>
              </w:rPr>
              <w:t xml:space="preserve">1 x 100 GB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</w:tr>
      <w:tr>
        <w:trPr/>
        <w:tc>
          <w:tcPr>
            <w:tcW w:w="3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Infrastructure VM disks: Director (monitoring console)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Performance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200</w:t>
            </w:r>
          </w:p>
        </w:tc>
        <w:tc>
          <w:tcPr>
            <w:tcW w:w="36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 x 100 GB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</w:tr>
      <w:tr>
        <w:trPr/>
        <w:tc>
          <w:tcPr>
            <w:tcW w:w="3200" w:type="dxa"/>
            <w:noWrap/>
          </w:tcPr>
          <w:p>
            <w:pPr/>
            <w:r>
              <w:rPr>
                <w:sz w:val="16"/>
                <w:szCs w:val="16"/>
              </w:rPr>
              <w:t xml:space="preserve">Infrastructure VM disks: SQL Server (Citrix databases)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6"/>
                <w:szCs w:val="16"/>
              </w:rPr>
              <w:t xml:space="preserve">Performance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358</w:t>
            </w:r>
          </w:p>
        </w:tc>
        <w:tc>
          <w:tcPr>
            <w:tcW w:w="3600" w:type="dxa"/>
            <w:noWrap/>
          </w:tcPr>
          <w:p>
            <w:pPr/>
            <w:r>
              <w:rPr>
                <w:sz w:val="16"/>
                <w:szCs w:val="16"/>
              </w:rPr>
              <w:t xml:space="preserve">2 x 179 GB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</w:tr>
      <w:tr>
        <w:trPr/>
        <w:tc>
          <w:tcPr>
            <w:tcW w:w="3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Infrastructure VM disks: StoreFront server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Performance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200</w:t>
            </w:r>
          </w:p>
        </w:tc>
        <w:tc>
          <w:tcPr>
            <w:tcW w:w="36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 x 100 GB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</w:tr>
      <w:tr>
        <w:trPr/>
        <w:tc>
          <w:tcPr>
            <w:tcW w:w="3200" w:type="dxa"/>
            <w:noWrap/>
          </w:tcPr>
          <w:p>
            <w:pPr/>
            <w:r>
              <w:rPr>
                <w:sz w:val="16"/>
                <w:szCs w:val="16"/>
              </w:rPr>
              <w:t xml:space="preserve">Infrastructure VM disks: NetScaler Gateway (VPX, HA pair)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6"/>
                <w:szCs w:val="16"/>
              </w:rPr>
              <w:t xml:space="preserve">Performance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40</w:t>
            </w:r>
          </w:p>
        </w:tc>
        <w:tc>
          <w:tcPr>
            <w:tcW w:w="3600" w:type="dxa"/>
            <w:noWrap/>
          </w:tcPr>
          <w:p>
            <w:pPr/>
            <w:r>
              <w:rPr>
                <w:sz w:val="16"/>
                <w:szCs w:val="16"/>
              </w:rPr>
              <w:t xml:space="preserve">2 x 20 GB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</w:tr>
      <w:tr>
        <w:trPr/>
        <w:tc>
          <w:tcPr>
            <w:tcW w:w="3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Infrastructure VM disks: Federated Authentication Service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Performance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200</w:t>
            </w:r>
          </w:p>
        </w:tc>
        <w:tc>
          <w:tcPr>
            <w:tcW w:w="36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 x 100 GB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</w:tr>
      <w:tr>
        <w:trPr/>
        <w:tc>
          <w:tcPr>
            <w:tcW w:w="3200" w:type="dxa"/>
            <w:noWrap/>
          </w:tcPr>
          <w:p>
            <w:pPr/>
            <w:r>
              <w:rPr>
                <w:sz w:val="16"/>
                <w:szCs w:val="16"/>
              </w:rPr>
              <w:t xml:space="preserve">Infrastructure VM disks: Workspace Environment Management infrastructure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6"/>
                <w:szCs w:val="16"/>
              </w:rPr>
              <w:t xml:space="preserve">Performance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480</w:t>
            </w:r>
          </w:p>
        </w:tc>
        <w:tc>
          <w:tcPr>
            <w:tcW w:w="3600" w:type="dxa"/>
            <w:noWrap/>
          </w:tcPr>
          <w:p>
            <w:pPr/>
            <w:r>
              <w:rPr>
                <w:sz w:val="16"/>
                <w:szCs w:val="16"/>
              </w:rPr>
              <w:t xml:space="preserve">6 x 80 GB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</w:tr>
      <w:tr>
        <w:trPr/>
        <w:tc>
          <w:tcPr>
            <w:tcW w:w="3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Infrastructure VM disks: Nutanix Prism Central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Performance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600</w:t>
            </w:r>
          </w:p>
        </w:tc>
        <w:tc>
          <w:tcPr>
            <w:tcW w:w="36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 x 600 GB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</w:tr>
      <w:tr>
        <w:trPr/>
        <w:tc>
          <w:tcPr>
            <w:tcW w:w="3200" w:type="dxa"/>
            <w:noWrap/>
          </w:tcPr>
          <w:p>
            <w:pPr/>
            <w:r>
              <w:rPr>
                <w:sz w:val="16"/>
                <w:szCs w:val="16"/>
              </w:rPr>
              <w:t xml:space="preserve">Logs and monitoring data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6"/>
                <w:szCs w:val="16"/>
              </w:rPr>
              <w:t xml:space="preserve">Capacity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200</w:t>
            </w:r>
          </w:p>
        </w:tc>
        <w:tc>
          <w:tcPr>
            <w:tcW w:w="3600" w:type="dxa"/>
            <w:noWrap/>
          </w:tcPr>
          <w:p>
            <w:pPr/>
            <w:r>
              <w:rPr>
                <w:sz w:val="16"/>
                <w:szCs w:val="16"/>
              </w:rPr>
              <w:t xml:space="preserve">allowance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Assumption</w:t>
            </w:r>
          </w:p>
        </w:tc>
      </w:tr>
      <w:tr>
        <w:trPr/>
        <w:tc>
          <w:tcPr>
            <w:tcW w:w="3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Application storage (packages / layers)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Capacity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100</w:t>
            </w:r>
          </w:p>
        </w:tc>
        <w:tc>
          <w:tcPr>
            <w:tcW w:w="36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customer input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Customer</w:t>
            </w:r>
          </w:p>
        </w:tc>
      </w:tr>
      <w:tr>
        <w:trPr/>
        <w:tc>
          <w:tcPr>
            <w:tcW w:w="3200" w:type="dxa"/>
            <w:noWrap/>
          </w:tcPr>
          <w:p>
            <w:pPr/>
            <w:r>
              <w:rPr>
                <w:sz w:val="16"/>
                <w:szCs w:val="16"/>
              </w:rPr>
              <w:t xml:space="preserve">MDM: XenMobile Server node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6"/>
                <w:szCs w:val="16"/>
              </w:rPr>
              <w:t xml:space="preserve">Performance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100</w:t>
            </w:r>
          </w:p>
        </w:tc>
        <w:tc>
          <w:tcPr>
            <w:tcW w:w="3600" w:type="dxa"/>
            <w:noWrap/>
          </w:tcPr>
          <w:p>
            <w:pPr/>
            <w:r>
              <w:rPr>
                <w:sz w:val="16"/>
                <w:szCs w:val="16"/>
              </w:rPr>
              <w:t xml:space="preserve">2 x 50 GB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</w:tr>
      <w:tr>
        <w:trPr/>
        <w:tc>
          <w:tcPr>
            <w:tcW w:w="3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MDM: SQL Server (XenMobile database)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Performance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200</w:t>
            </w:r>
          </w:p>
        </w:tc>
        <w:tc>
          <w:tcPr>
            <w:tcW w:w="36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 x 100 GB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</w:tr>
      <w:tr>
        <w:trPr/>
        <w:tc>
          <w:tcPr>
            <w:tcW w:w="3200" w:type="dxa"/>
            <w:noWrap/>
          </w:tcPr>
          <w:p>
            <w:pPr/>
            <w:r>
              <w:rPr>
                <w:sz w:val="16"/>
                <w:szCs w:val="16"/>
              </w:rPr>
              <w:t xml:space="preserve">MDM: NetScaler ADC (MDM/MAM load balancing and Gateway)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6"/>
                <w:szCs w:val="16"/>
              </w:rPr>
              <w:t xml:space="preserve">Performance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40</w:t>
            </w:r>
          </w:p>
        </w:tc>
        <w:tc>
          <w:tcPr>
            <w:tcW w:w="3600" w:type="dxa"/>
            <w:noWrap/>
          </w:tcPr>
          <w:p>
            <w:pPr/>
            <w:r>
              <w:rPr>
                <w:sz w:val="16"/>
                <w:szCs w:val="16"/>
              </w:rPr>
              <w:t xml:space="preserve">2 x 20 GB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</w:tr>
      <w:tr>
        <w:trPr/>
        <w:tc>
          <w:tcPr>
            <w:tcW w:w="3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Desktop pool: Pooled knowledge workers: master image, snapshots and prepared copies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Performance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320</w:t>
            </w:r>
          </w:p>
        </w:tc>
        <w:tc>
          <w:tcPr>
            <w:tcW w:w="36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 image(s) x 80 GB x (3 versions + 1 storage location copy)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Calculated</w:t>
            </w:r>
          </w:p>
        </w:tc>
      </w:tr>
      <w:tr>
        <w:trPr/>
        <w:tc>
          <w:tcPr>
            <w:tcW w:w="3200" w:type="dxa"/>
            <w:noWrap/>
          </w:tcPr>
          <w:p>
            <w:pPr/>
            <w:r>
              <w:rPr>
                <w:sz w:val="16"/>
                <w:szCs w:val="16"/>
              </w:rPr>
              <w:t xml:space="preserve">Desktop pool: Pooled knowledge workers: MCS differencing disks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6"/>
                <w:szCs w:val="16"/>
              </w:rPr>
              <w:t xml:space="preserve">Performance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19,965</w:t>
            </w:r>
          </w:p>
        </w:tc>
        <w:tc>
          <w:tcPr>
            <w:tcW w:w="3600" w:type="dxa"/>
            <w:noWrap/>
          </w:tcPr>
          <w:p>
            <w:pPr/>
            <w:r>
              <w:rPr>
                <w:sz w:val="16"/>
                <w:szCs w:val="16"/>
              </w:rPr>
              <w:t xml:space="preserve">1331 VMs x 15 GB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</w:tr>
      <w:tr>
        <w:trPr/>
        <w:tc>
          <w:tcPr>
            <w:tcW w:w="3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Desktop pool: Pooled knowledge workers: MCS identity disks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Performance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20.8</w:t>
            </w:r>
          </w:p>
        </w:tc>
        <w:tc>
          <w:tcPr>
            <w:tcW w:w="36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1331 VMs x 16 MB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Validate</w:t>
            </w:r>
          </w:p>
        </w:tc>
      </w:tr>
      <w:tr>
        <w:trPr/>
        <w:tc>
          <w:tcPr>
            <w:tcW w:w="3200" w:type="dxa"/>
            <w:noWrap/>
          </w:tcPr>
          <w:p>
            <w:pPr/>
            <w:r>
              <w:rPr>
                <w:sz w:val="16"/>
                <w:szCs w:val="16"/>
              </w:rPr>
              <w:t xml:space="preserve">Desktop pool: Developers (persistent): full VM disks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6"/>
                <w:szCs w:val="16"/>
              </w:rPr>
              <w:t xml:space="preserve">Performance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48,384</w:t>
            </w:r>
          </w:p>
        </w:tc>
        <w:tc>
          <w:tcPr>
            <w:tcW w:w="3600" w:type="dxa"/>
            <w:noWrap/>
          </w:tcPr>
          <w:p>
            <w:pPr/>
            <w:r>
              <w:rPr>
                <w:sz w:val="16"/>
                <w:szCs w:val="16"/>
              </w:rPr>
              <w:t xml:space="preserve">378 VMs x 128 GB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Customer</w:t>
            </w:r>
          </w:p>
        </w:tc>
      </w:tr>
      <w:tr>
        <w:trPr/>
        <w:tc>
          <w:tcPr>
            <w:tcW w:w="3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Desktop pool: Developers (persistent): persistent data disks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Capacity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18,900</w:t>
            </w:r>
          </w:p>
        </w:tc>
        <w:tc>
          <w:tcPr>
            <w:tcW w:w="36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378 VMs x 50 GB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Customer</w:t>
            </w:r>
          </w:p>
        </w:tc>
      </w:tr>
      <w:tr>
        <w:trPr/>
        <w:tc>
          <w:tcPr>
            <w:tcW w:w="3200" w:type="dxa"/>
            <w:noWrap/>
          </w:tcPr>
          <w:p>
            <w:pPr/>
            <w:r>
              <w:rPr>
                <w:sz w:val="16"/>
                <w:szCs w:val="16"/>
              </w:rPr>
              <w:t xml:space="preserve">GPU pool: Radiology viewing: full VM disks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6"/>
                <w:szCs w:val="16"/>
              </w:rPr>
              <w:t xml:space="preserve">Performance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9,120</w:t>
            </w:r>
          </w:p>
        </w:tc>
        <w:tc>
          <w:tcPr>
            <w:tcW w:w="3600" w:type="dxa"/>
            <w:noWrap/>
          </w:tcPr>
          <w:p>
            <w:pPr/>
            <w:r>
              <w:rPr>
                <w:sz w:val="16"/>
                <w:szCs w:val="16"/>
              </w:rPr>
              <w:t xml:space="preserve">76 VMs x 120 GB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Customer</w:t>
            </w:r>
          </w:p>
        </w:tc>
      </w:tr>
    </w:tbl>
    <w:p/>
    <w:p>
      <w:pPr>
        <w:pStyle w:val="body"/>
      </w:pPr>
      <w:r>
        <w:rPr/>
        <w:t xml:space="preserve">Existing file services (not on the virtualization platform): 76.2 TB.</w:t>
      </w:r>
    </w:p>
    <w:p>
      <w:pPr>
        <w:pStyle w:val="Heading2"/>
      </w:pPr>
      <w:bookmarkStart w:id="8" w:name="_Toc8"/>
      <w:r>
        <w:t>Storage performance</w:t>
      </w:r>
      <w:bookmarkEnd w:id="8"/>
    </w:p>
    <w:tbl>
      <w:tblGrid>
        <w:gridCol w:w="400" w:type="dxa"/>
        <w:gridCol w:w="2000" w:type="dxa"/>
        <w:gridCol w:w="2000" w:type="dxa"/>
        <w:gridCol w:w="2000" w:type="dxa"/>
        <w:gridCol w:w="1000" w:type="dxa"/>
        <w:gridCol w:w="600" w:type="dxa"/>
        <w:gridCol w:w="700" w:type="dxa"/>
        <w:gridCol w:w="900" w:type="dxa"/>
      </w:tblGrid>
      <w:tblPr>
        <w:tblStyle w:val="cs"/>
      </w:tblPr>
      <w:tr>
        <w:trPr>
          <w:tblHeader w:val="1"/>
        </w:trPr>
        <w:tc>
          <w:tcPr>
            <w:tcW w:w="4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#</w:t>
            </w:r>
          </w:p>
        </w:tc>
        <w:tc>
          <w:tcPr>
            <w:tcW w:w="20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Step</w:t>
            </w:r>
          </w:p>
        </w:tc>
        <w:tc>
          <w:tcPr>
            <w:tcW w:w="20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Formula</w:t>
            </w:r>
          </w:p>
        </w:tc>
        <w:tc>
          <w:tcPr>
            <w:tcW w:w="20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Substitution</w:t>
            </w:r>
          </w:p>
        </w:tc>
        <w:tc>
          <w:tcPr>
            <w:tcW w:w="10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Result</w:t>
            </w:r>
          </w:p>
        </w:tc>
        <w:tc>
          <w:tcPr>
            <w:tcW w:w="6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Rounding</w:t>
            </w:r>
          </w:p>
        </w:tc>
        <w:tc>
          <w:tcPr>
            <w:tcW w:w="7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Class</w:t>
            </w:r>
          </w:p>
        </w:tc>
        <w:tc>
          <w:tcPr>
            <w:tcW w:w="9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Refs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85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steady-state IOPS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IOPS = concurrent users x IOPS per user (with RAM cache)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5,543 x 0.825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4,572.975 IOPS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CTX-WKL-029, CTX-WKL-030, CTX-WKL-031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86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boot storm IOPS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IOPS = VMs x concurrently booting% x IOPS per booting VM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245 x 20% x 100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4,900 IOPS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87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logon storm IOPS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logons/min = sessions x logon% / window; concurrent logons = logons/min x duration / 60; IOPS = concurrent logons x IOPS per logon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5,543 x 80% / 30 min = 147.8/min; x 30 s / 60 = 73.9 x 50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3,695.333 IOPS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88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Multi-session (Virtual Apps) cluster: peak IOPS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peak = steady + max(boot storm, logon storm)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4,573 + max(4,900, 3,695)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9,472.975 IOPS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89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Multi-session (Virtual Apps) cluster: IOPS capability required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required = peak x (1 + performance headroom%)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9,473 x (1 + 30%)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12,314.868 IOPS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90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Multi-session (Virtual Apps) cluster: peak throughput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MB/s = peak IOPS x I/O size / 1024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9,473 x 16 KB / 1024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148.015 MB/s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91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Desktop pool: Pooled knowledge workers: steady-state IOPS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IOPS = concurrent users x IOPS per user (with RAM cache)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1,210 x 1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1,210 IOPS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CTX-WKL-027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92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Desktop pool: Pooled knowledge workers: boot storm IOPS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IOPS = VMs x concurrently booting% x IOPS per booting VM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1331 x 20% x 100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26,620 IOPS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93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Desktop pool: Pooled knowledge workers: logon storm IOPS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logons/min = sessions x logon% / window; concurrent logons = logons/min x duration / 60; IOPS = concurrent logons x IOPS per logon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1,210 x 80% / 30 min = 32.3/min; x 30 s / 60 = 16.1 x 50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806.667 IOPS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94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Desktop pool: Developers (persistent): steady-state IOPS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IOPS = concurrent users x IOPS per user (without RAM cache)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378 x 35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13,230 IOPS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CTX-WKL-028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95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Desktop pool: Developers (persistent): boot storm IOPS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IOPS = VMs x concurrently booting% x IOPS per booting VM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378 x 20% x 100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7,560 IOPS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96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Desktop pool: Developers (persistent): logon storm IOPS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logons/min = sessions x logon% / window; concurrent logons = logons/min x duration / 60; IOPS = concurrent logons x IOPS per logon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378 x 80% / 30 min = 10.1/min; x 30 s / 60 = 5 x 50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252 IOPS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97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Single-session (Virtual Desktops) cluster: peak IOPS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peak = steady + max(boot storm, logon storm)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14,440 + max(34,180, 1,059)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48,620 IOPS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98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Single-session (Virtual Desktops) cluster: IOPS capability required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required = peak x (1 + performance headroom%)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48,620 x (1 + 30%)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63,206 IOPS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99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Single-session (Virtual Desktops) cluster: peak throughput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MB/s = peak IOPS x I/O size / 1024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48,620 x 16 KB / 1024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759.688 MB/s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100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GPU pool: Radiology viewing: steady-state IOPS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IOPS = concurrent users x IOPS per user (without RAM cache)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76 x 35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2,660 IOPS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CTX-WKL-028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101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GPU pool: Radiology viewing: boot storm IOPS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IOPS = VMs x concurrently booting% x IOPS per booting VM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76 x 20% x 100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1,520 IOPS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102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GPU pool: Radiology viewing: logon storm IOPS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logons/min = sessions x logon% / window; concurrent logons = logons/min x duration / 60; IOPS = concurrent logons x IOPS per logon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76 x 80% / 30 min = 2/min; x 30 s / 60 = 1 x 50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50.667 IOPS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103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GPU cluster: peak IOPS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peak = steady + max(boot storm, logon storm)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2,660 + max(1,520, 51)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4,180 IOPS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104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GPU cluster: IOPS capability required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required = peak x (1 + performance headroom%)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4,180 x (1 + 30%)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5,434 IOPS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105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GPU cluster: peak throughput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MB/s = peak IOPS x I/O size / 1024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4,180 x 16 KB / 1024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65.313 MB/s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</w:tbl>
    <w:p/>
    <w:p>
      <w:pPr>
        <w:pStyle w:val="Heading1"/>
      </w:pPr>
      <w:bookmarkStart w:id="9" w:name="_Toc9"/>
      <w:r>
        <w:t>9. Network sizing</w:t>
      </w:r>
      <w:bookmarkEnd w:id="9"/>
    </w:p>
    <w:tbl>
      <w:tblGrid>
        <w:gridCol w:w="3500" w:type="dxa"/>
        <w:gridCol w:w="1100" w:type="dxa"/>
        <w:gridCol w:w="1500" w:type="dxa"/>
        <w:gridCol w:w="1500" w:type="dxa"/>
        <w:gridCol w:w="1500" w:type="dxa"/>
      </w:tblGrid>
      <w:tblPr>
        <w:tblStyle w:val="cs"/>
      </w:tblPr>
      <w:tr>
        <w:trPr>
          <w:tblHeader w:val="1"/>
        </w:trPr>
        <w:tc>
          <w:tcPr>
            <w:tcW w:w="35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Pool</w:t>
            </w:r>
          </w:p>
        </w:tc>
        <w:tc>
          <w:tcPr>
            <w:tcW w:w="11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Sessions</w:t>
            </w:r>
          </w:p>
        </w:tc>
        <w:tc>
          <w:tcPr>
            <w:tcW w:w="15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Per session</w:t>
            </w:r>
          </w:p>
        </w:tc>
        <w:tc>
          <w:tcPr>
            <w:tcW w:w="15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Peak</w:t>
            </w:r>
          </w:p>
        </w:tc>
        <w:tc>
          <w:tcPr>
            <w:tcW w:w="15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Average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sz w:val="16"/>
                <w:szCs w:val="16"/>
              </w:rPr>
              <w:t xml:space="preserve">Virtual Apps session hosts</w:t>
            </w:r>
          </w:p>
        </w:tc>
        <w:tc>
          <w:tcPr>
            <w:tcW w:w="1100" w:type="dxa"/>
            <w:noWrap/>
          </w:tcPr>
          <w:p>
            <w:pPr/>
            <w:r>
              <w:rPr>
                <w:sz w:val="16"/>
                <w:szCs w:val="16"/>
              </w:rPr>
              <w:t xml:space="preserve">5,543</w:t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6"/>
                <w:szCs w:val="16"/>
              </w:rPr>
              <w:t xml:space="preserve">218.27 kbps</w:t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6"/>
                <w:szCs w:val="16"/>
              </w:rPr>
              <w:t xml:space="preserve">1,209.9 Mbps</w:t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6"/>
                <w:szCs w:val="16"/>
              </w:rPr>
              <w:t xml:space="preserve">725.9 Mbps</w:t>
            </w:r>
          </w:p>
        </w:tc>
      </w:tr>
      <w:tr>
        <w:trPr/>
        <w:tc>
          <w:tcPr>
            <w:tcW w:w="35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Desktop pool: Pooled knowledge workers</w:t>
            </w:r>
          </w:p>
        </w:tc>
        <w:tc>
          <w:tcPr>
            <w:tcW w:w="11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1,210</w:t>
            </w:r>
          </w:p>
        </w:tc>
        <w:tc>
          <w:tcPr>
            <w:tcW w:w="15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218.27 kbps</w:t>
            </w:r>
          </w:p>
        </w:tc>
        <w:tc>
          <w:tcPr>
            <w:tcW w:w="15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264.1 Mbps</w:t>
            </w:r>
          </w:p>
        </w:tc>
        <w:tc>
          <w:tcPr>
            <w:tcW w:w="15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158.5 Mbps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sz w:val="16"/>
                <w:szCs w:val="16"/>
              </w:rPr>
              <w:t xml:space="preserve">Desktop pool: Developers (persistent)</w:t>
            </w:r>
          </w:p>
        </w:tc>
        <w:tc>
          <w:tcPr>
            <w:tcW w:w="1100" w:type="dxa"/>
            <w:noWrap/>
          </w:tcPr>
          <w:p>
            <w:pPr/>
            <w:r>
              <w:rPr>
                <w:sz w:val="16"/>
                <w:szCs w:val="16"/>
              </w:rPr>
              <w:t xml:space="preserve">378</w:t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6"/>
                <w:szCs w:val="16"/>
              </w:rPr>
              <w:t xml:space="preserve">218.27 kbps</w:t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6"/>
                <w:szCs w:val="16"/>
              </w:rPr>
              <w:t xml:space="preserve">82.5 Mbps</w:t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6"/>
                <w:szCs w:val="16"/>
              </w:rPr>
              <w:t xml:space="preserve">49.5 Mbps</w:t>
            </w:r>
          </w:p>
        </w:tc>
      </w:tr>
      <w:tr>
        <w:trPr/>
        <w:tc>
          <w:tcPr>
            <w:tcW w:w="35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GPU pool: Radiology viewing</w:t>
            </w:r>
          </w:p>
        </w:tc>
        <w:tc>
          <w:tcPr>
            <w:tcW w:w="11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76</w:t>
            </w:r>
          </w:p>
        </w:tc>
        <w:tc>
          <w:tcPr>
            <w:tcW w:w="15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5,000 kbps</w:t>
            </w:r>
          </w:p>
        </w:tc>
        <w:tc>
          <w:tcPr>
            <w:tcW w:w="15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380 Mbps</w:t>
            </w:r>
          </w:p>
        </w:tc>
        <w:tc>
          <w:tcPr>
            <w:tcW w:w="15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228 Mbps</w:t>
            </w:r>
          </w:p>
        </w:tc>
      </w:tr>
    </w:tbl>
    <w:p/>
    <w:tbl>
      <w:tblGrid>
        <w:gridCol w:w="2600" w:type="dxa"/>
        <w:gridCol w:w="1400" w:type="dxa"/>
        <w:gridCol w:w="1400" w:type="dxa"/>
        <w:gridCol w:w="1600" w:type="dxa"/>
        <w:gridCol w:w="2600" w:type="dxa"/>
      </w:tblGrid>
      <w:tblPr>
        <w:tblStyle w:val="cs"/>
      </w:tblPr>
      <w:tr>
        <w:trPr>
          <w:tblHeader w:val="1"/>
        </w:trPr>
        <w:tc>
          <w:tcPr>
            <w:tcW w:w="26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Cluster</w:t>
            </w:r>
          </w:p>
        </w:tc>
        <w:tc>
          <w:tcPr>
            <w:tcW w:w="14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North-south</w:t>
            </w:r>
          </w:p>
        </w:tc>
        <w:tc>
          <w:tcPr>
            <w:tcW w:w="14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East-west</w:t>
            </w:r>
          </w:p>
        </w:tc>
        <w:tc>
          <w:tcPr>
            <w:tcW w:w="16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Required per host</w:t>
            </w:r>
          </w:p>
        </w:tc>
        <w:tc>
          <w:tcPr>
            <w:tcW w:w="26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Ports per host</w:t>
            </w:r>
          </w:p>
        </w:tc>
      </w:tr>
      <w:tr>
        <w:trPr/>
        <w:tc>
          <w:tcPr>
            <w:tcW w:w="2600" w:type="dxa"/>
            <w:noWrap/>
          </w:tcPr>
          <w:p>
            <w:pPr/>
            <w:r>
              <w:rPr>
                <w:sz w:val="16"/>
                <w:szCs w:val="16"/>
              </w:rPr>
              <w:t xml:space="preserve">Multi-session (Virtual Apps) cluster</w:t>
            </w:r>
          </w:p>
        </w:tc>
        <w:tc>
          <w:tcPr>
            <w:tcW w:w="1400" w:type="dxa"/>
            <w:noWrap/>
          </w:tcPr>
          <w:p>
            <w:pPr/>
            <w:r>
              <w:rPr>
                <w:sz w:val="16"/>
                <w:szCs w:val="16"/>
              </w:rPr>
              <w:t xml:space="preserve">1,21 Mbps</w:t>
            </w:r>
          </w:p>
        </w:tc>
        <w:tc>
          <w:tcPr>
            <w:tcW w:w="1400" w:type="dxa"/>
            <w:noWrap/>
          </w:tcPr>
          <w:p>
            <w:pPr/>
            <w:r>
              <w:rPr>
                <w:sz w:val="16"/>
                <w:szCs w:val="16"/>
              </w:rPr>
              <w:t xml:space="preserve">40,68 Mbps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6"/>
                <w:szCs w:val="16"/>
              </w:rPr>
              <w:t xml:space="preserve">12.82 Gbps</w:t>
            </w:r>
          </w:p>
        </w:tc>
        <w:tc>
          <w:tcPr>
            <w:tcW w:w="2600" w:type="dxa"/>
            <w:noWrap/>
          </w:tcPr>
          <w:p>
            <w:pPr/>
            <w:r>
              <w:rPr>
                <w:sz w:val="16"/>
                <w:szCs w:val="16"/>
              </w:rPr>
              <w:t xml:space="preserve">2 x 25GbE</w:t>
            </w:r>
          </w:p>
        </w:tc>
      </w:tr>
      <w:tr>
        <w:trPr/>
        <w:tc>
          <w:tcPr>
            <w:tcW w:w="26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Single-session (Virtual Desktops) cluster</w:t>
            </w:r>
          </w:p>
        </w:tc>
        <w:tc>
          <w:tcPr>
            <w:tcW w:w="14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347 Mbps</w:t>
            </w:r>
          </w:p>
        </w:tc>
        <w:tc>
          <w:tcPr>
            <w:tcW w:w="14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14,26 Mbps</w:t>
            </w:r>
          </w:p>
        </w:tc>
        <w:tc>
          <w:tcPr>
            <w:tcW w:w="16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12.33 Gbps</w:t>
            </w:r>
          </w:p>
        </w:tc>
        <w:tc>
          <w:tcPr>
            <w:tcW w:w="26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 x 25GbE</w:t>
            </w:r>
          </w:p>
        </w:tc>
      </w:tr>
      <w:tr>
        <w:trPr/>
        <w:tc>
          <w:tcPr>
            <w:tcW w:w="2600" w:type="dxa"/>
            <w:noWrap/>
          </w:tcPr>
          <w:p>
            <w:pPr/>
            <w:r>
              <w:rPr>
                <w:sz w:val="16"/>
                <w:szCs w:val="16"/>
              </w:rPr>
              <w:t xml:space="preserve">GPU cluster</w:t>
            </w:r>
          </w:p>
        </w:tc>
        <w:tc>
          <w:tcPr>
            <w:tcW w:w="1400" w:type="dxa"/>
            <w:noWrap/>
          </w:tcPr>
          <w:p>
            <w:pPr/>
            <w:r>
              <w:rPr>
                <w:sz w:val="16"/>
                <w:szCs w:val="16"/>
              </w:rPr>
              <w:t xml:space="preserve">380 Mbps</w:t>
            </w:r>
          </w:p>
        </w:tc>
        <w:tc>
          <w:tcPr>
            <w:tcW w:w="1400" w:type="dxa"/>
            <w:noWrap/>
          </w:tcPr>
          <w:p>
            <w:pPr/>
            <w:r>
              <w:rPr>
                <w:sz w:val="16"/>
                <w:szCs w:val="16"/>
              </w:rPr>
              <w:t xml:space="preserve">92 Mbps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6"/>
                <w:szCs w:val="16"/>
              </w:rPr>
              <w:t xml:space="preserve">11.19 Gbps</w:t>
            </w:r>
          </w:p>
        </w:tc>
        <w:tc>
          <w:tcPr>
            <w:tcW w:w="2600" w:type="dxa"/>
            <w:noWrap/>
          </w:tcPr>
          <w:p>
            <w:pPr/>
            <w:r>
              <w:rPr>
                <w:sz w:val="16"/>
                <w:szCs w:val="16"/>
              </w:rPr>
              <w:t xml:space="preserve">2 x 25GbE</w:t>
            </w:r>
          </w:p>
        </w:tc>
      </w:tr>
    </w:tbl>
    <w:p/>
    <w:tbl>
      <w:tblGrid>
        <w:gridCol w:w="3400" w:type="dxa"/>
        <w:gridCol w:w="6000" w:type="dxa"/>
      </w:tblGrid>
      <w:tblPr>
        <w:tblStyle w:val="cs"/>
      </w:tblPr>
      <w:tr>
        <w:trPr/>
        <w:tc>
          <w:tcPr>
            <w:tcW w:w="3400" w:type="dxa"/>
            <w:shd w:val="clear" w:fill="F3F1EC"/>
            <w:noWrap/>
          </w:tcPr>
          <w:p>
            <w:pPr/>
            <w:r>
              <w:rPr>
                <w:b w:val="1"/>
                <w:bCs w:val="1"/>
              </w:rPr>
              <w:t xml:space="preserve">ToR switches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2 x (at least 44 x 25GbE + 4 x 100GbE uplinks)</w:t>
            </w:r>
          </w:p>
        </w:tc>
      </w:tr>
      <w:tr>
        <w:trPr/>
        <w:tc>
          <w:tcPr>
            <w:tcW w:w="3400" w:type="dxa"/>
            <w:shd w:val="clear" w:fill="F3F1EC"/>
            <w:noWrap/>
          </w:tcPr>
          <w:p>
            <w:pPr/>
            <w:r>
              <w:rPr>
                <w:b w:val="1"/>
                <w:bCs w:val="1"/>
              </w:rPr>
              <w:t xml:space="preserve">Fibre Channel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Not applicable</w:t>
            </w:r>
          </w:p>
        </w:tc>
      </w:tr>
      <w:tr>
        <w:trPr/>
        <w:tc>
          <w:tcPr>
            <w:tcW w:w="3400" w:type="dxa"/>
            <w:shd w:val="clear" w:fill="F3F1EC"/>
            <w:noWrap/>
          </w:tcPr>
          <w:p>
            <w:pPr/>
            <w:r>
              <w:rPr>
                <w:b w:val="1"/>
                <w:bCs w:val="1"/>
              </w:rPr>
              <w:t xml:space="preserve">Out-of-band management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46 x 1GbE ports</w:t>
            </w:r>
          </w:p>
        </w:tc>
      </w:tr>
      <w:tr>
        <w:trPr/>
        <w:tc>
          <w:tcPr>
            <w:tcW w:w="3400" w:type="dxa"/>
            <w:shd w:val="clear" w:fill="F3F1EC"/>
            <w:noWrap/>
          </w:tcPr>
          <w:p>
            <w:pPr/>
            <w:r>
              <w:rPr>
                <w:b w:val="1"/>
                <w:bCs w:val="1"/>
              </w:rPr>
              <w:t xml:space="preserve">Gateway (external) throughput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484 Mbps for 1,802 external sessions</w:t>
            </w:r>
          </w:p>
        </w:tc>
      </w:tr>
    </w:tbl>
    <w:p/>
    <w:p>
      <w:pPr>
        <w:pStyle w:val="body"/>
        <w:numPr>
          <w:ilvl w:val="0"/>
          <w:numId w:val="6"/>
        </w:numPr>
      </w:pPr>
      <w:r>
        <w:rPr/>
        <w:t xml:space="preserve">North-south: HDX/ICA between user endpoints and VDAs (through NetScaler Gateway for external users).</w:t>
      </w:r>
    </w:p>
    <w:p>
      <w:pPr>
        <w:pStyle w:val="body"/>
        <w:numPr>
          <w:ilvl w:val="0"/>
          <w:numId w:val="6"/>
        </w:numPr>
      </w:pPr>
      <w:r>
        <w:rPr/>
        <w:t xml:space="preserve">East-west: VDA to file services (profiles, user data), PVS streaming, storage replication (HCI) or IP storage (three-tier).</w:t>
      </w:r>
    </w:p>
    <w:p>
      <w:pPr>
        <w:pStyle w:val="body"/>
        <w:numPr>
          <w:ilvl w:val="0"/>
          <w:numId w:val="6"/>
        </w:numPr>
      </w:pPr>
      <w:r>
        <w:rPr/>
        <w:t xml:space="preserve">Management: hypervisor management, Citrix control plane, monitoring and backup; out-of-band BMC network.</w:t>
      </w:r>
    </w:p>
    <w:p>
      <w:pPr>
        <w:pStyle w:val="body"/>
        <w:numPr>
          <w:ilvl w:val="0"/>
          <w:numId w:val="6"/>
        </w:numPr>
      </w:pPr>
      <w:r>
        <w:rPr/>
        <w:t xml:space="preserve">Oversubscription: ToR downlink-to-uplink ratio 3:1 (configurable engineering assumption).</w:t>
      </w:r>
    </w:p>
    <w:p>
      <w:pPr>
        <w:pStyle w:val="Heading1"/>
      </w:pPr>
      <w:bookmarkStart w:id="10" w:name="_Toc10"/>
      <w:r>
        <w:t>10. Recommended hardware specifications</w:t>
      </w:r>
      <w:bookmarkEnd w:id="10"/>
    </w:p>
    <w:p>
      <w:pPr>
        <w:pStyle w:val="body"/>
      </w:pPr>
      <w:r>
        <w:rPr/>
        <w:t xml:space="preserve">Demand at the 3-year growth horizon (8% per year) with the selected resilience policy.</w:t>
      </w:r>
    </w:p>
    <w:tbl>
      <w:tblGrid>
        <w:gridCol w:w="1000" w:type="dxa"/>
        <w:gridCol w:w="2200" w:type="dxa"/>
        <w:gridCol w:w="600" w:type="dxa"/>
        <w:gridCol w:w="4200" w:type="dxa"/>
        <w:gridCol w:w="1800" w:type="dxa"/>
      </w:tblGrid>
      <w:tblPr>
        <w:tblStyle w:val="cs"/>
      </w:tblPr>
      <w:tr>
        <w:trPr>
          <w:tblHeader w:val="1"/>
        </w:trPr>
        <w:tc>
          <w:tcPr>
            <w:tcW w:w="10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Category</w:t>
            </w:r>
          </w:p>
        </w:tc>
        <w:tc>
          <w:tcPr>
            <w:tcW w:w="22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Item</w:t>
            </w:r>
          </w:p>
        </w:tc>
        <w:tc>
          <w:tcPr>
            <w:tcW w:w="6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Qty</w:t>
            </w:r>
          </w:p>
        </w:tc>
        <w:tc>
          <w:tcPr>
            <w:tcW w:w="42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Specification</w:t>
            </w:r>
          </w:p>
        </w:tc>
        <w:tc>
          <w:tcPr>
            <w:tcW w:w="18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Validation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sz w:val="16"/>
                <w:szCs w:val="16"/>
              </w:rPr>
              <w:t xml:space="preserve">Compute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16"/>
                <w:szCs w:val="16"/>
              </w:rPr>
              <w:t xml:space="preserve">Virtualization host - Multi-session (Virtual Apps) cluster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6"/>
                <w:szCs w:val="16"/>
              </w:rPr>
              <w:t xml:space="preserve">24</w:t>
            </w:r>
          </w:p>
        </w:tc>
        <w:tc>
          <w:tcPr>
            <w:tcW w:w="4200" w:type="dxa"/>
            <w:noWrap/>
          </w:tcPr>
          <w:p>
            <w:pPr/>
            <w:r>
              <w:rPr>
                <w:sz w:val="16"/>
                <w:szCs w:val="16"/>
              </w:rPr>
              <w:t xml:space="preserve">CPU: 2 x CPU, at least 32 physical cores each (64 cores per host), 2.8 GHz or faster; x86-64 with hardware virtualization, SMT/Hyper-Threading enabled</w:t>
            </w:r>
          </w:p>
          <w:p>
            <w:pPr/>
            <w:r>
              <w:rPr>
                <w:sz w:val="16"/>
                <w:szCs w:val="16"/>
              </w:rPr>
              <w:t xml:space="preserve">Memory: 512 GB (16 x 32 GB RDIMM, 1 DIMM per channel, all channels populated)</w:t>
            </w:r>
          </w:p>
          <w:p>
            <w:pPr/>
            <w:r>
              <w:rPr>
                <w:sz w:val="16"/>
                <w:szCs w:val="16"/>
              </w:rPr>
              <w:t xml:space="preserve">Boot: Mirrored boot device (2 x M.2 SSD) sized per the hypervisor vendor's boot requirements</w:t>
            </w:r>
          </w:p>
          <w:p>
            <w:pPr/>
            <w:r>
              <w:rPr>
                <w:sz w:val="16"/>
                <w:szCs w:val="16"/>
              </w:rPr>
              <w:t xml:space="preserve">Data drives: 2 x 3.84 TB NVME (7.68 TB raw per node)</w:t>
            </w:r>
          </w:p>
          <w:p>
            <w:pPr/>
            <w:r>
              <w:rPr>
                <w:sz w:val="16"/>
                <w:szCs w:val="16"/>
              </w:rPr>
              <w:t xml:space="preserve">Network: 2 x 25GbE data ports across at least two adapters</w:t>
            </w:r>
          </w:p>
          <w:p>
            <w:pPr/>
            <w:r>
              <w:rPr>
                <w:sz w:val="16"/>
                <w:szCs w:val="16"/>
              </w:rPr>
              <w:t xml:space="preserve">Management: Out-of-band management controller (dedicated 1GbE port)</w:t>
            </w:r>
          </w:p>
          <w:p>
            <w:pPr/>
            <w:r>
              <w:rPr>
                <w:sz w:val="16"/>
                <w:szCs w:val="16"/>
              </w:rPr>
              <w:t xml:space="preserve">Power: Redundant hot-plug power supplies (rating from vendor configurator)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16"/>
                <w:szCs w:val="16"/>
              </w:rPr>
              <w:t xml:space="preserve">CPU SKU, DIMM population, drive qualification and GPU support must be validated in the vendor configurator and the platform hardware compatibility list.</w:t>
            </w:r>
          </w:p>
        </w:tc>
      </w:tr>
      <w:tr>
        <w:trPr/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Compute</w:t>
            </w:r>
          </w:p>
        </w:tc>
        <w:tc>
          <w:tcPr>
            <w:tcW w:w="2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Virtualization host - Single-session (Virtual Desktops) cluster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12</w:t>
            </w:r>
          </w:p>
        </w:tc>
        <w:tc>
          <w:tcPr>
            <w:tcW w:w="4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CPU: 2 x CPU, at least 32 physical cores each (64 cores per host), 2.8 GHz or faster; x86-64 with hardware virtualization, SMT/Hyper-Threading enabled</w:t>
            </w:r>
          </w:p>
          <w:p>
            <w:pPr/>
            <w:r>
              <w:rPr>
                <w:sz w:val="16"/>
                <w:szCs w:val="16"/>
              </w:rPr>
              <w:t xml:space="preserve">Memory: 2,048 GB (16 x 128 GB RDIMM, 1 DIMM per channel, all channels populated)</w:t>
            </w:r>
          </w:p>
          <w:p>
            <w:pPr/>
            <w:r>
              <w:rPr>
                <w:sz w:val="16"/>
                <w:szCs w:val="16"/>
              </w:rPr>
              <w:t xml:space="preserve">Boot: Mirrored boot device (2 x M.2 SSD) sized per the hypervisor vendor's boot requirements</w:t>
            </w:r>
          </w:p>
          <w:p>
            <w:pPr/>
            <w:r>
              <w:rPr>
                <w:sz w:val="16"/>
                <w:szCs w:val="16"/>
              </w:rPr>
              <w:t xml:space="preserve">Data drives: 7 x 3.84 TB NVME (26.88 TB raw per node)</w:t>
            </w:r>
          </w:p>
          <w:p>
            <w:pPr/>
            <w:r>
              <w:rPr>
                <w:sz w:val="16"/>
                <w:szCs w:val="16"/>
              </w:rPr>
              <w:t xml:space="preserve">Network: 2 x 25GbE data ports across at least two adapters</w:t>
            </w:r>
          </w:p>
          <w:p>
            <w:pPr/>
            <w:r>
              <w:rPr>
                <w:sz w:val="16"/>
                <w:szCs w:val="16"/>
              </w:rPr>
              <w:t xml:space="preserve">Management: Out-of-band management controller (dedicated 1GbE port)</w:t>
            </w:r>
          </w:p>
          <w:p>
            <w:pPr/>
            <w:r>
              <w:rPr>
                <w:sz w:val="16"/>
                <w:szCs w:val="16"/>
              </w:rPr>
              <w:t xml:space="preserve">Power: Redundant hot-plug power supplies (rating from vendor configurator)</w:t>
            </w:r>
          </w:p>
        </w:tc>
        <w:tc>
          <w:tcPr>
            <w:tcW w:w="18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CPU SKU, DIMM population, drive qualification and GPU support must be validated in the vendor configurator and the platform hardware compatibility list.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sz w:val="16"/>
                <w:szCs w:val="16"/>
              </w:rPr>
              <w:t xml:space="preserve">Compute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16"/>
                <w:szCs w:val="16"/>
              </w:rPr>
              <w:t xml:space="preserve">Virtualization host - GPU cluster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6"/>
                <w:szCs w:val="16"/>
              </w:rPr>
              <w:t xml:space="preserve">8</w:t>
            </w:r>
          </w:p>
        </w:tc>
        <w:tc>
          <w:tcPr>
            <w:tcW w:w="4200" w:type="dxa"/>
            <w:noWrap/>
          </w:tcPr>
          <w:p>
            <w:pPr/>
            <w:r>
              <w:rPr>
                <w:sz w:val="16"/>
                <w:szCs w:val="16"/>
              </w:rPr>
              <w:t xml:space="preserve">CPU: 2 x CPU, at least 32 physical cores each (64 cores per host), 2.8 GHz or faster; x86-64 with hardware virtualization, SMT/Hyper-Threading enabled</w:t>
            </w:r>
          </w:p>
          <w:p>
            <w:pPr/>
            <w:r>
              <w:rPr>
                <w:sz w:val="16"/>
                <w:szCs w:val="16"/>
              </w:rPr>
              <w:t xml:space="preserve">Memory: 512 GB (16 x 32 GB RDIMM, 1 DIMM per channel, all channels populated)</w:t>
            </w:r>
          </w:p>
          <w:p>
            <w:pPr/>
            <w:r>
              <w:rPr>
                <w:sz w:val="16"/>
                <w:szCs w:val="16"/>
              </w:rPr>
              <w:t xml:space="preserve">Boot: Mirrored boot device (2 x M.2 SSD) sized per the hypervisor vendor's boot requirements</w:t>
            </w:r>
          </w:p>
          <w:p>
            <w:pPr/>
            <w:r>
              <w:rPr>
                <w:sz w:val="16"/>
                <w:szCs w:val="16"/>
              </w:rPr>
              <w:t xml:space="preserve">Data drives: 2 x 3.84 TB NVME (7.68 TB raw per node)</w:t>
            </w:r>
          </w:p>
          <w:p>
            <w:pPr/>
            <w:r>
              <w:rPr>
                <w:sz w:val="16"/>
                <w:szCs w:val="16"/>
              </w:rPr>
              <w:t xml:space="preserve">Network: 2 x 25GbE data ports across at least two adapters</w:t>
            </w:r>
          </w:p>
          <w:p>
            <w:pPr/>
            <w:r>
              <w:rPr>
                <w:sz w:val="16"/>
                <w:szCs w:val="16"/>
              </w:rPr>
              <w:t xml:space="preserve">GPU: Up to 2 GPU boards per host (13 boards in total) - model per GPU pool definition</w:t>
            </w:r>
          </w:p>
          <w:p>
            <w:pPr/>
            <w:r>
              <w:rPr>
                <w:sz w:val="16"/>
                <w:szCs w:val="16"/>
              </w:rPr>
              <w:t xml:space="preserve">Management: Out-of-band management controller (dedicated 1GbE port)</w:t>
            </w:r>
          </w:p>
          <w:p>
            <w:pPr/>
            <w:r>
              <w:rPr>
                <w:sz w:val="16"/>
                <w:szCs w:val="16"/>
              </w:rPr>
              <w:t xml:space="preserve">Power: Redundant hot-plug power supplies (rating from vendor configurator)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16"/>
                <w:szCs w:val="16"/>
              </w:rPr>
              <w:t xml:space="preserve">CPU SKU, DIMM population, drive qualification and GPU support must be validated in the vendor configurator and the platform hardware compatibility list.</w:t>
            </w:r>
          </w:p>
        </w:tc>
      </w:tr>
      <w:tr>
        <w:trPr/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Network</w:t>
            </w:r>
          </w:p>
        </w:tc>
        <w:tc>
          <w:tcPr>
            <w:tcW w:w="2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Top-of-rack Ethernet switch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4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Downlinks: At least 44 x 25GbE</w:t>
            </w:r>
          </w:p>
          <w:p>
            <w:pPr/>
            <w:r>
              <w:rPr>
                <w:sz w:val="16"/>
                <w:szCs w:val="16"/>
              </w:rPr>
              <w:t xml:space="preserve">Uplinks: 4 x 100GbE (3:1 oversubscription target)</w:t>
            </w:r>
          </w:p>
          <w:p>
            <w:pPr/>
            <w:r>
              <w:rPr>
                <w:sz w:val="16"/>
                <w:szCs w:val="16"/>
              </w:rPr>
              <w:t xml:space="preserve">Inter-switch: 2 ports for MLAG/vPC peer link</w:t>
            </w:r>
          </w:p>
        </w:tc>
        <w:tc>
          <w:tcPr>
            <w:tcW w:w="18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Confirm port count headroom and optics compatibility with the network vendor.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sz w:val="16"/>
                <w:szCs w:val="16"/>
              </w:rPr>
              <w:t xml:space="preserve">Network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16"/>
                <w:szCs w:val="16"/>
              </w:rPr>
              <w:t xml:space="preserve">Out-of-band management switch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4200" w:type="dxa"/>
            <w:noWrap/>
          </w:tcPr>
          <w:p>
            <w:pPr/>
            <w:r>
              <w:rPr>
                <w:sz w:val="16"/>
                <w:szCs w:val="16"/>
              </w:rPr>
              <w:t xml:space="preserve">Ports: At least 46 x 1GbE copper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Cabling</w:t>
            </w:r>
          </w:p>
        </w:tc>
        <w:tc>
          <w:tcPr>
            <w:tcW w:w="2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25GbE host-to-ToR links (DAC/AOC or SR optics + fibre)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88</w:t>
            </w:r>
          </w:p>
        </w:tc>
        <w:tc>
          <w:tcPr>
            <w:tcW w:w="4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Note: Choose DAC/AOC for in-rack runs, optics for longer runs; validate with the switch/NIC vendor compatibility lists.</w:t>
            </w:r>
          </w:p>
        </w:tc>
        <w:tc>
          <w:tcPr>
            <w:tcW w:w="18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sz w:val="16"/>
                <w:szCs w:val="16"/>
              </w:rPr>
              <w:t xml:space="preserve">Cabling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16"/>
                <w:szCs w:val="16"/>
              </w:rPr>
              <w:t xml:space="preserve">100GbE ToR uplink optics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6"/>
                <w:szCs w:val="16"/>
              </w:rPr>
              <w:t xml:space="preserve">16</w:t>
            </w:r>
          </w:p>
        </w:tc>
        <w:tc>
          <w:tcPr>
            <w:tcW w:w="4200" w:type="dxa"/>
            <w:noWrap/>
          </w:tcPr>
          <w:p>
            <w:pPr/>
            <w:r>
              <w:rPr>
                <w:sz w:val="16"/>
                <w:szCs w:val="16"/>
              </w:rPr>
              <w:t xml:space="preserve">Note: Two ends per uplink across both ToR switches.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Cabling</w:t>
            </w:r>
          </w:p>
        </w:tc>
        <w:tc>
          <w:tcPr>
            <w:tcW w:w="2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ToR inter-switch link cables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4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Note: DAC typically.</w:t>
            </w:r>
          </w:p>
        </w:tc>
        <w:tc>
          <w:tcPr>
            <w:tcW w:w="18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sz w:val="16"/>
                <w:szCs w:val="16"/>
              </w:rPr>
              <w:t xml:space="preserve">Cabling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16"/>
                <w:szCs w:val="16"/>
              </w:rPr>
              <w:t xml:space="preserve">1GbE copper (Cat6) for out-of-band management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6"/>
                <w:szCs w:val="16"/>
              </w:rPr>
              <w:t xml:space="preserve">46</w:t>
            </w:r>
          </w:p>
        </w:tc>
        <w:tc>
          <w:tcPr>
            <w:tcW w:w="4200" w:type="dxa"/>
            <w:noWrap/>
          </w:tcPr>
          <w:p>
            <w:pPr/>
            <w:r>
              <w:rPr>
                <w:sz w:val="16"/>
                <w:szCs w:val="16"/>
              </w:rPr>
              <w:t xml:space="preserve">Note: BMC/iDRAC/iLO/XCC/CIMC and device management ports.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Software</w:t>
            </w:r>
          </w:p>
        </w:tc>
        <w:tc>
          <w:tcPr>
            <w:tcW w:w="2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Hypervisor / platform software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44 hosts (2816 cores)</w:t>
            </w:r>
          </w:p>
        </w:tc>
        <w:tc>
          <w:tcPr>
            <w:tcW w:w="4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Note: Nutanix AOS with AHV - licensing metric per vendor (per core/socket/node).</w:t>
            </w:r>
          </w:p>
        </w:tc>
        <w:tc>
          <w:tcPr>
            <w:tcW w:w="18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Licensing must be confirmed with each vendor.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sz w:val="16"/>
                <w:szCs w:val="16"/>
              </w:rPr>
              <w:t xml:space="preserve">Software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16"/>
                <w:szCs w:val="16"/>
              </w:rPr>
              <w:t xml:space="preserve">Citrix licensing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6"/>
                <w:szCs w:val="16"/>
              </w:rPr>
              <w:t xml:space="preserve">9,525 users</w:t>
            </w:r>
          </w:p>
        </w:tc>
        <w:tc>
          <w:tcPr>
            <w:tcW w:w="4200" w:type="dxa"/>
            <w:noWrap/>
          </w:tcPr>
          <w:p>
            <w:pPr/>
            <w:r>
              <w:rPr>
                <w:sz w:val="16"/>
                <w:szCs w:val="16"/>
              </w:rPr>
              <w:t xml:space="preserve">Note: Edition and licence model (user/device/concurrent) per customer agreement.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16"/>
                <w:szCs w:val="16"/>
              </w:rPr>
              <w:t xml:space="preserve">Licensing must be confirmed with each vendor.</w:t>
            </w:r>
          </w:p>
        </w:tc>
      </w:tr>
      <w:tr>
        <w:trPr/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Software</w:t>
            </w:r>
          </w:p>
        </w:tc>
        <w:tc>
          <w:tcPr>
            <w:tcW w:w="2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Windows Server for multi-session VDAs + RDS CALs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245 VMs</w:t>
            </w:r>
          </w:p>
        </w:tc>
        <w:tc>
          <w:tcPr>
            <w:tcW w:w="4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Note: Microsoft licensing rules apply - validate with Microsoft licensing.</w:t>
            </w:r>
          </w:p>
        </w:tc>
        <w:tc>
          <w:tcPr>
            <w:tcW w:w="18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Licensing must be confirmed with each vendor.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sz w:val="16"/>
                <w:szCs w:val="16"/>
              </w:rPr>
              <w:t xml:space="preserve">Software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16"/>
                <w:szCs w:val="16"/>
              </w:rPr>
              <w:t xml:space="preserve">Windows Server for infrastructure VMs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6"/>
                <w:szCs w:val="16"/>
              </w:rPr>
              <w:t xml:space="preserve">20 VMs</w:t>
            </w:r>
          </w:p>
        </w:tc>
        <w:tc>
          <w:tcPr>
            <w:tcW w:w="4200" w:type="dxa"/>
            <w:noWrap/>
          </w:tcPr>
          <w:p>
            <w:pPr/>
            <w:r>
              <w:rPr>
                <w:sz w:val="16"/>
                <w:szCs w:val="16"/>
              </w:rPr>
              <w:t xml:space="preserve">Note: Plus SQL Server licensing for the Citrix databases.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16"/>
                <w:szCs w:val="16"/>
              </w:rPr>
              <w:t xml:space="preserve">Licensing must be confirmed with each vendor.</w:t>
            </w:r>
          </w:p>
        </w:tc>
      </w:tr>
    </w:tbl>
    <w:p/>
    <w:p>
      <w:pPr>
        <w:pStyle w:val="Heading2"/>
      </w:pPr>
      <w:bookmarkStart w:id="11" w:name="_Toc11"/>
      <w:r>
        <w:t>Minimum compliant specification</w:t>
      </w:r>
      <w:bookmarkEnd w:id="11"/>
    </w:p>
    <w:p>
      <w:pPr>
        <w:pStyle w:val="body"/>
      </w:pPr>
      <w:r>
        <w:rPr/>
        <w:t xml:space="preserve">Day-1 demand with the selected resilience policy (N+1), no growth.</w:t>
      </w:r>
    </w:p>
    <w:tbl>
      <w:tblGrid>
        <w:gridCol w:w="1000" w:type="dxa"/>
        <w:gridCol w:w="2200" w:type="dxa"/>
        <w:gridCol w:w="600" w:type="dxa"/>
        <w:gridCol w:w="4200" w:type="dxa"/>
        <w:gridCol w:w="1800" w:type="dxa"/>
      </w:tblGrid>
      <w:tblPr>
        <w:tblStyle w:val="cs"/>
      </w:tblPr>
      <w:tr>
        <w:trPr>
          <w:tblHeader w:val="1"/>
        </w:trPr>
        <w:tc>
          <w:tcPr>
            <w:tcW w:w="10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Category</w:t>
            </w:r>
          </w:p>
        </w:tc>
        <w:tc>
          <w:tcPr>
            <w:tcW w:w="22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Item</w:t>
            </w:r>
          </w:p>
        </w:tc>
        <w:tc>
          <w:tcPr>
            <w:tcW w:w="6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Qty</w:t>
            </w:r>
          </w:p>
        </w:tc>
        <w:tc>
          <w:tcPr>
            <w:tcW w:w="42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Specification</w:t>
            </w:r>
          </w:p>
        </w:tc>
        <w:tc>
          <w:tcPr>
            <w:tcW w:w="18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Validation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sz w:val="16"/>
                <w:szCs w:val="16"/>
              </w:rPr>
              <w:t xml:space="preserve">Compute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16"/>
                <w:szCs w:val="16"/>
              </w:rPr>
              <w:t xml:space="preserve">Virtualization host - Multi-session (Virtual Apps) cluster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6"/>
                <w:szCs w:val="16"/>
              </w:rPr>
              <w:t xml:space="preserve">20</w:t>
            </w:r>
          </w:p>
        </w:tc>
        <w:tc>
          <w:tcPr>
            <w:tcW w:w="4200" w:type="dxa"/>
            <w:noWrap/>
          </w:tcPr>
          <w:p>
            <w:pPr/>
            <w:r>
              <w:rPr>
                <w:sz w:val="16"/>
                <w:szCs w:val="16"/>
              </w:rPr>
              <w:t xml:space="preserve">CPU: 2 x CPU, at least 32 physical cores each (64 cores per host), 2.8 GHz or faster; x86-64 with hardware virtualization, SMT/Hyper-Threading enabled</w:t>
            </w:r>
          </w:p>
          <w:p>
            <w:pPr/>
            <w:r>
              <w:rPr>
                <w:sz w:val="16"/>
                <w:szCs w:val="16"/>
              </w:rPr>
              <w:t xml:space="preserve">Memory: 512 GB (16 x 32 GB RDIMM, 1 DIMM per channel, all channels populated)</w:t>
            </w:r>
          </w:p>
          <w:p>
            <w:pPr/>
            <w:r>
              <w:rPr>
                <w:sz w:val="16"/>
                <w:szCs w:val="16"/>
              </w:rPr>
              <w:t xml:space="preserve">Boot: Mirrored boot device (2 x M.2 SSD) sized per the hypervisor vendor's boot requirements</w:t>
            </w:r>
          </w:p>
          <w:p>
            <w:pPr/>
            <w:r>
              <w:rPr>
                <w:sz w:val="16"/>
                <w:szCs w:val="16"/>
              </w:rPr>
              <w:t xml:space="preserve">Data drives: 2 x 3.84 TB NVME (7.68 TB raw per node)</w:t>
            </w:r>
          </w:p>
          <w:p>
            <w:pPr/>
            <w:r>
              <w:rPr>
                <w:sz w:val="16"/>
                <w:szCs w:val="16"/>
              </w:rPr>
              <w:t xml:space="preserve">Network: 2 x 25GbE data ports across at least two adapters</w:t>
            </w:r>
          </w:p>
          <w:p>
            <w:pPr/>
            <w:r>
              <w:rPr>
                <w:sz w:val="16"/>
                <w:szCs w:val="16"/>
              </w:rPr>
              <w:t xml:space="preserve">Management: Out-of-band management controller (dedicated 1GbE port)</w:t>
            </w:r>
          </w:p>
          <w:p>
            <w:pPr/>
            <w:r>
              <w:rPr>
                <w:sz w:val="16"/>
                <w:szCs w:val="16"/>
              </w:rPr>
              <w:t xml:space="preserve">Power: Redundant hot-plug power supplies (rating from vendor configurator)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16"/>
                <w:szCs w:val="16"/>
              </w:rPr>
              <w:t xml:space="preserve">CPU SKU, DIMM population, drive qualification and GPU support must be validated in the vendor configurator and the platform hardware compatibility list.</w:t>
            </w:r>
          </w:p>
        </w:tc>
      </w:tr>
      <w:tr>
        <w:trPr/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Compute</w:t>
            </w:r>
          </w:p>
        </w:tc>
        <w:tc>
          <w:tcPr>
            <w:tcW w:w="2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Virtualization host - Single-session (Virtual Desktops) cluster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10</w:t>
            </w:r>
          </w:p>
        </w:tc>
        <w:tc>
          <w:tcPr>
            <w:tcW w:w="4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CPU: 2 x CPU, at least 32 physical cores each (64 cores per host), 2.8 GHz or faster; x86-64 with hardware virtualization, SMT/Hyper-Threading enabled</w:t>
            </w:r>
          </w:p>
          <w:p>
            <w:pPr/>
            <w:r>
              <w:rPr>
                <w:sz w:val="16"/>
                <w:szCs w:val="16"/>
              </w:rPr>
              <w:t xml:space="preserve">Memory: 2,048 GB (16 x 128 GB RDIMM, 1 DIMM per channel, all channels populated)</w:t>
            </w:r>
          </w:p>
          <w:p>
            <w:pPr/>
            <w:r>
              <w:rPr>
                <w:sz w:val="16"/>
                <w:szCs w:val="16"/>
              </w:rPr>
              <w:t xml:space="preserve">Boot: Mirrored boot device (2 x M.2 SSD) sized per the hypervisor vendor's boot requirements</w:t>
            </w:r>
          </w:p>
          <w:p>
            <w:pPr/>
            <w:r>
              <w:rPr>
                <w:sz w:val="16"/>
                <w:szCs w:val="16"/>
              </w:rPr>
              <w:t xml:space="preserve">Data drives: 7 x 3.84 TB NVME (26.88 TB raw per node)</w:t>
            </w:r>
          </w:p>
          <w:p>
            <w:pPr/>
            <w:r>
              <w:rPr>
                <w:sz w:val="16"/>
                <w:szCs w:val="16"/>
              </w:rPr>
              <w:t xml:space="preserve">Network: 2 x 25GbE data ports across at least two adapters</w:t>
            </w:r>
          </w:p>
          <w:p>
            <w:pPr/>
            <w:r>
              <w:rPr>
                <w:sz w:val="16"/>
                <w:szCs w:val="16"/>
              </w:rPr>
              <w:t xml:space="preserve">Management: Out-of-band management controller (dedicated 1GbE port)</w:t>
            </w:r>
          </w:p>
          <w:p>
            <w:pPr/>
            <w:r>
              <w:rPr>
                <w:sz w:val="16"/>
                <w:szCs w:val="16"/>
              </w:rPr>
              <w:t xml:space="preserve">Power: Redundant hot-plug power supplies (rating from vendor configurator)</w:t>
            </w:r>
          </w:p>
        </w:tc>
        <w:tc>
          <w:tcPr>
            <w:tcW w:w="18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CPU SKU, DIMM population, drive qualification and GPU support must be validated in the vendor configurator and the platform hardware compatibility list.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sz w:val="16"/>
                <w:szCs w:val="16"/>
              </w:rPr>
              <w:t xml:space="preserve">Compute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16"/>
                <w:szCs w:val="16"/>
              </w:rPr>
              <w:t xml:space="preserve">Virtualization host - GPU cluster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6"/>
                <w:szCs w:val="16"/>
              </w:rPr>
              <w:t xml:space="preserve">6</w:t>
            </w:r>
          </w:p>
        </w:tc>
        <w:tc>
          <w:tcPr>
            <w:tcW w:w="4200" w:type="dxa"/>
            <w:noWrap/>
          </w:tcPr>
          <w:p>
            <w:pPr/>
            <w:r>
              <w:rPr>
                <w:sz w:val="16"/>
                <w:szCs w:val="16"/>
              </w:rPr>
              <w:t xml:space="preserve">CPU: 2 x CPU, at least 32 physical cores each (64 cores per host), 2.8 GHz or faster; x86-64 with hardware virtualization, SMT/Hyper-Threading enabled</w:t>
            </w:r>
          </w:p>
          <w:p>
            <w:pPr/>
            <w:r>
              <w:rPr>
                <w:sz w:val="16"/>
                <w:szCs w:val="16"/>
              </w:rPr>
              <w:t xml:space="preserve">Memory: 512 GB (16 x 32 GB RDIMM, 1 DIMM per channel, all channels populated)</w:t>
            </w:r>
          </w:p>
          <w:p>
            <w:pPr/>
            <w:r>
              <w:rPr>
                <w:sz w:val="16"/>
                <w:szCs w:val="16"/>
              </w:rPr>
              <w:t xml:space="preserve">Boot: Mirrored boot device (2 x M.2 SSD) sized per the hypervisor vendor's boot requirements</w:t>
            </w:r>
          </w:p>
          <w:p>
            <w:pPr/>
            <w:r>
              <w:rPr>
                <w:sz w:val="16"/>
                <w:szCs w:val="16"/>
              </w:rPr>
              <w:t xml:space="preserve">Data drives: 2 x 3.84 TB NVME (7.68 TB raw per node)</w:t>
            </w:r>
          </w:p>
          <w:p>
            <w:pPr/>
            <w:r>
              <w:rPr>
                <w:sz w:val="16"/>
                <w:szCs w:val="16"/>
              </w:rPr>
              <w:t xml:space="preserve">Network: 2 x 25GbE data ports across at least two adapters</w:t>
            </w:r>
          </w:p>
          <w:p>
            <w:pPr/>
            <w:r>
              <w:rPr>
                <w:sz w:val="16"/>
                <w:szCs w:val="16"/>
              </w:rPr>
              <w:t xml:space="preserve">GPU: Up to 2 GPU boards per host (10 boards in total) - model per GPU pool definition</w:t>
            </w:r>
          </w:p>
          <w:p>
            <w:pPr/>
            <w:r>
              <w:rPr>
                <w:sz w:val="16"/>
                <w:szCs w:val="16"/>
              </w:rPr>
              <w:t xml:space="preserve">Management: Out-of-band management controller (dedicated 1GbE port)</w:t>
            </w:r>
          </w:p>
          <w:p>
            <w:pPr/>
            <w:r>
              <w:rPr>
                <w:sz w:val="16"/>
                <w:szCs w:val="16"/>
              </w:rPr>
              <w:t xml:space="preserve">Power: Redundant hot-plug power supplies (rating from vendor configurator)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16"/>
                <w:szCs w:val="16"/>
              </w:rPr>
              <w:t xml:space="preserve">CPU SKU, DIMM population, drive qualification and GPU support must be validated in the vendor configurator and the platform hardware compatibility list.</w:t>
            </w:r>
          </w:p>
        </w:tc>
      </w:tr>
    </w:tbl>
    <w:p/>
    <w:p>
      <w:pPr>
        <w:pStyle w:val="body"/>
      </w:pPr>
      <w:r>
        <w:rPr/>
        <w:t xml:space="preserve">Rack space: 91 RU (4 rack(s)). Typical power: 40.65 kW. Typical power from customer-provided per-device figures; use vendor power calculators for final values.</w:t>
      </w:r>
    </w:p>
    <w:p>
      <w:pPr>
        <w:pStyle w:val="Heading1"/>
      </w:pPr>
      <w:bookmarkStart w:id="12" w:name="_Toc12"/>
      <w:r>
        <w:t>11. Logical architecture</w:t>
      </w:r>
      <w:bookmarkEnd w:id="12"/>
    </w:p>
    <w:p>
      <w:pPr>
        <w:jc w:val="center"/>
      </w:pPr>
      <w:r>
        <w:pict>
          <v:shape type="#_x0000_t75" stroked="f" style="width:470pt; height:515.23012552301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/>
      <w:r>
        <w:rPr>
          <w:rStyle w:val="small"/>
        </w:rPr>
        <w:t xml:space="preserve">Logical architecture (generated from the saved design). Editable Mermaid source is available in the application.</w:t>
      </w:r>
    </w:p>
    <w:p>
      <w:pPr>
        <w:pStyle w:val="Heading1"/>
      </w:pPr>
      <w:bookmarkStart w:id="13" w:name="_Toc13"/>
      <w:r>
        <w:t>12. Physical connectivity diagram</w:t>
      </w:r>
      <w:bookmarkEnd w:id="13"/>
    </w:p>
    <w:p>
      <w:pPr>
        <w:jc w:val="center"/>
      </w:pPr>
      <w:r>
        <w:pict>
          <v:shape type="#_x0000_t75" stroked="f" style="width:470pt; height:234.01673640167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/>
      <w:r>
        <w:rPr>
          <w:rStyle w:val="small"/>
        </w:rPr>
        <w:t xml:space="preserve">Physical connectivity (generated from the saved design). Editable Mermaid source is available in the application.</w:t>
      </w:r>
    </w:p>
    <w:p>
      <w:pPr>
        <w:pStyle w:val="Heading1"/>
      </w:pPr>
      <w:bookmarkStart w:id="14" w:name="_Toc14"/>
      <w:r>
        <w:t>13. Firewall port matrix</w:t>
      </w:r>
      <w:bookmarkEnd w:id="14"/>
    </w:p>
    <w:p>
      <w:pPr>
        <w:pStyle w:val="body"/>
      </w:pPr>
      <w:r>
        <w:rPr/>
        <w:t xml:space="preserve">Flows documented in the knowledge base that apply to this design (179 rules: 60 mandatory, 119 conditional; 0 approved). The full matrix with sources is in the Excel workbook.</w:t>
      </w:r>
    </w:p>
    <w:tbl>
      <w:tblGrid>
        <w:gridCol w:w="1700" w:type="dxa"/>
        <w:gridCol w:w="1700" w:type="dxa"/>
        <w:gridCol w:w="600" w:type="dxa"/>
        <w:gridCol w:w="900" w:type="dxa"/>
        <w:gridCol w:w="900" w:type="dxa"/>
        <w:gridCol w:w="3000" w:type="dxa"/>
        <w:gridCol w:w="900" w:type="dxa"/>
      </w:tblGrid>
      <w:tblPr>
        <w:tblStyle w:val="cs"/>
      </w:tblPr>
      <w:tr>
        <w:trPr>
          <w:tblHeader w:val="1"/>
        </w:trPr>
        <w:tc>
          <w:tcPr>
            <w:tcW w:w="17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Source</w:t>
            </w:r>
          </w:p>
        </w:tc>
        <w:tc>
          <w:tcPr>
            <w:tcW w:w="17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Destination</w:t>
            </w:r>
          </w:p>
        </w:tc>
        <w:tc>
          <w:tcPr>
            <w:tcW w:w="6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Proto</w:t>
            </w:r>
          </w:p>
        </w:tc>
        <w:tc>
          <w:tcPr>
            <w:tcW w:w="9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Port</w:t>
            </w:r>
          </w:p>
        </w:tc>
        <w:tc>
          <w:tcPr>
            <w:tcW w:w="9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Req.</w:t>
            </w:r>
          </w:p>
        </w:tc>
        <w:tc>
          <w:tcPr>
            <w:tcW w:w="30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Purpose</w:t>
            </w:r>
          </w:p>
        </w:tc>
        <w:tc>
          <w:tcPr>
            <w:tcW w:w="9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Rule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Delivery Agent (Windows)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Delivery Controller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80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VDA registration and ongoing VDA-to-Controller communication (WCF with Kerberos message-level security).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CTX-PORT-001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Delivery Agent (Windows, MCS-provisioned)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Delivery Controller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443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VDA-to-Controller communication over WebSocket/TLS as an alternative to WCF on port 80.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CTX-PORT-002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Delivery Agent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Delivery Controller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80, 445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Communication used by the VDA WorkstationAgent.exe process with the Controller (TCP 445 listed only here).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CTX-PORT-003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Delivery Controller (Broker Service)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Delivery Agent (broker agent)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Broker Service talks to the broker agent on the VDA (session/user tracking, real-time data).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CTX-PORT-004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Delivery Controller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Delivery Controller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80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Controller-to-Controller communication within a site.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CTX-PORT-005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Delivery Controller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Delivery Controller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89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Local Host Cache traffic between Controllers.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CTX-PORT-006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Delivery Controller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Delivery Controller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443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Orchestration service communication between Controllers.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CTX-PORT-007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Delivery Controller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Microsoft SQL Server (Site, Monitoring, Configuration Logging databases)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1433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Controller access to the site databases on SQL Server.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CTX-PORT-008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Citrix components connecting to SQL Server (not named on page)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Microsoft SQL Server Browser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UDP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1434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SQL Server Browser discovery of named instances.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CTX-PORT-009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Delivery Controller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Active Directory domain controller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88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Kerberos authentication.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CTX-PORT-010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Delivery Controller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Active Directory domain controller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389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LDAP queries to Active Directory.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CTX-PORT-011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Delivery Controller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Nutanix AHV (Prism)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9440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Hosting connection to Nutanix AHV.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CTX-PORT-015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Director server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Delivery Controller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80, 443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Director queries Controllers (Broker/Monitor services) for monitoring data.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CTX-PORT-016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Citrix Director and admin workstation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Delivery Agent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135, 3389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Windows Remote Assistance for Director user shadowing.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CTX-PORT-017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Admin workstation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Delivery Agent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TCP/UDP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49152-65535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Dynamic high ports for Remote Assistance sessions initiated from a Windows machine.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CTX-PORT-018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Admin workstation (browser)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Director server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80, 443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Administrators/help desk access the Director web console.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CTX-PORT-019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Admin workstation (locally installed Studio or PowerShell SDK)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Delivery Controller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80, 443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Direct Controller access from a locally installed Studio console or the SDK.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CTX-PORT-020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Admin workstation (browser)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Web Studio server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443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HTTPS access to the Web Studio management console.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CTX-PORT-021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Delivery Agent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Active Directory domain controller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88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Kerberos authentication.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CTX-PORT-022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Delivery Agent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Active Directory domain controller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389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LDAP queries to Active Directory.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CTX-PORT-023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HdxVideo.js (in user session browser)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Delivery Agent (WebSocketService.exe, loopback)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9001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Local secure WebSocket service for HTML5 video redirection and Browser Content Redirection of HTTPS sites.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CTX-PORT-024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Delivery Agent (inferred UPS client)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Universal Print Server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7229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Universal Print Server print data stream (CGP) listener on the print server.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CTX-PORT-025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Delivery Agent (inferred UPS client)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Universal Print Server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8080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Universal Print Server web service (HTTP/SOAP) listener.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CTX-PORT-026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Delivery Agent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Universal Print Server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UDP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7229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Universal Print Server print data stream (CGP) as listed by Tech Zone.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CTX-PORT-027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Citrix Workspace app (internal client)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Delivery Agent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2598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ICA/HDX over CGP with session reliability (default HDX listener when session reliability is allowed).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CTX-PORT-030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Citrix Workspace app (internal client)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Delivery Agent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1494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ICA/HDX listener on the VDA.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CTX-PORT-031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Citrix Workspace app (client network)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Delivery Agent (VDA network)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UDP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2598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EDT (UDP) HDX transport with session reliability enabled.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CTX-PORT-032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Citrix Workspace app (client network)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Delivery Agent (VDA network)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UDP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1494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EDT (UDP) HDX transport with session reliability disabled.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CTX-PORT-033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Citrix Workspace app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Delivery Agent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443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ICA/HDX over TLS to the VDA's TLS listener.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CTX-PORT-034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Citrix Workspace app (user device)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Delivery Agent (Windows)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UDP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16500-16509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Audio over UDP Real-time Transport (RTP) between VDA and user device.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CTX-PORT-043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Citrix Workspace app for HTML5 (browser)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Delivery Agent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8008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ICA/HDX over WebSockets for browser-based clients.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CTX-PORT-044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Any Citrix component (e.g. Delivery Controller, PVS, WEM)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Citrix License Server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27000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Initial contact for license requests (License Server Manager).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CTX-PORT-045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Any Citrix component (e.g. Delivery Controller, PVS, WEM)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Citrix License Server (Citrix vendor daemon)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7279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License check-in/check-out via the Citrix vendor daemon.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CTX-PORT-046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Director server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Citrix License Server (Web Services for Licensing)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8083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Director queries the License Server via Web Services for Licensing.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CTX-PORT-047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Studio (Web Studio / Delivery Controller services)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Citrix License Server (Web Services for Licensing)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8083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Studio/Controller license management via Web Services for Licensing (HTTPS).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CTX-PORT-048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Admin workstation (browser)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Citrix License Server (Citrix Licensing Manager)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8083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Administrators use the Citrix Licensing Manager web console.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CTX-PORT-049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Delivery Controller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Citrix License Server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8082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Web-based License Administration Console (lmadmin) as listed by Tech Zone.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CTX-PORT-050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Admin workstation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Citrix License Server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8082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Web-based License Administration Console (lmadmin) access as listed by Tech Zone.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CTX-PORT-051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Admin workstation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Citrix License Server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80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Licensing Config PowerShell snap-in service.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CTX-PORT-052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Citrix License Server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https://cis.citrix.com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443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Automated license telemetry/usage reporting (HTTPS).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CTX-PORT-053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Citrix License Server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Citrix Cloud License Activation Service endpoints (las.cloud.com, *.citrixworkspacesapi.net, trust.citrixnetworkapi.net, cis.citrix.com, etc.)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443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Online license activation and registration with Citrix Cloud via License Activation Service.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CTX-PORT-054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Citrix License Server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Certificate OCSP/CRL hosts (ocsp.digicert.com, crl3/crl4.digicert.com, ocsp.entrust.net, crl.entrust.net)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Certificate revocation checks when the License Server is registered with Citrix Cloud.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CTX-PORT-055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Citrix License Server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Citrix Cloud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443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License Server integration with Citrix Cloud (HTTPS).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CTX-PORT-056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Citrix Workspace app / web browser (or load balancer/gateway in front)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StoreFront server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443, 80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Clients access StoreFront stores over HTTPS (443) or HTTP (80).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CTX-PORT-057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StoreFront server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StoreFront server (same server group)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808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Subscription synchronization within a server group.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CTX-PORT-058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StoreFront server group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StoreFront server group (other site)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808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Subscription replication between StoreFront server groups (pull on schedule).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CTX-PORT-059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StoreFront server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StoreFront server (same server group)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dynamic (random unreserved port)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Communications between StoreFront servers in a server group.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CTX-PORT-060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NetScaler load balancer (StoreFront monitor)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StoreFront server (Citrix Service monitor)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8000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Load balancer health monitor probes the StoreFront Citrix Service monitor.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CTX-PORT-061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NetScaler load balancer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StoreFront server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443, 80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Load balancer service connections to StoreFront servers (SSL 443, else HTTP 80).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CTX-PORT-062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StoreFront server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Delivery Controller (Citrix XML Service)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80, 443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Store resource enumeration and launch requests to the XML Service (HTTP 80 / HTTPS 443).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CTX-PORT-063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StoreFront server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Active Directory domain controller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TCP/UDP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389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LDAP lookups of user-friendly names and email addresses.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CTX-PORT-064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StoreFront server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Active Directory domain controller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636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LDAP over SSL.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CTX-PORT-065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StoreFront server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Active Directory domain controller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TCP/UDP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88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Kerberos authentication.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CTX-PORT-066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StoreFront server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Active Directory domain controller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TCP/UDP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464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Kerberos password change for expired passwords.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CTX-PORT-067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StoreFront server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NetScaler Gateway (callback URL)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443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StoreFront calls back to the Gateway authentication service to validate Gateway requests.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CTX-PORT-068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Citrix Workspace app / web browser (Internet)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NetScaler Gateway virtual server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443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User SSL/TLS connections to the Gateway (ICA proxy, authentication, portal).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CTX-PORT-069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Web browser (Internet)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NetScaler Gateway virtual server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80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Unencrypted connections redirected by the Gateway to the secure port.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CTX-PORT-070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Citrix Workspace app (Internet)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NetScaler Gateway virtual server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UDP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443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DTLS connections to the Gateway for EDT (and UDP audio through Gateway).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CTX-PORT-071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NetScaler Gateway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StoreFront server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80, 443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Gateway forwards authenticated users / ICA proxy requests to StoreFront (HTTP 80 or HTTPS 443).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CTX-PORT-072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StoreFront server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Secure Ticket Authority (Delivery Controller)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80, 443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StoreFront requests STA tickets for Gateway-proxied launches.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CTX-PORT-074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NetScaler Gateway (SNIP)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Delivery Agent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2598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ICA proxy to VDA with session reliability (CGP).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CTX-PORT-075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NetScaler Gateway (SNIP)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Delivery Agent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1494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ICA proxy to VDA without session reliability.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CTX-PORT-076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NetScaler Gateway (SNIP)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Delivery Agent (VDA network)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UDP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2598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EDT (UDP) from Gateway to VDA.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CTX-PORT-077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NetScaler Gateway (SNIP)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Delivery Agent (VDA network)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UDP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443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EDT over DTLS from Gateway to a TLS-enabled VDA.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CTX-PORT-078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NetScaler Gateway (SNIP)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Delivery Agent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443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ICA/HDX over TLS from Gateway to a TLS-enabled VDA.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CTX-PORT-079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NetScaler Gateway (SNIP)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Delivery Agent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UDP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16500-16509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UDP audio (RTP) from Gateway to VDA.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CTX-PORT-080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NetScaler Gateway (SNIP)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LDAP server / domain controller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389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LDAP authentication/authorization.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CTX-PORT-081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NetScaler Gateway (SNIP)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LDAP server / domain controller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636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LDAP over SSL authentication.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CTX-PORT-082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NetScaler Gateway (SNIP)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LDAP server (Global Catalog)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3268, 3269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LDAP to Global Catalog (3268) and Global Catalog over SSL (3269).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CTX-PORT-083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NetScaler Gateway (SNIP)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RADIUS server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UDP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1812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RADIUS authentication (e.g. MFA).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CTX-PORT-084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NetScaler Gateway (SNIP)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RADIUS server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UDP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1813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RADIUS accounting.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CTX-PORT-085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NetScaler Gateway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DNS server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TCP/UDP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53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DNS name resolution (e.g. STA/StoreFront/VDA FQDNs).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CTX-PORT-086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NetScaler Gateway (first DMZ)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NetScaler Gateway (second DMZ)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443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SOCKS over SSL between Gateway appliances in a double-hop DMZ.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CTX-PORT-087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Admin workstation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NetScaler NSIP (management)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80, 443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NetScaler GUI administration.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CTX-PORT-088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Admin workstation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NetScaler NSIP (management)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SSH administration.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CTX-PORT-089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NetScaler NSIP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NetScaler appliance (HA peer)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UDP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3003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HA heartbeat (hello packets).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CTX-PORT-090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NetScaler NSIP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NetScaler appliance (HA peer)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3008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Secure HA configuration synchronization.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CTX-PORT-091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NetScaler NSIP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NetScaler appliance (HA peer)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3010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Non-secure HA configuration synchronization.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CTX-PORT-092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NetScaler NSIP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NetScaler appliance (HA peer)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rsync file synchronization in HA.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CTX-PORT-093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NetScaler NSIP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NTP server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UDP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123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Time synchronization.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CTX-PORT-094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NetScaler SNIP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NetScaler Console (ADM)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5557, 5558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Logstream analytics (incl. HDX Insight) to NetScaler Console.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CTX-PORT-095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NetScaler Gateway Plug-in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VPN/CVAD (as stated)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UDP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3108, 3168, 3188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VPN tunnel carrying secure ICA connections (as listed).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CTX-PORT-096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NetScaler Gateway Plug-in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VPN/CVAD (as stated)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TCP/UDP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3148, 3149, 3159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VPN tunnel carrying secure ICA connections (as listed).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CTX-PORT-097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WEM infrastructure service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WEM agent host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49752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Agent port: agent host listens for instructions from the infrastructure service.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CTX-PORT-122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WEM administration console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WEM infrastructure service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8284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Administration port for the console.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CTX-PORT-123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WEM agent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WEM infrastructure service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8286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Agent service port.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CTX-PORT-124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WEM agent cache synchronization process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WEM infrastructure service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8288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Cached data synchronization port (WEM 1912 and later).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CTX-PORT-125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WEM infrastructure service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Citrix License Server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27000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License validation (License Server port).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CTX-PORT-126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WEM infrastructure service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Citrix License Server (vendor daemon)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7279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License validation via vendor daemon.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CTX-PORT-127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WEM monitoring service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WEM infrastructure service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8287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WEM monitoring port.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CTX-PORT-128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WEM infrastructure service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Microsoft SQL Server (WEM database)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1433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WEM database access (default SQL port when none specified).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CTX-PORT-129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Admin workstation (browser)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WEM web console service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443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Browser access to the WEM web console.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CTX-PORT-130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WEM web console service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WEM infrastructure service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8284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Web console connects to the infrastructure service administration port.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CTX-PORT-131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WEM infrastructure service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Active Directory domain controller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TCP/UDP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389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LDAP communication with root domain controllers.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CTX-PORT-132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WEM infrastructure service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Active Directory domain controller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88, 139, 445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Communication with the AD forest.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CTX-PORT-133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WEM agent (on-premises)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Citrix WEM service (Citrix Cloud)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443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WEM service agent connects to the WEM service over HTTPS.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CTX-PORT-135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StoreFront server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FAS server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80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StoreFront asserts user identity to FAS (SOAP over HTTP, mutual Kerberos, message-level encryption).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CTX-PORT-137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Delivery Agent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FAS server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VDA requests the user certificate from FAS at session logon (SOAP over HTTP, mutual Kerberos).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CTX-PORT-138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FAS server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Microsoft Certificate Authority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135 (+ dynamic RPC port)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DCOM certificate requests to the Microsoft CA (135 to initiate, then a runtime-selected port unless a static DCOM port is configured).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CTX-PORT-139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FAS server (service and admin console)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Citrix Cloud (*.cloud.com, *.citrixworkspacesapi.net, *.citrixnetworkapi.net)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443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FAS connection to Citrix Cloud over HTTPS.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CTX-PORT-140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Client device (Workspace app, Teams optimization)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Microsoft Teams Transport Relay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UDP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3478-3481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Optimized Teams media via Microsoft Transport Relay (client-side).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CTX-PORT-192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Client device (Workspace app, Teams optimization)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Microsoft Teams Transport Relay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443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Teams traffic fallback over TCP.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CTX-PORT-193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WSFC cluster node (SQL Server)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WSFC cluster node (SQL Server)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UDP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3343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Cluster service heartbeat/communication (DTLS-protected)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EXT-PORT-023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WSFC cluster node (SQL Server)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WSFC cluster node (SQL Server)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3343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Cluster service traffic required during node join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EXT-PORT-024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WSFC cluster node (SQL Server)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WSFC cluster node (SQL Server)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135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RPC endpoint mapper for cluster management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EXT-PORT-025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WSFC cluster node (SQL Server)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WSFC cluster node (SQL Server)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49152-65535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Randomly allocated high RPC ports used by the cluster service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EXT-PORT-026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WSFC cluster node (SQL Server)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WSFC cluster node (SQL Server)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445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SMB used for Add Node and cluster validation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EXT-PORT-027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SQL client (Citrix Delivery Controllers / other database consumers)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SQL Server Database Engine (default instance)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1433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Database Engine connections to a default instance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EXT-PORT-028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SQL client (Citrix Delivery Controllers / other database consumers)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SQL Server Browser service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UDP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1434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SQL Server Browser returns the TCP port of a named instance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EXT-PORT-029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SQL client (Citrix Delivery Controllers / other database consumers)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SQL Server Database Engine (named instance)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administrator-configured (fixed port recommended)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Database Engine connections to a named instance on its fixed port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EXT-PORT-030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SQL Server availability replica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SQL Server availability replica (database mirroring endpoint)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5022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Always On availability group / database mirroring endpoint traffic between replicas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EXT-PORT-031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SQL client (Citrix Delivery Controllers / other database consumers)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SQL Server availability group listener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1433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Client connections to the AG listener (routes to current primary / read-only replicas)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EXT-PORT-032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Administrator / management workstation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Prism Element (CVM / cluster virtual IP)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9440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Prism Element web console and REST APIs on the Controller VM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EXT-PORT-093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Administrator / management workstation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Prism Central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TCP/UDP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9440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Prism Central console and APIs over HTTPS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EXT-PORT-094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Prism Central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Prism Element (all CVMs and cluster virtual IP)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TCP/UDP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9440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Prism Central to registered Prism Element clusters (management and APIs)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EXT-PORT-095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Citrix MCS AHV plug-in host (Delivery Controller / Cloud Connector)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Prism Element or Prism Central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9440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Citrix hosting connection (Nutanix AHV plug-in) calling Prism REST APIs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EXT-PORT-096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Administrator / management workstation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Controller VM (CVM)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SSH logon to Controller VM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EXT-PORT-097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Administrator / management workstation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AHV host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22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SSH logon to AHV host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EXT-PORT-098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Prism Element / Prism Central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VMware vCenter Server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443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Prism communication with vCenter (ESXi-based Nutanix clusters)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EXT-PORT-108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AHV host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AHV host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49152-49215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AHV live migration data stream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EXT-PORT-109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AHV host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AHV host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16514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Libvirt TLS live migration control stream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EXT-PORT-110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Domain member (Citrix infrastructure servers and VDAs)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Active Directory domain controller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TCP/UDP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88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Kerberos authentication (ticket requests) to the KDC on domain controllers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EXT-PORT-002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Domain member (Citrix infrastructure servers and VDAs)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Active Directory domain controller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135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RPC Endpoint Mapper used to locate dynamically assigned RPC service ports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EXT-PORT-004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Domain member (Citrix infrastructure servers and VDAs)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Active Directory domain controller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49152-65535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Dynamic RPC for LSA, SAM and NetLogon (secure channel, domain join, authentication)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EXT-PORT-005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Domain member (Citrix infrastructure servers and VDAs)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Active Directory domain controller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TCP/UDP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389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LDAP directory queries and (UDP) DC locator pings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EXT-PORT-006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Domain member (Citrix infrastructure servers and VDAs)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Active Directory domain controller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636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LDAP over SSL/TLS (LDAPS)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EXT-PORT-007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Domain member (Citrix infrastructure servers and VDAs)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Active Directory domain controller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3268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Global Catalog LDAP queries (forest-wide searches)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EXT-PORT-008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Domain member (Citrix infrastructure servers and VDAs)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Active Directory domain controller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3269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Global Catalog over SSL/TLS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EXT-PORT-009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Domain member (Citrix infrastructure servers and VDAs)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Active Directory domain controller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TCP/UDP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464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Kerberos password change (kpasswd), including machine account password changes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EXT-PORT-010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Domain member (Citrix infrastructure servers and VDAs)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Active Directory domain controller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445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SMB to domain controllers (Net Logon over named pipes, SYSVOL/NETLOGON shares for Group Policy and logon scripts)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EXT-PORT-011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Administrative workstation / server using AD PowerShell or Active Directory Administrative Center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Active Directory domain controller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9389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Active Directory Web Services (ADWS) used by AD PowerShell module and ADAC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EXT-PORT-012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Prism Element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Active Directory / LDAP server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389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LDAP directory authentication for Prism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EXT-PORT-101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Prism Element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Active Directory / LDAP server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636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LDAPS directory authentication for Prism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EXT-PORT-102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Prism Element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Active Directory (Global Catalog)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3268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Global Catalog LDAP for multi-domain forests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EXT-PORT-103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Prism Element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Active Directory (Global Catalog)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3269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Global Catalog LDAPS for multi-domain forests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EXT-PORT-104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Mobile devices (Internet)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XenMobile Server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443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Device enrollment connections to XenMobile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MDM-PORT-001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Devices / Citrix Gateway / Internet / XenMobile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XenMobile Server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8443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Enrollment, XenMobile Store and MAM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MDM-PORT-002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Internet / LAN / Wi-Fi devices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XenMobile Server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443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Android and Windows enrollment and agent setup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MDM-PORT-003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Administrator browser / XenMobile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XenMobile Server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4443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Admin console access, log and support bundle downloads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MDM-PORT-004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XenMobile Server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Microsoft SQL Server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1433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Connection to remote SQL Server database (default port)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MDM-PORT-005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XenMobile Server node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XenMobile Server node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45000, 80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Inter-node communication in a cluster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MDM-PORT-006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XenMobile Server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Apple APNs (*.push.apple.com, 17.0.0.0/8)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443 or 2197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Send APNs notifications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MDM-PORT-007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iOS devices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Apple APNs (17.0.0.0/8)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5223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APNs outbound connections from iOS devices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MDM-PORT-008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XenMobile Server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Citrix License Server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27000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Access external Citrix License Server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MDM-PORT-009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XenMobile Server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Citrix Vendor Daemon (License Server)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7279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License check-in/check-out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MDM-PORT-010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XenMobile Server / Citrix Gateway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LDAP / Active Directory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636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Secure LDAP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MDM-PORT-011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XenMobile Server / Citrix Gateway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LDAP / Active Directory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389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Insecure LDAP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MDM-PORT-012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XenMobile Server / Citrix Gateway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Global Catalog (AD)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3268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Global Catalog insecure LDAP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MDM-PORT-013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XenMobile Server / Citrix Gateway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Global Catalog (AD)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3269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Global Catalog secure LDAP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MDM-PORT-014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XenMobile Server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Syslog server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514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Syslog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MDM-PORT-015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XenMobile Server / Citrix Gateway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DNS server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53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DNS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MDM-PORT-016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XenMobile Server / Citrix Gateway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DNS server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UDP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53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DNS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MDM-PORT-017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XenMobile Server / Citrix Gateway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NTP server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UDP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123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NTP time sync (required for clustering)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MDM-PORT-018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SNMP Manager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XenMobile Server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UDP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161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SNMP polling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MDM-PORT-019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XenMobile Server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SNMP Manager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UDP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162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SNMP trap alerts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MDM-PORT-020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Internal LAN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XenMobile Server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30001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Management API for initial HTTPS staging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MDM-PORT-021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XenMobile Server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SMTP server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25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Notification service SMTP (configurable)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MDM-PORT-022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MDM Remote Support Client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XenMobile Server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8081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App tunnels from optional MDM Remote Support Client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MDM-PORT-023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Citrix ADC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Citrix Gateway connector for Exchange ActiveSync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9080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HTTP between ADC and Exchange ActiveSync connector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MDM-PORT-024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Citrix ADC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Citrix Gateway connector for Exchange ActiveSync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9443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HTTPS between ADC and Exchange ActiveSync connector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MDM-PORT-025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Secure Hub (devices)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discovery.cem.cloud.us (AutoDiscovery Service)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443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AutoDiscovery Service lookup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MDM-PORT-026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Internet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Citrix Gateway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443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XenMobile web/mobile app delivery and StoreFront via Gateway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MDM-PORT-027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SNMP management station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Windows server running SNMP Service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UDP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161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SNMP polling of Windows SNMP Service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EXT-PORT-021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Windows server running SNMP Service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SNMP trap receiver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UDP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162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Outgoing SNMP traps to the management system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EXT-PORT-022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Controller VM (Prism Element data service)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Remote syslog server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TCP/UDP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514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Cluster log forwarding to syslog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EXT-PORT-105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SNMP management system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Controller VM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TCP/UDP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161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SNMP requests to the cluster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EXT-PORT-106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Controller VM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SNMP trap receiver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TCP/UDP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162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SNMP traps from the cluster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EXT-PORT-107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Domain member (Citrix infrastructure servers and VDAs)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Active Directory domain controller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TCP/UDP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53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DNS name resolution and DC location against AD-integrated DNS on domain controllers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EXT-PORT-001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Domain member (Citrix infrastructure servers and VDAs)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Active Directory domain controller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UDP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123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Windows Time (W32Time/NTP) synchronisation with the domain time hierarchy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EXT-PORT-003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DHCP client (VDAs / Windows machines using DHCP)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Windows Server DHCP server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UDP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67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DHCP address allocation (client requests to DHCP Server service)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EXT-PORT-013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Windows Server DHCP server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DHCP client (VDAs / Windows machines using DHCP)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UDP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68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DHCP responses delivered to the client-side DHCP port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EXT-PORT-014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Windows Server DHCP server (failover partner)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Windows Server DHCP server (failover partner)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647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DHCP failover replication between partner servers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EXT-PORT-015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KMS client (Windows VDAs / servers with GVLK)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KMS host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1688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Volume activation and renewal against the KMS host (anonymous RPC)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EXT-PORT-016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Controller VM (Prism Element data service)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DNS server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TCP/UDP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53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DNS resolution for cluster services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EXT-PORT-099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Controller VM (Prism Element data service)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NTP server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UDP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123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Mandatory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Cluster time synchronisation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EXT-PORT-100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Management workstation / automation server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Windows server (Citrix infrastructure, VDA, Hyper-V host)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5985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WinRM / PowerShell remoting over HTTP (WS-Management)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EXT-PORT-017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Management workstation / automation server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Windows server (Citrix infrastructure, VDA, Hyper-V host)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5986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WinRM / PowerShell remoting over HTTPS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EXT-PORT-018</w:t>
            </w:r>
          </w:p>
        </w:tc>
      </w:tr>
      <w:tr>
        <w:trPr/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Management workstation (administrators)</w:t>
            </w:r>
          </w:p>
        </w:tc>
        <w:tc>
          <w:tcPr>
            <w:tcW w:w="1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Windows server (management access)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TCP/UDP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3389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Remote Desktop administrative access to Windows servers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EXT-PORT-019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Domain member (Citrix infrastructure servers and VDAs)</w:t>
            </w:r>
          </w:p>
        </w:tc>
        <w:tc>
          <w:tcPr>
            <w:tcW w:w="1700" w:type="dxa"/>
            <w:noWrap/>
          </w:tcPr>
          <w:p>
            <w:pPr/>
            <w:r>
              <w:rPr>
                <w:sz w:val="14"/>
                <w:szCs w:val="14"/>
              </w:rPr>
              <w:t xml:space="preserve">Windows file server (user profiles, home drives, shares)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TCP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445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Conditional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4"/>
                <w:szCs w:val="14"/>
              </w:rPr>
              <w:t xml:space="preserve">SMB file sharing (Server service) for profile and data shares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EXT-PORT-020</w:t>
            </w:r>
          </w:p>
        </w:tc>
      </w:tr>
    </w:tbl>
    <w:p/>
    <w:p>
      <w:pPr>
        <w:pStyle w:val="body"/>
        <w:numPr>
          <w:ilvl w:val="0"/>
          <w:numId w:val="6"/>
        </w:numPr>
      </w:pPr>
      <w:r>
        <w:rPr>
          <w:rStyle w:val="small"/>
        </w:rPr>
        <w:t xml:space="preserve">Only flows documented in the knowledge base are listed. Verify every rule against the deployed product versions and enabled features before implementation.</w:t>
      </w:r>
    </w:p>
    <w:p>
      <w:pPr>
        <w:pStyle w:val="body"/>
        <w:numPr>
          <w:ilvl w:val="0"/>
          <w:numId w:val="6"/>
        </w:numPr>
      </w:pPr>
      <w:r>
        <w:rPr>
          <w:rStyle w:val="small"/>
        </w:rPr>
        <w:t xml:space="preserve">Ports marked "conditional" apply only when the stated condition is true for this design.</w:t>
      </w:r>
    </w:p>
    <w:p>
      <w:pPr>
        <w:pStyle w:val="body"/>
        <w:numPr>
          <w:ilvl w:val="0"/>
          <w:numId w:val="6"/>
        </w:numPr>
      </w:pPr>
      <w:r>
        <w:rPr>
          <w:rStyle w:val="small"/>
        </w:rPr>
        <w:t xml:space="preserve">No server vendor selected: out-of-band management (BMC) ports are not listed. Select a vendor profile to include them.</w:t>
      </w:r>
    </w:p>
    <w:p>
      <w:pPr>
        <w:pStyle w:val="body"/>
        <w:numPr>
          <w:ilvl w:val="0"/>
          <w:numId w:val="6"/>
        </w:numPr>
      </w:pPr>
      <w:r>
        <w:rPr>
          <w:rStyle w:val="small"/>
        </w:rPr>
        <w:t xml:space="preserve">Backup product ports are vendor-specific and not included; add them from the backup vendor's documentation.</w:t>
      </w:r>
    </w:p>
    <w:p>
      <w:pPr>
        <w:pStyle w:val="Heading2"/>
      </w:pPr>
      <w:bookmarkStart w:id="15" w:name="_Toc15"/>
      <w:r>
        <w:t>Network zones and traffic flow</w:t>
      </w:r>
      <w:bookmarkEnd w:id="15"/>
    </w:p>
    <w:p>
      <w:pPr>
        <w:jc w:val="center"/>
      </w:pPr>
      <w:r>
        <w:pict>
          <v:shape type="#_x0000_t75" stroked="f" style="width:470pt; height:234.01673640167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/>
      <w:r>
        <w:rPr>
          <w:rStyle w:val="small"/>
        </w:rPr>
        <w:t xml:space="preserve">Network zones and traffic flow (generated from the saved design). Editable Mermaid source is available in the application.</w:t>
      </w:r>
    </w:p>
    <w:p>
      <w:pPr>
        <w:pStyle w:val="Heading1"/>
      </w:pPr>
      <w:bookmarkStart w:id="16" w:name="_Toc16"/>
      <w:r>
        <w:t>14. High availability and failure scenarios</w:t>
      </w:r>
      <w:bookmarkEnd w:id="16"/>
    </w:p>
    <w:p>
      <w:pPr>
        <w:pStyle w:val="body"/>
        <w:numPr>
          <w:ilvl w:val="0"/>
          <w:numId w:val="6"/>
        </w:numPr>
      </w:pPr>
      <w:r>
        <w:rPr/>
        <w:t xml:space="preserve">Multi-session (Virtual Apps) cluster: 24 hosts sized for N+1. Normal utilization CPU 75.8%, memory 62.5%; after 1 host failure(s) CPU 82.7%, memory 68.2% (ceilings 85% / 90%). Host count driven by CPU.</w:t>
      </w:r>
    </w:p>
    <w:p>
      <w:pPr>
        <w:pStyle w:val="body"/>
        <w:numPr>
          <w:ilvl w:val="0"/>
          <w:numId w:val="6"/>
        </w:numPr>
      </w:pPr>
      <w:r>
        <w:rPr/>
        <w:t xml:space="preserve">Single-session (Virtual Desktops) cluster: 12 hosts sized for N+1. Normal utilization CPU 76.3%, memory 70.7%; after 1 host failure(s) CPU 83.2%, memory 77.1% (ceilings 85% / 90%). Host count driven by CPU.</w:t>
      </w:r>
    </w:p>
    <w:p>
      <w:pPr>
        <w:pStyle w:val="body"/>
        <w:numPr>
          <w:ilvl w:val="0"/>
          <w:numId w:val="6"/>
        </w:numPr>
      </w:pPr>
      <w:r>
        <w:rPr/>
        <w:t xml:space="preserve">GPU cluster: 8 hosts sized for N+1. Normal utilization CPU 66.7%, memory 64.4%; after 1 host failure(s) CPU 76.2%, memory 73.6% (ceilings 85% / 90%). Host count driven by CPU.</w:t>
      </w:r>
    </w:p>
    <w:p>
      <w:pPr>
        <w:pStyle w:val="body"/>
        <w:numPr>
          <w:ilvl w:val="0"/>
          <w:numId w:val="6"/>
        </w:numPr>
      </w:pPr>
      <w:r>
        <w:rPr/>
        <w:t xml:space="preserve">Delivery Controllers are deployed N+1 on different hosts (2 instances).</w:t>
      </w:r>
    </w:p>
    <w:p>
      <w:pPr>
        <w:pStyle w:val="body"/>
        <w:numPr>
          <w:ilvl w:val="0"/>
          <w:numId w:val="6"/>
        </w:numPr>
      </w:pPr>
      <w:r>
        <w:rPr/>
        <w:t xml:space="preserve">StoreFront runs as a load-balanced server group (2 instances).</w:t>
      </w:r>
    </w:p>
    <w:p>
      <w:pPr>
        <w:pStyle w:val="body"/>
        <w:numPr>
          <w:ilvl w:val="0"/>
          <w:numId w:val="6"/>
        </w:numPr>
      </w:pPr>
      <w:r>
        <w:rPr/>
        <w:t xml:space="preserve">Citrix databases use the selected SQL Server high-availability option (2 instances).</w:t>
      </w:r>
    </w:p>
    <w:p>
      <w:pPr>
        <w:pStyle w:val="body"/>
        <w:numPr>
          <w:ilvl w:val="0"/>
          <w:numId w:val="6"/>
        </w:numPr>
      </w:pPr>
      <w:r>
        <w:rPr/>
        <w:t xml:space="preserve">NetScaler Gateway is deployed as an HA pair (2 instances).</w:t>
      </w:r>
    </w:p>
    <w:p>
      <w:pPr>
        <w:pStyle w:val="body"/>
        <w:numPr>
          <w:ilvl w:val="0"/>
          <w:numId w:val="6"/>
        </w:numPr>
      </w:pPr>
      <w:r>
        <w:rPr/>
        <w:t xml:space="preserve">Disaster recovery (active-passive): approximately 22 hosts at the recovery site for 50% capacity. Proportional estimate of DR-site hosts; design DR networking, data replication and Citrix site/zone failover separately.</w:t>
      </w:r>
    </w:p>
    <w:tbl>
      <w:tblGrid>
        <w:gridCol w:w="2400" w:type="dxa"/>
        <w:gridCol w:w="900" w:type="dxa"/>
        <w:gridCol w:w="1500" w:type="dxa"/>
        <w:gridCol w:w="1500" w:type="dxa"/>
        <w:gridCol w:w="1500" w:type="dxa"/>
        <w:gridCol w:w="1500" w:type="dxa"/>
      </w:tblGrid>
      <w:tblPr>
        <w:tblStyle w:val="cs"/>
      </w:tblPr>
      <w:tr>
        <w:trPr>
          <w:tblHeader w:val="1"/>
        </w:trPr>
        <w:tc>
          <w:tcPr>
            <w:tcW w:w="24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Scenario</w:t>
            </w:r>
          </w:p>
        </w:tc>
        <w:tc>
          <w:tcPr>
            <w:tcW w:w="9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Hosts</w:t>
            </w:r>
          </w:p>
        </w:tc>
        <w:tc>
          <w:tcPr>
            <w:tcW w:w="15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Cores required</w:t>
            </w:r>
          </w:p>
        </w:tc>
        <w:tc>
          <w:tcPr>
            <w:tcW w:w="15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RAM required GB</w:t>
            </w:r>
          </w:p>
        </w:tc>
        <w:tc>
          <w:tcPr>
            <w:tcW w:w="15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Raw storage</w:t>
            </w:r>
          </w:p>
        </w:tc>
        <w:tc>
          <w:tcPr>
            <w:tcW w:w="15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Max CPU after failure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sz w:val="16"/>
                <w:szCs w:val="16"/>
              </w:rPr>
              <w:t xml:space="preserve">Conservative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55</w:t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6"/>
                <w:szCs w:val="16"/>
              </w:rPr>
              <w:t xml:space="preserve">1,863</w:t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6"/>
                <w:szCs w:val="16"/>
              </w:rPr>
              <w:t xml:space="preserve">26,541</w:t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6"/>
                <w:szCs w:val="16"/>
              </w:rPr>
              <w:t xml:space="preserve">389.02 TB</w:t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6"/>
                <w:szCs w:val="16"/>
              </w:rPr>
              <w:t xml:space="preserve">70.4%</w:t>
            </w:r>
          </w:p>
        </w:tc>
      </w:tr>
      <w:tr>
        <w:trPr/>
        <w:tc>
          <w:tcPr>
            <w:tcW w:w="24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Balanced (primary)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44</w:t>
            </w:r>
          </w:p>
        </w:tc>
        <w:tc>
          <w:tcPr>
            <w:tcW w:w="15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1,863</w:t>
            </w:r>
          </w:p>
        </w:tc>
        <w:tc>
          <w:tcPr>
            <w:tcW w:w="15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26,541</w:t>
            </w:r>
          </w:p>
        </w:tc>
        <w:tc>
          <w:tcPr>
            <w:tcW w:w="15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340.39 TB</w:t>
            </w:r>
          </w:p>
        </w:tc>
        <w:tc>
          <w:tcPr>
            <w:tcW w:w="15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83.2%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sz w:val="16"/>
                <w:szCs w:val="16"/>
              </w:rPr>
              <w:t xml:space="preserve">Performance-oriented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65</w:t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6"/>
                <w:szCs w:val="16"/>
              </w:rPr>
              <w:t xml:space="preserve">2,345</w:t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6"/>
                <w:szCs w:val="16"/>
              </w:rPr>
              <w:t xml:space="preserve">32,3</w:t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6"/>
                <w:szCs w:val="16"/>
              </w:rPr>
              <w:t xml:space="preserve">351.22 TB</w:t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6"/>
                <w:szCs w:val="16"/>
              </w:rPr>
              <w:t xml:space="preserve">71.5%</w:t>
            </w:r>
          </w:p>
        </w:tc>
      </w:tr>
    </w:tbl>
    <w:p/>
    <w:p>
      <w:pPr>
        <w:pStyle w:val="body"/>
      </w:pPr>
      <w:r>
        <w:rPr/>
        <w:t xml:space="preserve">Growth headroom: Day 1 requires 36 hosts; the growth horizon requires 44 hosts (8 to add). Raw storage grows from 272.07 TB to 340.39 TB.</w:t>
      </w:r>
    </w:p>
    <w:p>
      <w:pPr>
        <w:pStyle w:val="Heading1"/>
      </w:pPr>
      <w:bookmarkStart w:id="17" w:name="_Toc17"/>
      <w:r>
        <w:t>15. Risks, dependencies and limitations</w:t>
      </w:r>
      <w:bookmarkEnd w:id="17"/>
    </w:p>
    <w:p>
      <w:pPr>
        <w:pStyle w:val="body"/>
        <w:numPr>
          <w:ilvl w:val="0"/>
          <w:numId w:val="6"/>
        </w:numPr>
      </w:pPr>
      <w:r>
        <w:rPr/>
        <w:t xml:space="preserve">[Warning] Multi-session (Virtual Apps) cluster: the host count exceeds the platform maximum of 16 hosts per cluster; split into 2 clusters of 12 hosts (each with N+1).</w:t>
      </w:r>
    </w:p>
    <w:p>
      <w:pPr>
        <w:pStyle w:val="body"/>
        <w:numPr>
          <w:ilvl w:val="0"/>
          <w:numId w:val="6"/>
        </w:numPr>
      </w:pPr>
      <w:r>
        <w:rPr/>
        <w:t xml:space="preserve">[Warning] GPU pool: Radiology viewing: GPU sizing cannot be derived from user counts alone. Validate the vGPU profile, board, driver/licensing and hypervisor compatibility with the GPU vendor's sizing guidance and a proof of concept.</w:t>
      </w:r>
    </w:p>
    <w:p>
      <w:pPr>
        <w:pStyle w:val="body"/>
        <w:numPr>
          <w:ilvl w:val="0"/>
          <w:numId w:val="6"/>
        </w:numPr>
      </w:pPr>
      <w:r>
        <w:rPr/>
        <w:t xml:space="preserve">Sizing densities are planning estimates from Citrix VDI Handbook tables; validate with load testing or a pilot using the customer's applications.</w:t>
      </w:r>
    </w:p>
    <w:p>
      <w:pPr>
        <w:pStyle w:val="body"/>
        <w:numPr>
          <w:ilvl w:val="0"/>
          <w:numId w:val="6"/>
        </w:numPr>
      </w:pPr>
      <w:r>
        <w:rPr/>
        <w:t xml:space="preserve">Hardware models, CPU SKUs, DIMM population, drive qualification and GPU support must be validated in vendor configurators and compatibility lists.</w:t>
      </w:r>
    </w:p>
    <w:p>
      <w:pPr>
        <w:pStyle w:val="body"/>
        <w:numPr>
          <w:ilvl w:val="0"/>
          <w:numId w:val="6"/>
        </w:numPr>
      </w:pPr>
      <w:r>
        <w:rPr/>
        <w:t xml:space="preserve">Firewall rules must be validated against the deployed product versions and enabled features.</w:t>
      </w:r>
    </w:p>
    <w:p>
      <w:pPr>
        <w:pStyle w:val="body"/>
        <w:numPr>
          <w:ilvl w:val="0"/>
          <w:numId w:val="6"/>
        </w:numPr>
      </w:pPr>
      <w:r>
        <w:rPr/>
        <w:t xml:space="preserve">79 knowledge-base rules used in this calculation are pending administrator approval; values derived from them are flagged "Requires validation".</w:t>
      </w:r>
    </w:p>
    <w:p>
      <w:pPr>
        <w:pStyle w:val="body"/>
        <w:numPr>
          <w:ilvl w:val="0"/>
          <w:numId w:val="6"/>
        </w:numPr>
      </w:pPr>
      <w:r>
        <w:rPr/>
        <w:t xml:space="preserve">This sizing is an engineering estimate. It is not certified by Citrix or any hardware vendor and must be validated (load testing / proof of concept, vendor configurators) before production use.</w:t>
      </w:r>
    </w:p>
    <w:p>
      <w:pPr>
        <w:pStyle w:val="Heading2"/>
      </w:pPr>
      <w:bookmarkStart w:id="18" w:name="_Toc18"/>
      <w:r>
        <w:t>Mobile device management</w:t>
      </w:r>
      <w:bookmarkEnd w:id="18"/>
    </w:p>
    <w:tbl>
      <w:tblGrid>
        <w:gridCol w:w="2200" w:type="dxa"/>
        <w:gridCol w:w="600" w:type="dxa"/>
        <w:gridCol w:w="600" w:type="dxa"/>
        <w:gridCol w:w="700" w:type="dxa"/>
        <w:gridCol w:w="700" w:type="dxa"/>
        <w:gridCol w:w="3600" w:type="dxa"/>
        <w:gridCol w:w="1200" w:type="dxa"/>
      </w:tblGrid>
      <w:tblPr>
        <w:tblStyle w:val="cs"/>
      </w:tblPr>
      <w:tr>
        <w:trPr>
          <w:tblHeader w:val="1"/>
        </w:trPr>
        <w:tc>
          <w:tcPr>
            <w:tcW w:w="22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Component</w:t>
            </w:r>
          </w:p>
        </w:tc>
        <w:tc>
          <w:tcPr>
            <w:tcW w:w="6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Count</w:t>
            </w:r>
          </w:p>
        </w:tc>
        <w:tc>
          <w:tcPr>
            <w:tcW w:w="6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vCPU</w:t>
            </w:r>
          </w:p>
        </w:tc>
        <w:tc>
          <w:tcPr>
            <w:tcW w:w="7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RAM GB</w:t>
            </w:r>
          </w:p>
        </w:tc>
        <w:tc>
          <w:tcPr>
            <w:tcW w:w="7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Disk GB</w:t>
            </w:r>
          </w:p>
        </w:tc>
        <w:tc>
          <w:tcPr>
            <w:tcW w:w="36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Basis</w:t>
            </w:r>
          </w:p>
        </w:tc>
        <w:tc>
          <w:tcPr>
            <w:tcW w:w="12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Refs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16"/>
                <w:szCs w:val="16"/>
              </w:rPr>
              <w:t xml:space="preserve">XenMobile Server node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6"/>
                <w:szCs w:val="16"/>
              </w:rPr>
              <w:t xml:space="preserve">8</w:t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6"/>
                <w:szCs w:val="16"/>
              </w:rPr>
              <w:t xml:space="preserve">50</w:t>
            </w:r>
          </w:p>
        </w:tc>
        <w:tc>
          <w:tcPr>
            <w:tcW w:w="3600" w:type="dxa"/>
            <w:noWrap/>
          </w:tcPr>
          <w:p>
            <w:pPr/>
            <w:r>
              <w:rPr>
                <w:sz w:val="16"/>
                <w:szCs w:val="16"/>
              </w:rPr>
              <w:t xml:space="preserve">Minimum 4 vCPU / 8 GB / 50 GB per node; tested configuration for up to 12,500 devices used 4 vCPU / 8 GB.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16"/>
                <w:szCs w:val="16"/>
              </w:rPr>
              <w:t xml:space="preserve">MDM-CEM-001, MDM-CEM-002, MDM-CEM-003, MDM-CEM-011</w:t>
            </w:r>
          </w:p>
        </w:tc>
      </w:tr>
      <w:tr>
        <w:trPr/>
        <w:tc>
          <w:tcPr>
            <w:tcW w:w="2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SQL Server (XenMobile database)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8</w:t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100</w:t>
            </w:r>
          </w:p>
        </w:tc>
        <w:tc>
          <w:tcPr>
            <w:tcW w:w="36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Tested SQL sizing; no official database size is published (100 GB disk is an engineering allowance). Keep latency to SQL below 5 ms.</w:t>
            </w:r>
          </w:p>
        </w:tc>
        <w:tc>
          <w:tcPr>
            <w:tcW w:w="12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MDM-CEM-008, MDM-CEM-009, MDM-CEM-011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16"/>
                <w:szCs w:val="16"/>
              </w:rPr>
              <w:t xml:space="preserve">NetScaler ADC (MDM/MAM load balancing and Gateway)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6"/>
                <w:szCs w:val="16"/>
              </w:rPr>
              <w:t xml:space="preserve">8</w:t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6"/>
                <w:szCs w:val="16"/>
              </w:rPr>
              <w:t xml:space="preserve">20</w:t>
            </w:r>
          </w:p>
        </w:tc>
        <w:tc>
          <w:tcPr>
            <w:tcW w:w="3600" w:type="dxa"/>
            <w:noWrap/>
          </w:tcPr>
          <w:p>
            <w:pPr/>
            <w:r>
              <w:rPr>
                <w:sz w:val="16"/>
                <w:szCs w:val="16"/>
              </w:rPr>
              <w:t xml:space="preserve">NetScaler in front of XenMobile (Standard licence minimum; dedicated instance preferred). Appliance size to be validated.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16"/>
                <w:szCs w:val="16"/>
              </w:rPr>
              <w:t xml:space="preserve">MDM-CEM-014, MDM-CEM-015, MDM-CEM-017</w:t>
            </w:r>
          </w:p>
        </w:tc>
      </w:tr>
    </w:tbl>
    <w:p/>
    <w:p>
      <w:pPr>
        <w:pStyle w:val="body"/>
        <w:numPr>
          <w:ilvl w:val="0"/>
          <w:numId w:val="6"/>
        </w:numPr>
      </w:pPr>
      <w:r>
        <w:rPr/>
        <w:t xml:space="preserve">Set the iOS APNs connection pool to about 8 (one connection per ~400 iOS devices).</w:t>
      </w:r>
    </w:p>
    <w:p>
      <w:pPr>
        <w:pStyle w:val="body"/>
        <w:numPr>
          <w:ilvl w:val="0"/>
          <w:numId w:val="6"/>
        </w:numPr>
      </w:pPr>
      <w:r>
        <w:rPr/>
        <w:t xml:space="preserve">Tune iOS heartbeat to 12-20 hours, Android background deployment to 1,440 minutes and database cleanup retention to 1-2 days for large populations.</w:t>
      </w:r>
    </w:p>
    <w:p>
      <w:pPr>
        <w:pStyle w:val="body"/>
        <w:numPr>
          <w:ilvl w:val="0"/>
          <w:numId w:val="6"/>
        </w:numPr>
      </w:pPr>
      <w:r>
        <w:rPr/>
        <w:t xml:space="preserve">File-based licensing stopped working after 15 April 2026; License Activation Service is required.</w:t>
      </w:r>
    </w:p>
    <w:p>
      <w:pPr>
        <w:pStyle w:val="body"/>
        <w:numPr>
          <w:ilvl w:val="0"/>
          <w:numId w:val="6"/>
        </w:numPr>
      </w:pPr>
      <w:r>
        <w:rPr/>
        <w:t xml:space="preserve">Peak enrollment rate (200/hour) has no published capacity figure; Citrix publishes only reconnection rates. Validate enrollment throughput in a pilot.</w:t>
      </w:r>
    </w:p>
    <w:p>
      <w:pPr>
        <w:pStyle w:val="Heading1"/>
      </w:pPr>
      <w:bookmarkStart w:id="19" w:name="_Toc19"/>
      <w:r>
        <w:t>16. Official references</w:t>
      </w:r>
      <w:bookmarkEnd w:id="19"/>
    </w:p>
    <w:p>
      <w:pPr>
        <w:pStyle w:val="body"/>
      </w:pPr>
      <w:r>
        <w:rPr>
          <w:rStyle w:val="small"/>
        </w:rPr>
        <w:t xml:space="preserve">Knowledge-base rules referenced by this calculation. Status shows whether an administrator has approved the rule.</w:t>
      </w:r>
    </w:p>
    <w:tbl>
      <w:tblGrid>
        <w:gridCol w:w="1100" w:type="dxa"/>
        <w:gridCol w:w="2400" w:type="dxa"/>
        <w:gridCol w:w="3200" w:type="dxa"/>
        <w:gridCol w:w="1800" w:type="dxa"/>
        <w:gridCol w:w="900" w:type="dxa"/>
        <w:gridCol w:w="900" w:type="dxa"/>
      </w:tblGrid>
      <w:tblPr>
        <w:tblStyle w:val="cs"/>
      </w:tblPr>
      <w:tr>
        <w:trPr>
          <w:tblHeader w:val="1"/>
        </w:trPr>
        <w:tc>
          <w:tcPr>
            <w:tcW w:w="11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Rule</w:t>
            </w:r>
          </w:p>
        </w:tc>
        <w:tc>
          <w:tcPr>
            <w:tcW w:w="24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Parameter</w:t>
            </w:r>
          </w:p>
        </w:tc>
        <w:tc>
          <w:tcPr>
            <w:tcW w:w="32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Source</w:t>
            </w:r>
          </w:p>
        </w:tc>
        <w:tc>
          <w:tcPr>
            <w:tcW w:w="18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Section</w:t>
            </w:r>
          </w:p>
        </w:tc>
        <w:tc>
          <w:tcPr>
            <w:tcW w:w="9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Verified</w:t>
            </w:r>
          </w:p>
        </w:tc>
        <w:tc>
          <w:tcPr>
            <w:tcW w:w="9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Status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CTX-INF-005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Delivery Controller N+1 per zone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 (Citrix Tech Zone Tech Paper)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Layer 4: The Control Layer &gt; Delivery Controllers &gt; Decision: High Availability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CTX-INF-006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Delivery Controller reference vCPU (tested &gt;10,000 desktops)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 (Citrix Tech Zone Tech Paper)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Layer 4: The Control Layer &gt; Delivery Controllers &gt; Decision: Server Sizing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CTX-INF-007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Delivery Controller reference RAM (tested &gt;10,000 desktops)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 (Citrix Tech Zone Tech Paper)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Layer 4: The Control Layer &gt; Delivery Controllers &gt; Decision: Server Sizing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CTX-INF-008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Number of Delivery Controllers formula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 (Citrix Tech Zone Tech Paper)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Layer 4: The Control Layer &gt; Delivery Controllers &gt; Decision: Server Sizing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CTX-INF-016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LHC sizing starting point (extra CPU/RAM, LocalDB disk)</w:t>
            </w:r>
          </w:p>
        </w:tc>
        <w:tc>
          <w:tcPr>
            <w:tcW w:w="3200" w:type="dxa"/>
            <w:noWrap/>
          </w:tcPr>
          <w:p>
            <w:hyperlink r:id="rId12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Local Host Cache sizing and scaling (Citrix Tech Zone Design Decision)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Summary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CTX-INF-024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Default Monitoring data retention by license</w:t>
            </w:r>
          </w:p>
        </w:tc>
        <w:tc>
          <w:tcPr>
            <w:tcW w:w="3200" w:type="dxa"/>
            <w:noWrap/>
          </w:tcPr>
          <w:p>
            <w:hyperlink r:id="rId13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Data granularity and retention | Director (CVAD 2607 LTSR)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Granularity and retention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CTX-INF-026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StoreFront server vCPU</w:t>
            </w:r>
          </w:p>
        </w:tc>
        <w:tc>
          <w:tcPr>
            <w:tcW w:w="3200" w:type="dxa"/>
            <w:noWrap/>
          </w:tcPr>
          <w:p>
            <w:hyperlink r:id="rId14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System requirements | Citrix StoreFront Current Release (2607)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StoreFront server requirements &gt; Hardware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CTX-INF-027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StoreFront server RAM</w:t>
            </w:r>
          </w:p>
        </w:tc>
        <w:tc>
          <w:tcPr>
            <w:tcW w:w="3200" w:type="dxa"/>
            <w:noWrap/>
          </w:tcPr>
          <w:p>
            <w:hyperlink r:id="rId14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System requirements | Citrix StoreFront Current Release (2607)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StoreFront server requirements &gt; Hardware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CTX-INF-030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Minimum StoreFront servers per server group</w:t>
            </w:r>
          </w:p>
        </w:tc>
        <w:tc>
          <w:tcPr>
            <w:tcW w:w="3200" w:type="dxa"/>
            <w:noWrap/>
          </w:tcPr>
          <w:p>
            <w:hyperlink r:id="rId15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Configure server groups | Citrix StoreFront Current Release (2607)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Configure server groups (introduction)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CTX-INF-031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Maximum StoreFront servers per server group</w:t>
            </w:r>
          </w:p>
        </w:tc>
        <w:tc>
          <w:tcPr>
            <w:tcW w:w="3200" w:type="dxa"/>
            <w:noWrap/>
          </w:tcPr>
          <w:p>
            <w:hyperlink r:id="rId16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Plan your StoreFront deployment | Citrix StoreFront Current Release (2607)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StoreFront Server groups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CTX-INF-033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StoreFront sizing starting point (Tech Zone)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 (Citrix Tech Zone Tech Paper)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Layer 2: The Access Layer &gt; StoreFront &gt; Decision: Scalability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CTX-INF-035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License Server RAM</w:t>
            </w:r>
          </w:p>
        </w:tc>
        <w:tc>
          <w:tcPr>
            <w:tcW w:w="3200" w:type="dxa"/>
            <w:noWrap/>
          </w:tcPr>
          <w:p>
            <w:hyperlink r:id="rId17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System requirements for Citrix Licensing | Licensing 11.17.2 build 56200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Requirements for Licensing (Disk space requirement list)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CTX-INF-048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SQL Server sizing - up to 15,000 users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 (Citrix Tech Zone Tech Paper)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Layer 4: The Control Layer &gt; Database &gt; Decision: Database Server Sizing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CTX-INF-051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Site database expected peak size</w:t>
            </w:r>
          </w:p>
        </w:tc>
        <w:tc>
          <w:tcPr>
            <w:tcW w:w="3200" w:type="dxa"/>
            <w:noWrap/>
          </w:tcPr>
          <w:p>
            <w:hyperlink r:id="rId18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Database Sizing Guidance for XenApp and XenDesktop Versions 7.6 Through Current Release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Sizing the Databases &gt; Site Database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CTX-INF-052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Monitoring database size estimates</w:t>
            </w:r>
          </w:p>
        </w:tc>
        <w:tc>
          <w:tcPr>
            <w:tcW w:w="3200" w:type="dxa"/>
            <w:noWrap/>
          </w:tcPr>
          <w:p>
            <w:hyperlink r:id="rId18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Database Sizing Guidance for XenApp and XenDesktop Versions 7.6 Through Current Release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Sizing the Databases &gt; Monitoring Database &gt; XenDesktop 7.6 Monitoring Databa...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CTX-INF-053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Configuration Logging database size</w:t>
            </w:r>
          </w:p>
        </w:tc>
        <w:tc>
          <w:tcPr>
            <w:tcW w:w="3200" w:type="dxa"/>
            <w:noWrap/>
          </w:tcPr>
          <w:p>
            <w:hyperlink r:id="rId18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Database Sizing Guidance for XenApp and XenDesktop Versions 7.6 Through Current Release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Sizing the Databases &gt; Configuration Logging Database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CTX-INF-064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FAS servers for 100,000 logons per hour</w:t>
            </w:r>
          </w:p>
        </w:tc>
        <w:tc>
          <w:tcPr>
            <w:tcW w:w="3200" w:type="dxa"/>
            <w:noWrap/>
          </w:tcPr>
          <w:p>
            <w:hyperlink r:id="rId19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Federated Authentication Service Scalability (Tech Zone PDF)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Scaling Citrix Services for Large Environments &gt; FAS Servers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CTX-INF-066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StoreFront CPU uplift when FAS is enabled</w:t>
            </w:r>
          </w:p>
        </w:tc>
        <w:tc>
          <w:tcPr>
            <w:tcW w:w="3200" w:type="dxa"/>
            <w:noWrap/>
          </w:tcPr>
          <w:p>
            <w:hyperlink r:id="rId19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Federated Authentication Service Scalability (Tech Zone PDF)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Scaling Citrix Services for Large Environments &gt; StoreFront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CTX-INF-069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WEM infrastructure server spec</w:t>
            </w:r>
          </w:p>
        </w:tc>
        <w:tc>
          <w:tcPr>
            <w:tcW w:w="3200" w:type="dxa"/>
            <w:noWrap/>
          </w:tcPr>
          <w:p>
            <w:hyperlink r:id="rId20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System requirements | Workspace Environment Management 2607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Hardware prerequisites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CTX-INF-070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Number of WEM infrastructure servers</w:t>
            </w:r>
          </w:p>
        </w:tc>
        <w:tc>
          <w:tcPr>
            <w:tcW w:w="3200" w:type="dxa"/>
            <w:noWrap/>
          </w:tcPr>
          <w:p>
            <w:hyperlink r:id="rId2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Scale and size considerations for deployments | Workspace Environment Management 2607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Scale and size considerations for deployments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CTX-WKL-003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CPU over-subscription ratio for Virtual Apps hosts</w:t>
            </w:r>
          </w:p>
        </w:tc>
        <w:tc>
          <w:tcPr>
            <w:tcW w:w="3200" w:type="dxa"/>
            <w:noWrap/>
          </w:tcPr>
          <w:p>
            <w:hyperlink r:id="rId22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Design Decision: Single Server Scalability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CPU Over-Subscription Ratio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CTX-WKL-005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User activity ratio assumption</w:t>
            </w:r>
          </w:p>
        </w:tc>
        <w:tc>
          <w:tcPr>
            <w:tcW w:w="3200" w:type="dxa"/>
            <w:noWrap/>
          </w:tcPr>
          <w:p>
            <w:hyperlink r:id="rId22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Design Decision: Single Server Scalability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Activity Ratio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CTX-WKL-009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vRAM per single-session VM (Medium workload, Windows 10/11)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Machines &gt; Decision: Virtual Memory (vRAM)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CTX-WKL-011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vRAM per user on multi-session VDA (Light workload, Windows Server 2022)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Machines &gt; Decision: Virtual Memory (vRAM)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CTX-WKL-012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vRAM per user on multi-session VDA (Medium workload, Windows Server 2022)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Machines &gt; Decision: Virtual Memory (vRAM)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CTX-WKL-013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vRAM per user on multi-session VDA (Heavy workload, Windows Server 2022)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Machines &gt; Decision: Virtual Memory (vRAM)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CTX-WKL-015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Differencing / write-cache disk per single-session VM (Medium, Windows 10/11)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Machines &gt; Decision: Disk Cache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CTX-WKL-016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Differencing / write-cache disk per single-session VM (Heavy, Windows 10/11)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Machines &gt; Decision: Disk Cache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CTX-WKL-017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Differencing / write-cache disk per multi-session VM (Light, Windows Server 2022)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Machines &gt; Decision: Disk Cache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CTX-WKL-018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Differencing / write-cache disk per multi-session VM (Medium, Windows Server 2022)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Machines &gt; Decision: Disk Cache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CTX-WKL-019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Differencing / write-cache disk per multi-session VM (Heavy, Windows Server 2022)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Machines &gt; Decision: Disk Cache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CTX-WKL-021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RAM cache per single-session VM (Medium, Windows 10/11)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Machines &gt; Decision: RAM Cache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CTX-WKL-023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RAM cache per multi-session VM (Light, Windows Server 2022)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Machines &gt; Decision: RAM Cache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CTX-WKL-024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RAM cache per multi-session VM (Medium, Windows Server 2022)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Machines &gt; Decision: RAM Cache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CTX-WKL-025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RAM cache per multi-session VM (Heavy, Windows Server 2022)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Machines &gt; Decision: RAM Cache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CTX-WKL-027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Storage IOPS per user (Medium, Windows 10/11)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Machines &gt; Decision: Storage IOPS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CTX-WKL-028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Storage IOPS per user (Heavy, Windows 10/11)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Machines &gt; Decision: Storage IOPS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CTX-WKL-029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Storage IOPS per user (Light, Windows Server 2022)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Machines &gt; Decision: Storage IOPS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CTX-WKL-030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Storage IOPS per user (Medium, Windows Server 2022)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Machines &gt; Decision: Storage IOPS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CTX-WKL-031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Storage IOPS per user (Heavy, Windows Server 2022)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Machines &gt; Decision: Storage IOPS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CTX-WKL-035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Desktops per physical core (Medium, Windows 11)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Hardware Sizing &gt; Decision: Physical Process (pCPU)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CTX-WKL-036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Desktops per physical core (Heavy, Windows 10 and Windows 11)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Hardware Sizing &gt; Decision: Physical Process (pCPU)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CTX-WKL-037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Users per physical core (Light, Windows Server 2022)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Hardware Sizing &gt; Decision: Physical Process (pCPU)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CTX-WKL-038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Users per physical core (Medium, Windows Server 2022)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Hardware Sizing &gt; Decision: Physical Process (pCPU)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CTX-WKL-039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Users per physical core (Heavy, Windows Server 2022)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Hardware Sizing &gt; Decision: Physical Process (pCPU)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CTX-WKL-050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Provisioning network bandwidth (PVS uplink, VM uplink, boot traffic)</w:t>
            </w:r>
          </w:p>
        </w:tc>
        <w:tc>
          <w:tcPr>
            <w:tcW w:w="3200" w:type="dxa"/>
            <w:noWrap/>
          </w:tcPr>
          <w:p>
            <w:hyperlink r:id="rId1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VDI Handbook - Design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Control Layer &gt; Citrix Provisioning &gt; Decision: Network Configuration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CTX-WKL-057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MCS identity disk size</w:t>
            </w:r>
          </w:p>
        </w:tc>
        <w:tc>
          <w:tcPr>
            <w:tcW w:w="3200" w:type="dxa"/>
            <w:noWrap/>
          </w:tcPr>
          <w:p>
            <w:hyperlink r:id="rId23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Create machine catalogs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MCS storage considerations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CTX-WKL-071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Default profile container (VHDX) capacity</w:t>
            </w:r>
          </w:p>
        </w:tc>
        <w:tc>
          <w:tcPr>
            <w:tcW w:w="3200" w:type="dxa"/>
            <w:noWrap/>
          </w:tcPr>
          <w:p>
            <w:hyperlink r:id="rId24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Configure VHD settings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Specify the storage capacity and path for VHD containers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CTX-WKL-074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HDX bandwidth - Microsoft Office workload</w:t>
            </w:r>
          </w:p>
        </w:tc>
        <w:tc>
          <w:tcPr>
            <w:tcW w:w="3200" w:type="dxa"/>
            <w:noWrap/>
          </w:tcPr>
          <w:p>
            <w:hyperlink r:id="rId25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Design Decision: Citrix Virtual Desktops HDX Bandwidth Estimates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Results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CTX-WKL-075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HDX bandwidth - web browsing (graphically rich site)</w:t>
            </w:r>
          </w:p>
        </w:tc>
        <w:tc>
          <w:tcPr>
            <w:tcW w:w="3200" w:type="dxa"/>
            <w:noWrap/>
          </w:tcPr>
          <w:p>
            <w:hyperlink r:id="rId25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Design Decision: Citrix Virtual Desktops HDX Bandwidth Estimates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Results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CTX-WKL-077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HDX bandwidth - 1080p video, Browser Content Redirection disabled</w:t>
            </w:r>
          </w:p>
        </w:tc>
        <w:tc>
          <w:tcPr>
            <w:tcW w:w="3200" w:type="dxa"/>
            <w:noWrap/>
          </w:tcPr>
          <w:p>
            <w:hyperlink r:id="rId25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Design Decision: Citrix Virtual Desktops HDX Bandwidth Estimates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Results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CTX-WKL-078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Teams optimized RTP bandwidth - audio</w:t>
            </w:r>
          </w:p>
        </w:tc>
        <w:tc>
          <w:tcPr>
            <w:tcW w:w="3200" w:type="dxa"/>
            <w:noWrap/>
          </w:tcPr>
          <w:p>
            <w:hyperlink r:id="rId26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Optimization for Microsoft Teams (Classic)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Network requirements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CTX-WKL-079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Teams optimized RTP bandwidth - video</w:t>
            </w:r>
          </w:p>
        </w:tc>
        <w:tc>
          <w:tcPr>
            <w:tcW w:w="3200" w:type="dxa"/>
            <w:noWrap/>
          </w:tcPr>
          <w:p>
            <w:hyperlink r:id="rId26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Optimization for Microsoft Teams (Classic)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Network requirements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CTX-WKL-081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Teams impact on multi-session CPU density</w:t>
            </w:r>
          </w:p>
        </w:tc>
        <w:tc>
          <w:tcPr>
            <w:tcW w:w="3200" w:type="dxa"/>
            <w:noWrap/>
          </w:tcPr>
          <w:p>
            <w:hyperlink r:id="rId26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Optimization for Microsoft Teams (Classic)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Single Server Scalability &gt; Results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CTX-WKL-082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Teams impact on memory and per-user storage</w:t>
            </w:r>
          </w:p>
        </w:tc>
        <w:tc>
          <w:tcPr>
            <w:tcW w:w="3200" w:type="dxa"/>
            <w:noWrap/>
          </w:tcPr>
          <w:p>
            <w:hyperlink r:id="rId26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Optimization for Microsoft Teams (Classic)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Single Server Scalability &gt; Results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CTX-WKL-094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Load management product defaults</w:t>
            </w:r>
          </w:p>
        </w:tc>
        <w:tc>
          <w:tcPr>
            <w:tcW w:w="3200" w:type="dxa"/>
            <w:noWrap/>
          </w:tcPr>
          <w:p>
            <w:hyperlink r:id="rId27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Load management policy settings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Maximum number of sessions / Concurrent logon tolerance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CTX-WKL-095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Autoscale capacity buffer default</w:t>
            </w:r>
          </w:p>
        </w:tc>
        <w:tc>
          <w:tcPr>
            <w:tcW w:w="3200" w:type="dxa"/>
            <w:noWrap/>
          </w:tcPr>
          <w:p>
            <w:hyperlink r:id="rId28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Schedule-based and load-based settings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Load-based settings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MDM-CEM-001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Minimum vCPUs per XenMobile Server node</w:t>
            </w:r>
          </w:p>
        </w:tc>
        <w:tc>
          <w:tcPr>
            <w:tcW w:w="3200" w:type="dxa"/>
            <w:noWrap/>
          </w:tcPr>
          <w:p>
            <w:hyperlink r:id="rId29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System requirements and compatibility (XenMobile Server 10.16)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System requirements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MDM-CEM-002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Minimum RAM per XenMobile Server node</w:t>
            </w:r>
          </w:p>
        </w:tc>
        <w:tc>
          <w:tcPr>
            <w:tcW w:w="3200" w:type="dxa"/>
            <w:noWrap/>
          </w:tcPr>
          <w:p>
            <w:hyperlink r:id="rId29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System requirements and compatibility (XenMobile Server 10.16)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System requirements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MDM-CEM-003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Minimum disk per XenMobile Server node</w:t>
            </w:r>
          </w:p>
        </w:tc>
        <w:tc>
          <w:tcPr>
            <w:tcW w:w="3200" w:type="dxa"/>
            <w:noWrap/>
          </w:tcPr>
          <w:p>
            <w:hyperlink r:id="rId29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System requirements and compatibility (XenMobile Server 10.16)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System requirements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MDM-CEM-008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Supported SQL Server versions</w:t>
            </w:r>
          </w:p>
        </w:tc>
        <w:tc>
          <w:tcPr>
            <w:tcW w:w="3200" w:type="dxa"/>
            <w:noWrap/>
          </w:tcPr>
          <w:p>
            <w:hyperlink r:id="rId29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System requirements and compatibility (XenMobile Server 10.16)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SQL Server requirements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MDM-CEM-009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Database high availability options</w:t>
            </w:r>
          </w:p>
        </w:tc>
        <w:tc>
          <w:tcPr>
            <w:tcW w:w="3200" w:type="dxa"/>
            <w:noWrap/>
          </w:tcPr>
          <w:p>
            <w:hyperlink r:id="rId29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System requirements and compatibility (XenMobile Server 10.16)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SQL Server requirements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MDM-CEM-011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SQL Server resources in scalability tests</w:t>
            </w:r>
          </w:p>
        </w:tc>
        <w:tc>
          <w:tcPr>
            <w:tcW w:w="3200" w:type="dxa"/>
            <w:noWrap/>
          </w:tcPr>
          <w:p>
            <w:hyperlink r:id="rId30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Scalability and performance (XenMobile Server 10.16)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Test results by device population and hardware configuration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MDM-CEM-014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Load balancer in front of XenMobile</w:t>
            </w:r>
          </w:p>
        </w:tc>
        <w:tc>
          <w:tcPr>
            <w:tcW w:w="3200" w:type="dxa"/>
            <w:noWrap/>
          </w:tcPr>
          <w:p>
            <w:hyperlink r:id="rId3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Integrating with Citrix Gateway and Citrix ADC (XenMobile)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MDM mode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MDM-CEM-015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ADC licence for MDM load balancing</w:t>
            </w:r>
          </w:p>
        </w:tc>
        <w:tc>
          <w:tcPr>
            <w:tcW w:w="3200" w:type="dxa"/>
            <w:noWrap/>
          </w:tcPr>
          <w:p>
            <w:hyperlink r:id="rId3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Integrating with Citrix Gateway and Citrix ADC (XenMobile)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Licensing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MDM-CEM-017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Dedicated ADC instance</w:t>
            </w:r>
          </w:p>
        </w:tc>
        <w:tc>
          <w:tcPr>
            <w:tcW w:w="3200" w:type="dxa"/>
            <w:noWrap/>
          </w:tcPr>
          <w:p>
            <w:hyperlink r:id="rId31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Integrating with Citrix Gateway and Citrix ADC (XenMobile)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Dedicated or shared Citrix Gateway VIPs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MDM-CEM-020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iOS MDM APNS connection pool size</w:t>
            </w:r>
          </w:p>
        </w:tc>
        <w:tc>
          <w:tcPr>
            <w:tcW w:w="3200" w:type="dxa"/>
            <w:noWrap/>
          </w:tcPr>
          <w:p>
            <w:hyperlink r:id="rId32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Tuning XenMobile Operations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iOS MDM APNS connection pool size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MDM-CEM-021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Push Services Heartbeat Interval</w:t>
            </w:r>
          </w:p>
        </w:tc>
        <w:tc>
          <w:tcPr>
            <w:tcW w:w="3200" w:type="dxa"/>
            <w:noWrap/>
          </w:tcPr>
          <w:p>
            <w:hyperlink r:id="rId32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Tuning XenMobile Operations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Push Services Heartbeat Interval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MDM-CEM-022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Background deployment and hardware inventory frequency</w:t>
            </w:r>
          </w:p>
        </w:tc>
        <w:tc>
          <w:tcPr>
            <w:tcW w:w="3200" w:type="dxa"/>
            <w:noWrap/>
          </w:tcPr>
          <w:p>
            <w:hyperlink r:id="rId32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Tuning XenMobile Operations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Background deployment / hardware inventory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MDM-CEM-023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Database cleanup retention</w:t>
            </w:r>
          </w:p>
        </w:tc>
        <w:tc>
          <w:tcPr>
            <w:tcW w:w="3200" w:type="dxa"/>
            <w:noWrap/>
          </w:tcPr>
          <w:p>
            <w:hyperlink r:id="rId32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Tuning XenMobile Operations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Database cleanup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MDM-CEM-026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File-based licensing end</w:t>
            </w:r>
          </w:p>
        </w:tc>
        <w:tc>
          <w:tcPr>
            <w:tcW w:w="3200" w:type="dxa"/>
            <w:noWrap/>
          </w:tcPr>
          <w:p>
            <w:hyperlink r:id="rId33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Deprecation (XenMobile Server)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Deprecation - File based licensing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PLT-NTNX-001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RF2 data copies (capacity multiplier)</w:t>
            </w:r>
          </w:p>
        </w:tc>
        <w:tc>
          <w:tcPr>
            <w:tcW w:w="3200" w:type="dxa"/>
            <w:noWrap/>
          </w:tcPr>
          <w:p>
            <w:hyperlink r:id="rId34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Replication Factor 2 (Prism Element Web Console Guide 7.6)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Replication Factor 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PLT-NTNX-014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AOS system overhead - all-flash</w:t>
            </w:r>
          </w:p>
        </w:tc>
        <w:tc>
          <w:tcPr>
            <w:tcW w:w="3200" w:type="dxa"/>
            <w:noWrap/>
          </w:tcPr>
          <w:p>
            <w:hyperlink r:id="rId35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Storage Overhead and Usable Capacity (Prism Element Web Console Guide 7.6)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Table 1. Cluster Fault Tolerance and Overhead - Other overhead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PLT-NTNX-015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AOS system overhead - hybrid</w:t>
            </w:r>
          </w:p>
        </w:tc>
        <w:tc>
          <w:tcPr>
            <w:tcW w:w="3200" w:type="dxa"/>
            <w:noWrap/>
          </w:tcPr>
          <w:p>
            <w:hyperlink r:id="rId35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Storage Overhead and Usable Capacity (Prism Element Web Console Guide 7.6)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Table 1. Cluster Fault Tolerance and Overhead - Other overhead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PLT-NTNX-016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Operational reserve</w:t>
            </w:r>
          </w:p>
        </w:tc>
        <w:tc>
          <w:tcPr>
            <w:tcW w:w="3200" w:type="dxa"/>
            <w:noWrap/>
          </w:tcPr>
          <w:p>
            <w:hyperlink r:id="rId35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Storage Overhead and Usable Capacity (Prism Element Web Console Guide 7.6)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Table 1. Cluster Fault Tolerance and Overhead - Other overhead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PLT-NTNX-036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CVM vCPU for storage-intensive workloads</w:t>
            </w:r>
          </w:p>
        </w:tc>
        <w:tc>
          <w:tcPr>
            <w:tcW w:w="3200" w:type="dxa"/>
            <w:noWrap/>
          </w:tcPr>
          <w:p>
            <w:hyperlink r:id="rId36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Nutanix Hybrid Cloud Compute and Storage (Nutanix Hybrid Cloud Reference Architecture)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Nutanix Hybrid Cloud Compute and Storage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PLT-NTNX-037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CVM memory for Citrix (RA-2136)</w:t>
            </w:r>
          </w:p>
        </w:tc>
        <w:tc>
          <w:tcPr>
            <w:tcW w:w="3200" w:type="dxa"/>
            <w:noWrap/>
          </w:tcPr>
          <w:p>
            <w:hyperlink r:id="rId37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Solution Design for Citrix on Nutanix (RA-2136)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Solution Design for Citrix on Nutanix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PLT-NTNX-038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Additional CVM memory per feature</w:t>
            </w:r>
          </w:p>
        </w:tc>
        <w:tc>
          <w:tcPr>
            <w:tcW w:w="3200" w:type="dxa"/>
            <w:noWrap/>
          </w:tcPr>
          <w:p>
            <w:hyperlink r:id="rId38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Citrix on Nutanix Storage Configuration (BP-2079)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Citrix on Nutanix Storage Configuration - Table: Memory Assignment per Feature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  <w:tr>
        <w:trPr/>
        <w:tc>
          <w:tcPr>
            <w:tcW w:w="1100" w:type="dxa"/>
            <w:noWrap/>
          </w:tcPr>
          <w:p>
            <w:pPr/>
            <w:r>
              <w:rPr>
                <w:sz w:val="14"/>
                <w:szCs w:val="14"/>
              </w:rPr>
              <w:t xml:space="preserve">PLT-NTNX-044</w:t>
            </w:r>
          </w:p>
        </w:tc>
        <w:tc>
          <w:tcPr>
            <w:tcW w:w="2400" w:type="dxa"/>
            <w:noWrap/>
          </w:tcPr>
          <w:p>
            <w:pPr/>
            <w:r>
              <w:rPr>
                <w:sz w:val="14"/>
                <w:szCs w:val="14"/>
              </w:rPr>
              <w:t xml:space="preserve">Default CVM vCPU - generic platforms (Foundation 5.0.x)</w:t>
            </w:r>
          </w:p>
        </w:tc>
        <w:tc>
          <w:tcPr>
            <w:tcW w:w="3200" w:type="dxa"/>
            <w:noWrap/>
          </w:tcPr>
          <w:p>
            <w:hyperlink r:id="rId39" w:history="1">
              <w:r>
                <w:rPr>
                  <w:color w:val="1F4E99"/>
                  <w:sz w:val="14"/>
                  <w:szCs w:val="14"/>
                  <w:u w:val="single"/>
                </w:rPr>
                <w:t xml:space="preserve">CVM vCPU and vRAM Allocation (Foundation 5.0.x Field Installation Guide)</w:t>
              </w:r>
            </w:hyperlink>
          </w:p>
        </w:tc>
        <w:tc>
          <w:tcPr>
            <w:tcW w:w="1800" w:type="dxa"/>
            <w:noWrap/>
          </w:tcPr>
          <w:p>
            <w:pPr/>
            <w:r>
              <w:rPr>
                <w:sz w:val="14"/>
                <w:szCs w:val="14"/>
              </w:rPr>
              <w:t xml:space="preserve">CVM vCPU and vRAM Allocation - Table 1. vCPU Allocation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2026-10-02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Pending review</w:t>
            </w:r>
          </w:p>
        </w:tc>
      </w:tr>
    </w:tbl>
    <w:p>
      <w:pPr>
        <w:pStyle w:val="Heading1"/>
      </w:pPr>
      <w:bookmarkStart w:id="20" w:name="_Toc20"/>
      <w:r>
        <w:t>17. Detailed calculation appendix</w:t>
      </w:r>
      <w:bookmarkEnd w:id="20"/>
    </w:p>
    <w:p>
      <w:pPr>
        <w:pStyle w:val="body"/>
      </w:pPr>
      <w:r>
        <w:rPr>
          <w:rStyle w:val="small"/>
        </w:rPr>
        <w:t xml:space="preserve">Every value in this report is classified: Official = Official documented requirement; Customer = User-provided assumption; Assumption = Configurable engineering assumption; Calculated = Calculated estimate; Validate = Requires Citrix/vendor validation.</w:t>
      </w:r>
    </w:p>
    <w:tbl>
      <w:tblGrid>
        <w:gridCol w:w="400" w:type="dxa"/>
        <w:gridCol w:w="2000" w:type="dxa"/>
        <w:gridCol w:w="2000" w:type="dxa"/>
        <w:gridCol w:w="2000" w:type="dxa"/>
        <w:gridCol w:w="1000" w:type="dxa"/>
        <w:gridCol w:w="600" w:type="dxa"/>
        <w:gridCol w:w="700" w:type="dxa"/>
        <w:gridCol w:w="900" w:type="dxa"/>
      </w:tblGrid>
      <w:tblPr>
        <w:tblStyle w:val="cs"/>
      </w:tblPr>
      <w:tr>
        <w:trPr>
          <w:tblHeader w:val="1"/>
        </w:trPr>
        <w:tc>
          <w:tcPr>
            <w:tcW w:w="4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#</w:t>
            </w:r>
          </w:p>
        </w:tc>
        <w:tc>
          <w:tcPr>
            <w:tcW w:w="20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Step</w:t>
            </w:r>
          </w:p>
        </w:tc>
        <w:tc>
          <w:tcPr>
            <w:tcW w:w="20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Formula</w:t>
            </w:r>
          </w:p>
        </w:tc>
        <w:tc>
          <w:tcPr>
            <w:tcW w:w="20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Substitution</w:t>
            </w:r>
          </w:p>
        </w:tc>
        <w:tc>
          <w:tcPr>
            <w:tcW w:w="10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Result</w:t>
            </w:r>
          </w:p>
        </w:tc>
        <w:tc>
          <w:tcPr>
            <w:tcW w:w="6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Rounding</w:t>
            </w:r>
          </w:p>
        </w:tc>
        <w:tc>
          <w:tcPr>
            <w:tcW w:w="7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Class</w:t>
            </w:r>
          </w:p>
        </w:tc>
        <w:tc>
          <w:tcPr>
            <w:tcW w:w="900" w:type="dxa"/>
            <w:shd w:val="clear" w:fill="0B0B0B"/>
            <w:noWrap/>
          </w:tcPr>
          <w:p>
            <w:pPr/>
            <w:r>
              <w:rPr>
                <w:color w:val="FFFFFF"/>
                <w:sz w:val="14"/>
                <w:szCs w:val="14"/>
                <w:b w:val="1"/>
                <w:bCs w:val="1"/>
              </w:rPr>
              <w:t xml:space="preserve">Refs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Apps peak concurrent sessions (input)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peak sessions = customer requirement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4,400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4,400 sessions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Customer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Design Virtual Apps sessions after growth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design = current x (1 + growth%)^years, rounded up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4,400 x (1 + 8%)^3 = 5,542.73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5,543 Virtual Apps sessions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Customer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3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Design Virtual Apps named users after growth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design = current x (1 + growth%)^years, rounded up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6,000 x (1 + 8%)^3 = 7,558.27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7,559 Virtual Apps named users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Customer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users per physical core (light)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users/core = VDI Handbook density (WS2022) x scenario density multiplier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18 x 1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18 users/core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CTX-WKL-037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5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Microsoft Teams density reduction (light)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users/core x (1 - Teams reduction%)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18 x (1 - 40%)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10.8 users/core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CTX-WKL-081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6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users per physical core (medium)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users/core = VDI Handbook density (WS2022) x scenario density multiplier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10 x 1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10 users/core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CTX-WKL-038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7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Microsoft Teams density reduction (medium)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users/core x (1 - Teams reduction%)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10 x (1 - 40%)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6 users/core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CTX-WKL-081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users per physical core (heavy)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users/core = VDI Handbook density (WS2022) x scenario density multiplier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6 x 1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6 users/core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CTX-WKL-039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9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Microsoft Teams density reduction (heavy)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users/core x (1 - Teams reduction%)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6 x (1 - 40%)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3.6 users/core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CTX-WKL-081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10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density adjustment factor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F = 1 + AV + Mon + Off - HT (selected characteristics only)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 factor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CTX-WKL-041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11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physical cores required (VDI Handbook method)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cores = sum(sessions_class / users-per-core_class) x (1 + AV + Mon + Off - HT)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(1,940.1 / 10.8) + (2,771.5 / 6) + (831.5 / 3.6) x 1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872.509 cores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CTX-WKL-037, CTX-WKL-038, CTX-WKL-039, CTX-WKL-041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12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aggregate vCPU demand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vCPU demand = physical cores x vCPU:pCore ratio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872.51 x 2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1,745.019 vCPU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CTX-WKL-003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13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sessions per VM (CPU-bound)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sessions/VM = floor(vCPU per VM / vCPU per session)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8 / 0.3148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25 sessions/VM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floor</w:t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14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memory per session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RAM/session = sum(mix% x vRAM per user_class) x scenario RAM multiplier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35% x 256 MB + 50% x 640 MB + 15% x 1,024 MB x 1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563.2 MB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CTX-WKL-011, CTX-WKL-012, CTX-WKL-013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15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Microsoft Teams memory uplift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RAM/session x (1 + Teams uplift%)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563.2 x (1 + 20%)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675.84 MB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CTX-WKL-082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16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MCS/PVS RAM cache per VM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RAM cache = sum(mix% x RAM cache_class), rounded up to 0.5 GB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7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7 GB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ceil 0.5 GB</w:t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CTX-WKL-023, CTX-WKL-024, CTX-WKL-025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17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sessions per VM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sessions/VM = min(CPU, load management cap)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min(25, 250)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25 sessions/VM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CTX-WKL-094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18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VDA VMs for peak sessions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VMs = ceil(sessions / sessions per VM)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5,543 / 25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222 VMs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19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VDA VMs including spare capacity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VMs = base VMs + ceil(base VMs x spare%)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222 + ceil(222 x 10%)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245 VMs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CTX-WKL-095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20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memory per VM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VM RAM = OS base + RAM cache + sessions/VM x RAM/session, rounded up to 2 GB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 + 7 + 25 x 675.8 MB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28 GB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ceil 2 GB</w:t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21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provisioned vCPU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vCPU = VMs x vCPU per VM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245 x 8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1,960 vCPU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22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physical cores for provisioned VMs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cores = provisioned vCPU / vCPU:pCore ratio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1960 / 2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980 cores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CTX-WKL-003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23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total VDA memory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RAM = VMs x RAM per VM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245 x 28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6,860 GB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24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Design pool "Pooled knowledge workers" users after growth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design = current x (1 + growth%)^years, rounded up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1,200 x (1 + 8%)^3 = 1,511.65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1,512 pool "Pooled knowledge workers" users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Customer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25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Desktop pool: Pooled knowledge workers: concurrent desktops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desktops = users x concurrency%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1,512 x 80%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1,210 desktops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Customer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26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Desktop pool: Pooled knowledge workers: desktops including spare capacity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desktops = concurrent + ceil(concurrent x spare%)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1210 + ceil(1210 x 10%)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1,331 desktops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CTX-WKL-095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27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Desktop pool: Pooled knowledge workers: density adjustment factor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F = 1 + AV + Mon + Off - HT (selected characteristics only)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 factor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CTX-WKL-041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28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Desktop pool: Pooled knowledge workers: aggregate vCPU demand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vCPU demand = powered-on desktops x vCPU per desktop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1331 x 2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2,662 vCPU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Customer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29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Desktop pool: Pooled knowledge workers: desktops per physical core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desktops/core = VDI Handbook density x scenario density multiplier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4 x 1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4 desktops/core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CTX-WKL-035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30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Desktop pool: Pooled knowledge workers: physical cores required (VDI Handbook method)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cores = desktops / desktops-per-core x (1 + AV + Mon + Off - HT)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1331 / 4 x 1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332.75 cores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CTX-WKL-035, CTX-WKL-041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31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Desktop pool: Pooled knowledge workers: implied vCPU-to-physical-core ratio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ratio = vCPU demand / physical cores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2662 / 332.75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8 :1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32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Desktop pool: Pooled knowledge workers: vRAM per desktop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vRAM = VDI Handbook vRAM (medium) x scenario RAM multiplier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 x 1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 GB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CTX-WKL-009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33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Desktop pool: Pooled knowledge workers: MCS/PVS RAM cache per desktop (scale)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RAM cache = VDI Handbook value (scale)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256 MB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0.25 GB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CTX-WKL-021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34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Desktop pool: Pooled knowledge workers: total desktop memory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RAM = powered-on desktops x (vRAM + RAM cache)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1331 x (8 + 0.25)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10,980.75 GB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35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Design pool "Developers (persistent)" users after growth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design = current x (1 + growth%)^years, rounded up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300 x (1 + 8%)^3 = 377.91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378 pool "Developers (persistent)" users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Customer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36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Desktop pool: Developers (persistent): persistent desktops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desktops = assigned users (one desktop per user)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378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378 desktops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37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Desktop pool: Developers (persistent): desktops powered on at peak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powered on = desktops x powered-on%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378 x 100%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378 desktops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38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Desktop pool: Developers (persistent): density adjustment factor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F = 1 + AV + Mon + Off - HT (selected characteristics only)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 factor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CTX-WKL-041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39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Desktop pool: Developers (persistent): aggregate vCPU demand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vCPU demand = powered-on desktops x vCPU per desktop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378 x 4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1,512 vCPU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Customer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40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Desktop pool: Developers (persistent): desktops per physical core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desktops/core = VDI Handbook density x scenario density multiplier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 x 1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 desktops/core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CTX-WKL-036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41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Desktop pool: Developers (persistent): physical cores required (VDI Handbook method)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cores = desktops / desktops-per-core x (1 + AV + Mon + Off - HT)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378 / 2 x 1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189 cores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CTX-WKL-036, CTX-WKL-041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42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Desktop pool: Developers (persistent): implied vCPU-to-physical-core ratio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ratio = vCPU demand / physical cores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1512 / 189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 :1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43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Desktop pool: Developers (persistent): vRAM per desktop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vRAM = customer-specified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16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16 GB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Customer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44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Desktop pool: Developers (persistent): total desktop memory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RAM = powered-on desktops x (vRAM + RAM cache)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378 x (16 + 0)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6,048 GB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45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Design GPU pool "Radiology viewing" users after growth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design = current x (1 + growth%)^years, rounded up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60 x (1 + 8%)^3 = 75.58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76 GPU pool "Radiology viewing" users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Customer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46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GPU pool: Radiology viewing: GPU-enabled desktops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VMs = users (one desktop per GPU user)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76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76 VMs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47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GPU pool: Radiology viewing: VMs per physical GPU (vGPU profile packing)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VMs/GPU = floor(frame buffer per GPU / vGPU profile frame buffer)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48 / 8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6 VMs/GPU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floor</w:t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48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GPU pool: Radiology viewing: physical GPUs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GPUs = ceil(VMs / VMs per GPU)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76 / 6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13 GPUs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49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GPU pool: Radiology viewing: GPU boards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boards = ceil(GPUs / GPUs per board)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13 / 1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13 boards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50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GPU pool: Radiology viewing: hosts required by GPU board count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GPU hosts = ceil(boards / boards per host)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13 / 2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7 hosts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51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GPU pool: Radiology viewing: physical cores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cores = VMs x vCPU / vCPU:pCore ratio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76 x 8 / 2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304 cores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52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GPU pool: Radiology viewing: memory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RAM = VMs x RAM per VM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76 x 32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2,432 GB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Customer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53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Concurrent sessions served by the site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sessions = sum(pool sessions)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5,543 + 1,210 + 378 + 76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7,207 sessions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54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VDA machines registered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VDAs = sum(pool VMs)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245 + 1,331 + 378 + 76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2,030 VDAs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55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Delivery Controllers by session count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Controllers = (active sessions / 10,000) + 1, rounded up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7,207 / 10,000 + 1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2 VMs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CTX-INF-008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56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Delivery Controllers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Controllers = max(formula, minimum per zone x zones)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max(2, 2 x 1)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 VMs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CTX-INF-005, CTX-INF-004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57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SQL Server sizing tier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tier = first tier whose user limit &gt;= users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9,525 users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4 cores / 8 GB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CTX-INF-048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58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Citrix databases (Site + Monitoring + Configuration Logging)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DB = Site(table) + Monitoring(table, retention) + Config Logging allowance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319 MB + 37,999 MB + 2,048 MB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39.42 GB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CTX-INF-051, CTX-INF-052, CTX-INF-053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59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SQL capacity including logs/tempdb/backups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SQL GB = DB GB x (1 + allowance%)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39.42 x (1 + 100%)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78.84 GB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60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StoreFront memory (formula)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RAM = 4 GB + 700 bytes x resources x users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 + 88 x 9,525 x 700 B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4.546 GB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CTX-INF-027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61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StoreFront memory per server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RAM = max(formula rounded up to 2 GB, Handbook minimum)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max(6, 8)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8 GB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CTX-INF-033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62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StoreFront vCPU with FAS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vCPU = recommended vCPU x (1 + FAS uplift%), rounded up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 x (1 + 30%)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6 vCPU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CTX-INF-066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63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FAS servers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FAS = max(2, ceil(peak logons per hour / logons per server per hour) + 1)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11,41 / 25,000 + 1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2 VMs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CTX-INF-064, CTX-INF-065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64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WEM infrastructure servers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servers = (agents / 1,000) + (users / 3,000), rounded up, minimum 2 for availability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2,030 / 1,000 + 9,525 / 3,000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6 VMs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CTX-INF-070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65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Infrastructure VM totals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vCPU = sum(count x vCPU); cores = vCPU / infrastructure vCPU:pCore ratio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90 / 2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45 cores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66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Design managed devices after growth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design = current x (1 + growth%)^years, rounded up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4,000 x (1 + 8%)^3 = 5,038.85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5,039 managed devices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Customer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67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Managed devices (all platforms)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devices = iOS + Android + Windows + macOS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2500 + 1500 + 0 + 0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4,000 devices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Customer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68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XenMobile Server nodes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nodes = ceil(devices / 8,500) + 1 (n+1)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5,039 / 8,500 + 1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 nodes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MDM-CEM-005, MDM-CEM-006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69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Multi-session (Virtual Apps) cluster: logical capacity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logical = performance tier + capacity tier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14,392 + 300 GB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14,691.83 GB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70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Multi-session (Virtual Apps) cluster: capacity with growth allowance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with growth = logical x (1 + growth allowance%)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14,692 x (1 + 10%)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16,161.013 GB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71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Multi-session (Virtual Apps) cluster: effective capacity after data reduction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effective = with growth / data reduction ratio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16,161 / 1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16,161.013 GB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72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Multi-session (Virtual Apps) cluster: usable capacity required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usable = effective / (1 - free-space reserve%)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16,161 / (1 - 20%)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20,201.266 GB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PLT-NTNX-001, PLT-NTNX-014, PLT-NTNX-015, PLT-NTNX-016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73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Multi-session (Virtual Apps) cluster: raw capacity required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raw = usable x protection overhead (Nutanix AOS with AHV Replication factor 2 (1N/1D))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20,201 x 2.222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44,891.703 GB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PLT-NTNX-001, PLT-NTNX-014, PLT-NTNX-015, PLT-NTNX-016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74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Single-session (Virtual Desktops) cluster: logical capacity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logical = performance tier + capacity tier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68,69 + 18,900 GB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87,589.8 GB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75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Single-session (Virtual Desktops) cluster: capacity with growth allowance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with growth = logical x (1 + growth allowance%)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87,59 x (1 + 10%)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96,348.78 GB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76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Single-session (Virtual Desktops) cluster: effective capacity after data reduction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effective = with growth / data reduction ratio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96,349 / 1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96,348.78 GB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77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Single-session (Virtual Desktops) cluster: usable capacity required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usable = effective / (1 - free-space reserve%)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96,349 / (1 - 20%)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120,435.975 GB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PLT-NTNX-001, PLT-NTNX-014, PLT-NTNX-015, PLT-NTNX-016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78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Single-session (Virtual Desktops) cluster: raw capacity required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raw = usable x protection overhead (Nutanix AOS with AHV Replication factor 2 (1N/1D))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120,436 x 2.222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267,635.5 GB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PLT-NTNX-001, PLT-NTNX-014, PLT-NTNX-015, PLT-NTNX-016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79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GPU cluster: logical capacity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logical = performance tier + capacity tier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9,120 + 0 GB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9,120 GB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80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GPU cluster: capacity with growth allowance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with growth = logical x (1 + growth allowance%)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9,120 x (1 + 10%)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10,032 GB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81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GPU cluster: effective capacity after data reduction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effective = with growth / data reduction ratio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10,032 / 1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10,032 GB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82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GPU cluster: usable capacity required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usable = effective / (1 - free-space reserve%)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10,032 / (1 - 20%)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12,540 GB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PLT-NTNX-001, PLT-NTNX-014, PLT-NTNX-015, PLT-NTNX-016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83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GPU cluster: raw capacity required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raw = usable x protection overhead (Nutanix AOS with AHV Replication factor 2 (1N/1D))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12,540 x 2.222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27,866.667 GB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PLT-NTNX-001, PLT-NTNX-014, PLT-NTNX-015, PLT-NTNX-016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84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Backup target capacity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backup = protected data x backup multiplier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156,342 GB x 1.5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234,513 GB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85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steady-state IOPS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IOPS = concurrent users x IOPS per user (with RAM cache)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5,543 x 0.825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4,572.975 IOPS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CTX-WKL-029, CTX-WKL-030, CTX-WKL-031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86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boot storm IOPS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IOPS = VMs x concurrently booting% x IOPS per booting VM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245 x 20% x 100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4,900 IOPS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87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logon storm IOPS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logons/min = sessions x logon% / window; concurrent logons = logons/min x duration / 60; IOPS = concurrent logons x IOPS per logon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5,543 x 80% / 30 min = 147.8/min; x 30 s / 60 = 73.9 x 50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3,695.333 IOPS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88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Multi-session (Virtual Apps) cluster: peak IOPS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peak = steady + max(boot storm, logon storm)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4,573 + max(4,900, 3,695)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9,472.975 IOPS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89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Multi-session (Virtual Apps) cluster: IOPS capability required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required = peak x (1 + performance headroom%)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9,473 x (1 + 30%)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12,314.868 IOPS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90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Multi-session (Virtual Apps) cluster: peak throughput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MB/s = peak IOPS x I/O size / 1024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9,473 x 16 KB / 1024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148.015 MB/s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91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Desktop pool: Pooled knowledge workers: steady-state IOPS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IOPS = concurrent users x IOPS per user (with RAM cache)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1,210 x 1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1,210 IOPS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CTX-WKL-027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92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Desktop pool: Pooled knowledge workers: boot storm IOPS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IOPS = VMs x concurrently booting% x IOPS per booting VM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1331 x 20% x 100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26,620 IOPS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93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Desktop pool: Pooled knowledge workers: logon storm IOPS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logons/min = sessions x logon% / window; concurrent logons = logons/min x duration / 60; IOPS = concurrent logons x IOPS per logon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1,210 x 80% / 30 min = 32.3/min; x 30 s / 60 = 16.1 x 50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806.667 IOPS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94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Desktop pool: Developers (persistent): steady-state IOPS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IOPS = concurrent users x IOPS per user (without RAM cache)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378 x 35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13,230 IOPS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CTX-WKL-028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95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Desktop pool: Developers (persistent): boot storm IOPS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IOPS = VMs x concurrently booting% x IOPS per booting VM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378 x 20% x 100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7,560 IOPS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96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Desktop pool: Developers (persistent): logon storm IOPS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logons/min = sessions x logon% / window; concurrent logons = logons/min x duration / 60; IOPS = concurrent logons x IOPS per logon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378 x 80% / 30 min = 10.1/min; x 30 s / 60 = 5 x 50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252 IOPS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97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Single-session (Virtual Desktops) cluster: peak IOPS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peak = steady + max(boot storm, logon storm)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14,440 + max(34,180, 1,059)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48,620 IOPS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98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Single-session (Virtual Desktops) cluster: IOPS capability required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required = peak x (1 + performance headroom%)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48,620 x (1 + 30%)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63,206 IOPS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99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Single-session (Virtual Desktops) cluster: peak throughput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MB/s = peak IOPS x I/O size / 1024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48,620 x 16 KB / 1024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759.688 MB/s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100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GPU pool: Radiology viewing: steady-state IOPS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IOPS = concurrent users x IOPS per user (without RAM cache)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76 x 35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2,660 IOPS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Validate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CTX-WKL-028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101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GPU pool: Radiology viewing: boot storm IOPS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IOPS = VMs x concurrently booting% x IOPS per booting VM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76 x 20% x 100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1,520 IOPS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102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GPU pool: Radiology viewing: logon storm IOPS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logons/min = sessions x logon% / window; concurrent logons = logons/min x duration / 60; IOPS = concurrent logons x IOPS per logon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76 x 80% / 30 min = 2/min; x 30 s / 60 = 1 x 50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50.667 IOPS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103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GPU cluster: peak IOPS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peak = steady + max(boot storm, logon storm)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2,660 + max(1,520, 51)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4,180 IOPS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104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GPU cluster: IOPS capability required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required = peak x (1 + performance headroom%)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4,180 x (1 + 30%)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5,434 IOPS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105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GPU cluster: peak throughput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MB/s = peak IOPS x I/O size / 1024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4,180 x 16 KB / 1024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65.313 MB/s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106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Multi-session (Virtual Apps) cluster: physical core demand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cores = sum(workload cores) + infrastructure vCPU / ratio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980 + 45 (infrastructure) + 12 (MDM)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1,037 cores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107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Multi-session (Virtual Apps) cluster: memory demand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RAM = sum(VM memory)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6,860 + 172 (infrastructure) + 48 (MDM)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7,080 GB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108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Multi-session (Virtual Apps) cluster: usable cores per host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usable = (sockets x cores/socket - hypervisor reserve - CVM cores) x CPU ceiling%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(2 x 32 - 1 - 6) x 85%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48.45 cores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PLT-NTNX-036, PLT-NTNX-037, PLT-NTNX-038, PLT-NTNX-044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109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Multi-session (Virtual Apps) cluster: hosts required by CPU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hosts = ceil(core demand / usable cores per host)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1,037 / 48.45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22 hosts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110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Multi-session (Virtual Apps) cluster: hosts required by storage capacity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hosts = ceil(raw GB / (drive slots x drive TB x 1000))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44,892 / (12 x 3.84 x 1000)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 hosts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111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Multi-session (Virtual Apps) cluster: hosts (N + 1)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hosts = max(CPU, storage, platform minimum)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max(CPU 23, storage 2, platform minimum 3)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23 hosts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PLT-NTNX-001, CTX-WKL-042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112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Multi-session (Virtual Apps) cluster: memory per host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RAM/host = RAM demand / ((hosts - failures) x RAM ceiling%) + hypervisor/CVM overhead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7,080 / ((23 - 1) x 90%) + 40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397.576 GB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CTX-WKL-042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113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Multi-session (Virtual Apps) cluster: DIMM configuration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smallest balanced population (all channels, equal DIMMs) &gt;= required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16 x 32 GB (1 DPC)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512 GB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up to DIMM configuration</w:t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114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Multi-session (Virtual Apps) cluster: cluster split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clusters = ceil((hosts - failures) / (max hosts - failures)); hosts = clusters x (ceil((hosts - failures) / clusters) + failures)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 x 12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24 hosts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115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Multi-session (Virtual Apps) cluster: data drives per node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drives = ceil(raw GB / ((hosts - failures) x drive TB x 1000))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44,892 / (22 x 3.84 x 1000)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2 drives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116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Multi-session (Virtual Apps) cluster: CPU utilization after 1 host failure(s)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util = core demand / ((hosts - failures) x physical cores available per host)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1,037 / (22 x 57)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82.7 %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117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Multi-session (Virtual Apps) cluster: memory utilization after 1 host failure(s)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util = RAM demand / ((hosts - failures) x (RAM per host - overhead))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7,080 / (22 x 472)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68.2 %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118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Single-session (Virtual Desktops) cluster: physical core demand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cores = sum(workload cores) + infrastructure vCPU / ratio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332.8 + 189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521.75 cores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119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Single-session (Virtual Desktops) cluster: memory demand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RAM = sum(VM memory)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10,981 + 6,048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17,028.75 GB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120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Single-session (Virtual Desktops) cluster: usable cores per host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usable = (sockets x cores/socket - hypervisor reserve - CVM cores) x CPU ceiling%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(2 x 32 - 1 - 6) x 85%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48.45 cores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PLT-NTNX-036, PLT-NTNX-037, PLT-NTNX-038, PLT-NTNX-044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121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Single-session (Virtual Desktops) cluster: hosts required by CPU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hosts = ceil(core demand / usable cores per host)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521.8 / 48.45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11 hosts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122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Single-session (Virtual Desktops) cluster: hosts required by storage capacity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hosts = ceil(raw GB / (drive slots x drive TB x 1000))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267,636 / (12 x 3.84 x 1000)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6 hosts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123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Single-session (Virtual Desktops) cluster: hosts (N + 1)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hosts = max(CPU, storage, platform minimum)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max(CPU 12, storage 7, platform minimum 3)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12 hosts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PLT-NTNX-001, CTX-WKL-042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124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Single-session (Virtual Desktops) cluster: memory per host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RAM/host = RAM demand / ((hosts - failures) x RAM ceiling%) + hypervisor/CVM overhead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17,029 / ((12 - 1) x 90%) + 40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1,760.076 GB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CTX-WKL-042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125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Single-session (Virtual Desktops) cluster: DIMM configuration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smallest balanced population (all channels, equal DIMMs) &gt;= required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16 x 128 GB (1 DPC)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2,048 GB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up to DIMM configuration</w:t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126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Single-session (Virtual Desktops) cluster: data drives per node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drives = ceil(raw GB / ((hosts - failures) x drive TB x 1000))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267,636 / (11 x 3.84 x 1000)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7 drives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127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Single-session (Virtual Desktops) cluster: CPU utilization after 1 host failure(s)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util = core demand / ((hosts - failures) x physical cores available per host)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521.8 / (11 x 57)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83.2 %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128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Single-session (Virtual Desktops) cluster: memory utilization after 1 host failure(s)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util = RAM demand / ((hosts - failures) x (RAM per host - overhead))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17,029 / (11 x 2,008)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77.1 %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129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GPU cluster: physical core demand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cores = sum(workload cores) + infrastructure vCPU / ratio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304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304 cores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130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GPU cluster: memory demand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RAM = sum(VM memory)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2,432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2,432 GB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131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GPU cluster: usable cores per host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usable = (sockets x cores/socket - hypervisor reserve - CVM cores) x CPU ceiling%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(2 x 32 - 1 - 6) x 85%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48.45 cores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PLT-NTNX-036, PLT-NTNX-037, PLT-NTNX-038, PLT-NTNX-044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132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GPU cluster: hosts required by CPU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hosts = ceil(core demand / usable cores per host)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304 / 48.45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7 hosts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133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GPU cluster: hosts required by storage capacity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hosts = ceil(raw GB / (drive slots x drive TB x 1000))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27,867 / (12 x 3.84 x 1000)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 hosts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134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GPU cluster: hosts (N + 1)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hosts = max(CPU, storage, GPU boards, platform minimum)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max(CPU 8, storage 2, GPU boards 8, platform minimum 3)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 hosts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PLT-NTNX-001, CTX-WKL-042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135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GPU cluster: memory per host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RAM/host = RAM demand / ((hosts - failures) x RAM ceiling%) + hypervisor/CVM overhead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2,432 / ((8 - 1) x 90%) + 40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426.032 GB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CTX-WKL-042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136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GPU cluster: DIMM configuration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smallest balanced population (all channels, equal DIMMs) &gt;= required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16 x 32 GB (1 DPC)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512 GB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up to DIMM configuration</w:t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137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GPU cluster: data drives per node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drives = ceil(raw GB / ((hosts - failures) x drive TB x 1000))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27,867 / (7 x 3.84 x 1000)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2 drives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138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GPU cluster: CPU utilization after 1 host failure(s)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util = core demand / ((hosts - failures) x physical cores available per host)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304 / (7 x 57)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76.2 %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139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GPU cluster: memory utilization after 1 host failure(s)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util = RAM demand / ((hosts - failures) x (RAM per host - overhead))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2,432 / (7 x 472)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73.6 %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140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Virtual Apps session hosts: HDX bandwidth at peak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Mbps = concurrent sessions x kbps per session / 1000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5,543 x 218.27 / 1000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1,209.851 Mbps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CTX-WKL-074, CTX-WKL-075, CTX-WKL-077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141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Desktop pool: Pooled knowledge workers: HDX bandwidth at peak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Mbps = concurrent sessions x kbps per session / 1000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1,210 x 218.27 / 1000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264.103 Mbps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CTX-WKL-074, CTX-WKL-075, CTX-WKL-077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142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Desktop pool: Developers (persistent): HDX bandwidth at peak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Mbps = concurrent sessions x kbps per session / 1000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378 x 218.27 / 1000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82.505 Mbps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CTX-WKL-074, CTX-WKL-075, CTX-WKL-077</w:t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143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GPU pool: Radiology viewing: HDX bandwidth at peak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Mbps = concurrent sessions x kbps per session / 1000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76 x 5,000 / 1000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380 Mbps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144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NetScaler Gateway ICA throughput (external users)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Mbps = total HDX peak x external users%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1,936.5 x 25%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484.115 Mbps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Customer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145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Optimized Teams media at user locations (not through the data center)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Mbps = sessions x meeting% x (audio + video kbps) / 1000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7,207 x 20% x (90 + 700) / 1000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1,138.706 Mbps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>CTX-WKL-078, CTX-WKL-079</w:t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146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Multi-session (Virtual Apps) cluster: east-west traffic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Mbps = SMB steady + profile load at logon peak + PVS streaming + storage replication/IP storage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554.3 + 39,416.9 + 0 + 708.9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40,680.078 Mbps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147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Multi-session (Virtual Apps) cluster: sustained traffic per host after failures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Mbps/host = (north-south + east-west) / (hosts - failures) + management allowance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(1,209.9 + 40,680.1) / 23 + 1,000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2,821.301 Mbps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148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Multi-session (Virtual Apps) cluster: host uplink check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required Gbps = per-host traffic + live-migration burst; available = (data ports - 1) x port speed (one port failed)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2.82 + 10 vs (2 - 1) x 25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12.82 Gbps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149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Single-session (Virtual Desktops) cluster: east-west traffic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Mbps = SMB steady + profile load at logon peak + PVS streaming + storage replication/IP storage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158.8 + 11,292.4 + 0 + 2,809.2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14,260.4 Mbps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150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Single-session (Virtual Desktops) cluster: sustained traffic per host after failures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Mbps/host = (north-south + east-west) / (hosts - failures) + management allowance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(346.6 + 14,260.4) / 11 + 1,000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2,327.91 Mbps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151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Single-session (Virtual Desktops) cluster: host uplink check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required Gbps = per-host traffic + live-migration burst; available = (data ports - 1) x port speed (one port failed)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2.33 + 10 vs (2 - 1) x 25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12.33 Gbps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152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GPU cluster: east-west traffic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Mbps = SMB steady + profile load at logon peak + PVS streaming + storage replication/IP storage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7.6 + 540.4 + 0 + 371.6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919.6 Mbps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153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GPU cluster: sustained traffic per host after failures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Mbps/host = (north-south + east-west) / (hosts - failures) + management allowance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(380 + 919.6) / 7 + 1,000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1,185.657 Mbps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154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GPU cluster: host uplink check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required Gbps = per-host traffic + live-migration burst; available = (data ports - 1) x port speed (one port failed)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1.19 + 10 vs (2 - 1) x 25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11.19 Gbps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noWrap/>
          </w:tcPr>
          <w:p>
            <w:pPr/>
            <w:r>
              <w:rPr>
                <w:sz w:val="14"/>
                <w:szCs w:val="14"/>
              </w:rPr>
              <w:t xml:space="preserve">155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ToR uplinks per switch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uplinks = max(2, ceil(downlink bandwidth / oversubscription / uplink speed))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4"/>
                <w:szCs w:val="14"/>
              </w:rPr>
              <w:t xml:space="preserve">44 x 25 Gbps / 3 / 100</w:t>
            </w:r>
          </w:p>
        </w:tc>
        <w:tc>
          <w:tcPr>
            <w:tcW w:w="1000" w:type="dxa"/>
            <w:noWrap/>
          </w:tcPr>
          <w:p>
            <w:pPr/>
            <w:r>
              <w:rPr>
                <w:sz w:val="14"/>
                <w:szCs w:val="14"/>
              </w:rPr>
              <w:t xml:space="preserve">4 ports</w:t>
            </w:r>
          </w:p>
        </w:tc>
        <w:tc>
          <w:tcPr>
            <w:tcW w:w="600" w:type="dxa"/>
            <w:noWrap/>
          </w:tcPr>
          <w:p>
            <w:pPr/>
            <w:r>
              <w:rPr>
                <w:sz w:val="14"/>
                <w:szCs w:val="14"/>
              </w:rPr>
              <w:t xml:space="preserve">ceil</w:t>
            </w:r>
          </w:p>
        </w:tc>
        <w:tc>
          <w:tcPr>
            <w:tcW w:w="700" w:type="dxa"/>
            <w:noWrap/>
          </w:tcPr>
          <w:p>
            <w:pPr/>
            <w:r>
              <w:rPr>
                <w:sz w:val="14"/>
                <w:szCs w:val="14"/>
              </w:rPr>
              <w:t xml:space="preserve">Assumption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  <w:tr>
        <w:trPr/>
        <w:tc>
          <w:tcPr>
            <w:tcW w:w="4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156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ToR ports per switch (A/B pair)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ports = server/array downlinks / 2 + uplinks + inter-switch links</w:t>
            </w:r>
          </w:p>
        </w:tc>
        <w:tc>
          <w:tcPr>
            <w:tcW w:w="2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44 + 4 + 2</w:t>
            </w:r>
          </w:p>
        </w:tc>
        <w:tc>
          <w:tcPr>
            <w:tcW w:w="10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50 ports</w:t>
            </w:r>
          </w:p>
        </w:tc>
        <w:tc>
          <w:tcPr>
            <w:tcW w:w="6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w="7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>Calculated</w:t>
            </w:r>
          </w:p>
        </w:tc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4"/>
                <w:szCs w:val="14"/>
              </w:rPr>
              <w:t xml:space="preserve"/>
            </w:r>
          </w:p>
        </w:tc>
      </w:tr>
    </w:tbl>
    <w:p/>
    <w:p>
      <w:pPr>
        <w:pStyle w:val="Heading2"/>
      </w:pPr>
      <w:bookmarkStart w:id="21" w:name="_Toc21"/>
      <w:r>
        <w:t>Validation warnings</w:t>
      </w:r>
      <w:bookmarkEnd w:id="21"/>
    </w:p>
    <w:tbl>
      <w:tblGrid>
        <w:gridCol w:w="900" w:type="dxa"/>
        <w:gridCol w:w="1100" w:type="dxa"/>
        <w:gridCol w:w="6000" w:type="dxa"/>
        <w:gridCol w:w="1400" w:type="dxa"/>
      </w:tblGrid>
      <w:tblPr>
        <w:tblStyle w:val="cs"/>
      </w:tblPr>
      <w:tr>
        <w:trPr>
          <w:tblHeader w:val="1"/>
        </w:trPr>
        <w:tc>
          <w:tcPr>
            <w:tcW w:w="9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Severity</w:t>
            </w:r>
          </w:p>
        </w:tc>
        <w:tc>
          <w:tcPr>
            <w:tcW w:w="11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Area</w:t>
            </w:r>
          </w:p>
        </w:tc>
        <w:tc>
          <w:tcPr>
            <w:tcW w:w="60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Message</w:t>
            </w:r>
          </w:p>
        </w:tc>
        <w:tc>
          <w:tcPr>
            <w:tcW w:w="1400" w:type="dxa"/>
            <w:shd w:val="clear" w:fill="0B0B0B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Refs</w:t>
            </w:r>
          </w:p>
        </w:tc>
      </w:tr>
      <w:tr>
        <w:trPr/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Warning</w:t>
            </w:r>
          </w:p>
        </w:tc>
        <w:tc>
          <w:tcPr>
            <w:tcW w:w="1100" w:type="dxa"/>
            <w:noWrap/>
          </w:tcPr>
          <w:p>
            <w:pPr/>
            <w:r>
              <w:rPr>
                <w:sz w:val="16"/>
                <w:szCs w:val="16"/>
              </w:rPr>
              <w:t xml:space="preserve">Architecture</w:t>
            </w:r>
          </w:p>
        </w:tc>
        <w:tc>
          <w:tcPr>
            <w:tcW w:w="6000" w:type="dxa"/>
            <w:noWrap/>
          </w:tcPr>
          <w:p>
            <w:pPr/>
            <w:r>
              <w:rPr>
                <w:sz w:val="16"/>
                <w:szCs w:val="16"/>
              </w:rPr>
              <w:t xml:space="preserve">Multi-session (Virtual Apps) cluster: the host count exceeds the platform maximum of 16 hosts per cluster; split into 2 clusters of 12 hosts (each with N+1).</w:t>
            </w:r>
          </w:p>
        </w:tc>
        <w:tc>
          <w:tcPr>
            <w:tcW w:w="1400" w:type="dxa"/>
            <w:noWrap/>
          </w:tcPr>
          <w:p>
            <w:pPr/>
            <w:r>
              <w:rPr>
                <w:sz w:val="16"/>
                <w:szCs w:val="16"/>
              </w:rPr>
              <w:t xml:space="preserve">PLT-NTNX-054</w:t>
            </w:r>
          </w:p>
        </w:tc>
      </w:tr>
      <w:tr>
        <w:trPr/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Warning</w:t>
            </w:r>
          </w:p>
        </w:tc>
        <w:tc>
          <w:tcPr>
            <w:tcW w:w="11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Gpu</w:t>
            </w:r>
          </w:p>
        </w:tc>
        <w:tc>
          <w:tcPr>
            <w:tcW w:w="6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GPU pool: Radiology viewing: GPU sizing cannot be derived from user counts alone. Validate the vGPU profile, board, driver/licensing and hypervisor compatibility with the GPU vendor's sizing guidance and a proof of concept.</w:t>
            </w:r>
          </w:p>
        </w:tc>
        <w:tc>
          <w:tcPr>
            <w:tcW w:w="14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CTX-WKL-054, CTX-WKL-089</w:t>
            </w:r>
          </w:p>
        </w:tc>
      </w:tr>
      <w:tr>
        <w:trPr/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Info</w:t>
            </w:r>
          </w:p>
        </w:tc>
        <w:tc>
          <w:tcPr>
            <w:tcW w:w="1100" w:type="dxa"/>
            <w:noWrap/>
          </w:tcPr>
          <w:p>
            <w:pPr/>
            <w:r>
              <w:rPr>
                <w:sz w:val="16"/>
                <w:szCs w:val="16"/>
              </w:rPr>
              <w:t xml:space="preserve">Architecture</w:t>
            </w:r>
          </w:p>
        </w:tc>
        <w:tc>
          <w:tcPr>
            <w:tcW w:w="6000" w:type="dxa"/>
            <w:noWrap/>
          </w:tcPr>
          <w:p>
            <w:pPr/>
            <w:r>
              <w:rPr>
                <w:sz w:val="16"/>
                <w:szCs w:val="16"/>
              </w:rPr>
              <w:t xml:space="preserve">Confirm the hypervisor/management versions against the Citrix supported hosts list for the selected release.</w:t>
            </w:r>
          </w:p>
        </w:tc>
        <w:tc>
          <w:tcPr>
            <w:tcW w:w="1400" w:type="dxa"/>
            <w:noWrap/>
          </w:tcPr>
          <w:p>
            <w:pPr/>
            <w:r>
              <w:rPr>
                <w:sz w:val="16"/>
                <w:szCs w:val="16"/>
              </w:rPr>
              <w:t xml:space="preserve">CTX-INF-057</w:t>
            </w:r>
          </w:p>
        </w:tc>
      </w:tr>
      <w:tr>
        <w:trPr/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Info</w:t>
            </w:r>
          </w:p>
        </w:tc>
        <w:tc>
          <w:tcPr>
            <w:tcW w:w="11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Availability</w:t>
            </w:r>
          </w:p>
        </w:tc>
        <w:tc>
          <w:tcPr>
            <w:tcW w:w="6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A DR site is selected: DR capacity is shown as a proportional estimate (50% of primary hosts) and must be designed separately (networking, data replication, Citrix site/zone design).</w:t>
            </w:r>
          </w:p>
        </w:tc>
        <w:tc>
          <w:tcPr>
            <w:tcW w:w="14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Info</w:t>
            </w:r>
          </w:p>
        </w:tc>
        <w:tc>
          <w:tcPr>
            <w:tcW w:w="1100" w:type="dxa"/>
            <w:noWrap/>
          </w:tcPr>
          <w:p>
            <w:pPr/>
            <w:r>
              <w:rPr>
                <w:sz w:val="16"/>
                <w:szCs w:val="16"/>
              </w:rPr>
              <w:t xml:space="preserve">Compute</w:t>
            </w:r>
          </w:p>
        </w:tc>
        <w:tc>
          <w:tcPr>
            <w:tcW w:w="6000" w:type="dxa"/>
            <w:noWrap/>
          </w:tcPr>
          <w:p>
            <w:pPr/>
            <w:r>
              <w:rPr>
                <w:sz w:val="16"/>
                <w:szCs w:val="16"/>
              </w:rPr>
              <w:t xml:space="preserve">Desktop pool: Pooled knowledge workers: Nutanix recommends at least 3 vCPUs for Windows 11 desktops.</w:t>
            </w:r>
          </w:p>
        </w:tc>
        <w:tc>
          <w:tcPr>
            <w:tcW w:w="1400" w:type="dxa"/>
            <w:noWrap/>
          </w:tcPr>
          <w:p>
            <w:pPr/>
            <w:r>
              <w:rPr>
                <w:sz w:val="16"/>
                <w:szCs w:val="16"/>
              </w:rPr>
              <w:t xml:space="preserve">PLT-NTNX-062</w:t>
            </w:r>
          </w:p>
        </w:tc>
      </w:tr>
      <w:tr>
        <w:trPr/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Info</w:t>
            </w:r>
          </w:p>
        </w:tc>
        <w:tc>
          <w:tcPr>
            <w:tcW w:w="11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Mdm</w:t>
            </w:r>
          </w:p>
        </w:tc>
        <w:tc>
          <w:tcPr>
            <w:tcW w:w="6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Citrix supports the current and prior XenMobile Server versions (10.16 and 10.15).</w:t>
            </w:r>
          </w:p>
        </w:tc>
        <w:tc>
          <w:tcPr>
            <w:tcW w:w="14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MDM-CEM-025</w:t>
            </w:r>
          </w:p>
        </w:tc>
      </w:tr>
      <w:tr>
        <w:trPr/>
        <w:tc>
          <w:tcPr>
            <w:tcW w:w="900" w:type="dxa"/>
            <w:noWrap/>
          </w:tcPr>
          <w:p>
            <w:pPr/>
            <w:r>
              <w:rPr>
                <w:sz w:val="16"/>
                <w:szCs w:val="16"/>
              </w:rPr>
              <w:t xml:space="preserve">Info</w:t>
            </w:r>
          </w:p>
        </w:tc>
        <w:tc>
          <w:tcPr>
            <w:tcW w:w="1100" w:type="dxa"/>
            <w:noWrap/>
          </w:tcPr>
          <w:p>
            <w:pPr/>
            <w:r>
              <w:rPr>
                <w:sz w:val="16"/>
                <w:szCs w:val="16"/>
              </w:rPr>
              <w:t xml:space="preserve">Performance</w:t>
            </w:r>
          </w:p>
        </w:tc>
        <w:tc>
          <w:tcPr>
            <w:tcW w:w="6000" w:type="dxa"/>
            <w:noWrap/>
          </w:tcPr>
          <w:p>
            <w:pPr/>
            <w:r>
              <w:rPr>
                <w:sz w:val="16"/>
                <w:szCs w:val="16"/>
              </w:rPr>
              <w:t xml:space="preserve">HCI node performance (IOPS and latency per node) is platform- and configuration-specific; validate the IOPS requirement with the HCI vendor's sizing tool.</w:t>
            </w:r>
          </w:p>
        </w:tc>
        <w:tc>
          <w:tcPr>
            <w:tcW w:w="1400" w:type="dxa"/>
            <w:noWrap/>
          </w:tcPr>
          <w:p>
            <w:pPr/>
            <w:r>
              <w:rPr>
                <w:sz w:val="16"/>
                <w:szCs w:val="16"/>
              </w:rPr>
              <w:t xml:space="preserve"/>
            </w:r>
          </w:p>
        </w:tc>
      </w:tr>
      <w:tr>
        <w:trPr/>
        <w:tc>
          <w:tcPr>
            <w:tcW w:w="9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Info</w:t>
            </w:r>
          </w:p>
        </w:tc>
        <w:tc>
          <w:tcPr>
            <w:tcW w:w="11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Storage</w:t>
            </w:r>
          </w:p>
        </w:tc>
        <w:tc>
          <w:tcPr>
            <w:tcW w:w="60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Nutanix states erasure coding is not suitable for desktop virtualization; keep EC disabled for Citrix provisioning methods.</w:t>
            </w:r>
          </w:p>
        </w:tc>
        <w:tc>
          <w:tcPr>
            <w:tcW w:w="1400" w:type="dxa"/>
            <w:shd w:val="clear" w:fill="FAF9F6"/>
            <w:noWrap/>
          </w:tcPr>
          <w:p>
            <w:pPr/>
            <w:r>
              <w:rPr>
                <w:sz w:val="16"/>
                <w:szCs w:val="16"/>
              </w:rPr>
              <w:t xml:space="preserve">PLT-NTNX-034, PLT-NTNX-067</w:t>
            </w:r>
          </w:p>
        </w:tc>
      </w:tr>
    </w:tbl>
    <w:p/>
    <w:sectPr>
      <w:headerReference w:type="default" r:id="rId40"/>
      <w:footerReference w:type="default" r:id="rId41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>
        <w:color w:val="6B6B66"/>
        <w:sz w:val="16"/>
        <w:szCs w:val="16"/>
      </w:rPr>
      <w:t xml:space="preserve">v4 - Preliminary estimate - validation items open    Page </w:t>
    </w:r>
    <w:r>
      <w:fldChar w:fldCharType="begin"/>
    </w:r>
    <w:r>
      <w:rPr>
        <w:color w:val="6B6B66"/>
        <w:sz w:val="16"/>
        <w:szCs w:val="16"/>
      </w:rPr>
      <w:instrText xml:space="preserve">PAGE</w:instrText>
    </w:r>
    <w:r>
      <w:fldChar w:fldCharType="separate"/>
    </w:r>
    <w:r>
      <w:fldChar w:fldCharType="end"/>
    </w:r>
    <w:r>
      <w:rPr>
        <w:color w:val="6B6B66"/>
        <w:sz w:val="16"/>
        <w:szCs w:val="16"/>
      </w:rPr>
      <w:t xml:space="preserve"> of </w:t>
    </w:r>
    <w:r>
      <w:fldChar w:fldCharType="begin"/>
    </w:r>
    <w:r>
      <w:rPr>
        <w:color w:val="6B6B66"/>
        <w:sz w:val="16"/>
        <w:szCs w:val="16"/>
      </w:rPr>
      <w:instrText xml:space="preserve">NUMPAGES</w:instrText>
    </w:r>
    <w:r>
      <w:fldChar w:fldCharType="separate"/>
    </w:r>
    <w:r>
      <w:fldChar w:fldCharType="end"/>
    </w:r>
  </w:p>
</w:ft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color w:val="6B6B66"/>
        <w:sz w:val="16"/>
        <w:szCs w:val="16"/>
      </w:rPr>
      <w:t xml:space="preserve">Citrix Sizer by Niyyasoft  |  Northwind Health (demo)  |  Workspace modernisation 2027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BB0F3D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spacing w:before="360" w:after="120"/>
    </w:pPr>
    <w:rPr>
      <w:color w:val="0B0B0B"/>
      <w:sz w:val="32"/>
      <w:szCs w:val="32"/>
      <w:b w:val="1"/>
      <w:bCs w:val="1"/>
    </w:rPr>
  </w:style>
  <w:style w:type="paragraph" w:styleId="Heading2">
    <w:link w:val="Heading2Char"/>
    <w:name w:val="heading 2"/>
    <w:basedOn w:val="Normal"/>
    <w:pPr>
      <w:keepNext w:val="1"/>
      <w:spacing w:before="240" w:after="80"/>
    </w:pPr>
    <w:rPr>
      <w:color w:val="0B0B0B"/>
      <w:sz w:val="25"/>
      <w:szCs w:val="25"/>
      <w:b w:val="1"/>
      <w:bCs w:val="1"/>
    </w:rPr>
  </w:style>
  <w:style w:type="table" w:customStyle="1" w:styleId="cs">
    <w:name w:val="cs"/>
    <w:uiPriority w:val="99"/>
    <w:tblPr>
      <w:tblW w:w="0" w:type="auto"/>
      <w:tblLayout w:type="autofit"/>
      <w:tblCellMar>
        <w:top w:w="70" w:type="dxa"/>
        <w:left w:w="70" w:type="dxa"/>
        <w:right w:w="70" w:type="dxa"/>
        <w:bottom w:w="70" w:type="dxa"/>
      </w:tblCellMar>
      <w:tblBorders>
        <w:top w:val="single" w:sz="4" w:color="E4E1D9"/>
        <w:left w:val="single" w:sz="4" w:color="E4E1D9"/>
        <w:right w:val="single" w:sz="4" w:color="E4E1D9"/>
        <w:bottom w:val="single" w:sz="4" w:color="E4E1D9"/>
        <w:insideH w:val="single" w:sz="4" w:color="E4E1D9"/>
        <w:insideV w:val="single" w:sz="4" w:color="E4E1D9"/>
      </w:tblBorders>
    </w:tblPr>
    <w:tblStylePr w:type="firstRow">
      <w:tcPr>
        <w:tcPr>
          <w:shd w:val="clear" w:fill="0B0B0B"/>
        </w:tcPr>
      </w:tcPr>
    </w:tblStylePr>
  </w:style>
  <w:style w:type="paragraph" w:customStyle="1" w:styleId="body">
    <w:name w:val="body"/>
    <w:basedOn w:val="Normal"/>
    <w:pPr>
      <w:spacing w:after="100" w:line="276" w:lineRule="auto"/>
    </w:pPr>
  </w:style>
  <w:style w:type="character">
    <w:name w:val="small"/>
    <w:rPr>
      <w:color w:val="6B6B66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hyperlink" Target="https://community.citrix.com/tech-zone/build/tech-papers/citrix-vdi-handbook-design/" TargetMode="External"/><Relationship Id="rId12" Type="http://schemas.openxmlformats.org/officeDocument/2006/relationships/hyperlink" Target="https://community.citrix.com/tech-zone/design/design-decisions/local-host-cache-sizing-scaling/" TargetMode="External"/><Relationship Id="rId13" Type="http://schemas.openxmlformats.org/officeDocument/2006/relationships/hyperlink" Target="https://docs.citrix.com/en-us/citrix-virtual-apps-desktops/2607-ltsr/director/data-retention.html" TargetMode="External"/><Relationship Id="rId14" Type="http://schemas.openxmlformats.org/officeDocument/2006/relationships/hyperlink" Target="https://docs.citrix.com/en-us/storefront/current-release/get-started/system-requirements.html" TargetMode="External"/><Relationship Id="rId15" Type="http://schemas.openxmlformats.org/officeDocument/2006/relationships/hyperlink" Target="https://docs.citrix.com/en-us/storefront/current-release/manage-deployment/configure-server-group.html" TargetMode="External"/><Relationship Id="rId16" Type="http://schemas.openxmlformats.org/officeDocument/2006/relationships/hyperlink" Target="https://docs.citrix.com/en-us/storefront/current-release/get-started/plan.html" TargetMode="External"/><Relationship Id="rId17" Type="http://schemas.openxmlformats.org/officeDocument/2006/relationships/hyperlink" Target="https://docs.citrix.com/en-us/licensing/current-release/system-requirements.html" TargetMode="External"/><Relationship Id="rId18" Type="http://schemas.openxmlformats.org/officeDocument/2006/relationships/hyperlink" Target="https://docs.citrix.com/en-us/advanced-concepts/implementation-guides/database-sizing-guidance-for-xendesktop-7-6.html" TargetMode="External"/><Relationship Id="rId19" Type="http://schemas.openxmlformats.org/officeDocument/2006/relationships/hyperlink" Target="https://docs.citrix.com/en-us/tech-zone/design/downloads/citrix-federated-authentication-service-scalability.pdf" TargetMode="External"/><Relationship Id="rId20" Type="http://schemas.openxmlformats.org/officeDocument/2006/relationships/hyperlink" Target="https://docs.citrix.com/en-us/workspace-environment-management/2607/system-requirements" TargetMode="External"/><Relationship Id="rId21" Type="http://schemas.openxmlformats.org/officeDocument/2006/relationships/hyperlink" Target="https://docs.citrix.com/en-us/workspace-environment-management/2607/install-and-configure/scale-and-size-deploy-considerations" TargetMode="External"/><Relationship Id="rId22" Type="http://schemas.openxmlformats.org/officeDocument/2006/relationships/hyperlink" Target="https://community.citrix.com/tech-zone/design/design-decisions/single-server-scalability/" TargetMode="External"/><Relationship Id="rId23" Type="http://schemas.openxmlformats.org/officeDocument/2006/relationships/hyperlink" Target="https://docs.citrix.com/en-us/citrix-virtual-apps-desktops/install-configure/machine-catalogs-create.html" TargetMode="External"/><Relationship Id="rId24" Type="http://schemas.openxmlformats.org/officeDocument/2006/relationships/hyperlink" Target="https://docs.citrix.com/en-us/profile-management/current-release/configure/vhd-disk-compaction.html" TargetMode="External"/><Relationship Id="rId25" Type="http://schemas.openxmlformats.org/officeDocument/2006/relationships/hyperlink" Target="https://community.citrix.com/tech-zone/design/design-decisions/cvad-bandwidth-estimate/" TargetMode="External"/><Relationship Id="rId26" Type="http://schemas.openxmlformats.org/officeDocument/2006/relationships/hyperlink" Target="https://docs.citrix.com/en-us/citrix-virtual-apps-desktops/multimedia/opt-ms-teams.html" TargetMode="External"/><Relationship Id="rId27" Type="http://schemas.openxmlformats.org/officeDocument/2006/relationships/hyperlink" Target="https://docs.citrix.com/en-us/citrix-virtual-apps-desktops/policies/reference/load-management-policy-settings.html" TargetMode="External"/><Relationship Id="rId28" Type="http://schemas.openxmlformats.org/officeDocument/2006/relationships/hyperlink" Target="https://docs.citrix.com/en-us/citrix-daas/manage-deployment/autoscale/schedule-based-and-load-based-settings.html" TargetMode="External"/><Relationship Id="rId29" Type="http://schemas.openxmlformats.org/officeDocument/2006/relationships/hyperlink" Target="https://docs.citrix.com/en-us/xenmobile/server/system-requirements.html" TargetMode="External"/><Relationship Id="rId30" Type="http://schemas.openxmlformats.org/officeDocument/2006/relationships/hyperlink" Target="https://docs.citrix.com/en-us/xenmobile/server/system-requirements/scalability.html" TargetMode="External"/><Relationship Id="rId31" Type="http://schemas.openxmlformats.org/officeDocument/2006/relationships/hyperlink" Target="https://docs.citrix.com/en-us/xenmobile/server/advanced-concepts/xenmobile-deployment/integrating-netscaler-gateway-and-netscaler.html" TargetMode="External"/><Relationship Id="rId32" Type="http://schemas.openxmlformats.org/officeDocument/2006/relationships/hyperlink" Target="https://docs.citrix.com/en-us/xenmobile/server/advanced-concepts/xenmobile-deployment/tuning-operations.html" TargetMode="External"/><Relationship Id="rId33" Type="http://schemas.openxmlformats.org/officeDocument/2006/relationships/hyperlink" Target="https://docs.citrix.com/en-us/xenmobile/server/whats-new/removed-features.html" TargetMode="External"/><Relationship Id="rId34" Type="http://schemas.openxmlformats.org/officeDocument/2006/relationships/hyperlink" Target="https://portal.nutanix.com/page/documents/details?targetId=Web-Console-Guide-Prism-v7_6:wc-replication-factor-2-c.html" TargetMode="External"/><Relationship Id="rId35" Type="http://schemas.openxmlformats.org/officeDocument/2006/relationships/hyperlink" Target="https://portal.nutanix.com/page/documents/details?targetId=Web-Console-Guide-Prism-v7_6:wc-usable-capacity-r.html" TargetMode="External"/><Relationship Id="rId36" Type="http://schemas.openxmlformats.org/officeDocument/2006/relationships/hyperlink" Target="https://portal.nutanix.com/page/solutions/Nutanix_Hybrid_Cloud_Reference_Architecture:nutanix-hybrid-cloud-compute-and-storage.html" TargetMode="External"/><Relationship Id="rId37" Type="http://schemas.openxmlformats.org/officeDocument/2006/relationships/hyperlink" Target="https://portal.nutanix.com/page/solutions/RA-2136-Citrix-DaaS-AMD-Windows-Desktops:cit-citrix-design-r.html" TargetMode="External"/><Relationship Id="rId38" Type="http://schemas.openxmlformats.org/officeDocument/2006/relationships/hyperlink" Target="https://portal.nutanix.com/page/solutions/BP-2079-Citrix-Virtual-Apps-and-Desktops:citrix-on-nutanix-storage-configuration.html" TargetMode="External"/><Relationship Id="rId39" Type="http://schemas.openxmlformats.org/officeDocument/2006/relationships/hyperlink" Target="https://portal.nutanix.com/page/documents/details?targetId=Field-Installation-Guide-v5_0:fie-cvm-cpu-allocation.html" TargetMode="External"/><Relationship Id="rId40" Type="http://schemas.openxmlformats.org/officeDocument/2006/relationships/header" Target="header4.xml"/><Relationship Id="rId41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Niyyasoft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Citrix Sizer by Niyyasoft</dc:creator>
  <dc:title>Citrix sizing report - Workspace modernisation 2027</dc:title>
  <dc:description/>
  <dc:subject>Northwind Health (demo)</dc:subject>
  <cp:keywords/>
  <cp:category/>
  <cp:lastModifiedBy/>
  <dcterms:created xsi:type="dcterms:W3CDTF">2026-10-02T05:33:34+00:00</dcterms:created>
  <dcterms:modified xsi:type="dcterms:W3CDTF">2026-10-02T05:33:34+00:00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