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40"/>
      </w:pPr>
      <w:r>
        <w:rPr>
          <w:b/>
          <w:sz w:val="20"/>
          <w:color w:val="2C5C86"/>
        </w:rPr>
        <w:t xml:space="preserve">NIYYA SOFTWARE</w:t>
      </w:r>
    </w:p>
    <w:p>
      <w:pPr>
        <w:pStyle w:val="Title"/>
      </w:pPr>
      <w:r>
        <w:t xml:space="preserve">HQ internet edge refresh</w:t>
      </w:r>
    </w:p>
    <w:p>
      <w:pPr>
        <w:pStyle w:val="Subtitle"/>
      </w:pPr>
      <w:r>
        <w:t xml:space="preserve">Firewall selection and design document</w:t>
      </w:r>
    </w:p>
    <w:tbl>
      <w:tblPr>
        <w:tblStyle w:val="F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2820"/>
        <w:gridCol w:w="6580"/>
      </w:tblGrid>
      <w:tr>
        <w:tc>
          <w:tcPr>
            <w:tcW w:w="1500" w:type="pct"/>
            <w:shd w:val="clear" w:color="auto" w:fill="F4F7FA"/>
            <w:vAlign w:val="center"/>
          </w:tcPr>
          <w:p>
            <w:pPr>
              <w:spacing w:after="40"/>
              <w:shd w:val="clear" w:color="auto" w:fill="F4F7FA"/>
            </w:pPr>
            <w:r>
              <w:rPr>
                <w:b/>
                <w:sz w:val="19"/>
              </w:rPr>
              <w:t xml:space="preserve">Customer</w:t>
            </w:r>
          </w:p>
        </w:tc>
        <w:tc>
          <w:tcPr>
            <w:tcW w:w="3500" w:type="pct"/>
            <w:vAlign w:val="center"/>
          </w:tcPr>
          <w:p>
            <w:pPr>
              <w:spacing w:after="40"/>
            </w:pPr>
            <w:r>
              <w:rPr>
                <w:sz w:val="19"/>
              </w:rPr>
              <w:t xml:space="preserve">Niyyasoft</w:t>
            </w:r>
          </w:p>
        </w:tc>
      </w:tr>
      <w:tr>
        <w:tc>
          <w:tcPr>
            <w:tcW w:w="1500" w:type="pct"/>
            <w:shd w:val="clear" w:color="auto" w:fill="F4F7FA"/>
            <w:vAlign w:val="center"/>
          </w:tcPr>
          <w:p>
            <w:pPr>
              <w:spacing w:after="40"/>
              <w:shd w:val="clear" w:color="auto" w:fill="F4F7FA"/>
            </w:pPr>
            <w:r>
              <w:rPr>
                <w:b/>
                <w:sz w:val="19"/>
              </w:rPr>
              <w:t xml:space="preserve">Site</w:t>
            </w:r>
          </w:p>
        </w:tc>
        <w:tc>
          <w:tcPr>
            <w:tcW w:w="3500" w:type="pct"/>
            <w:vAlign w:val="center"/>
          </w:tcPr>
          <w:p>
            <w:pPr>
              <w:spacing w:after="40"/>
            </w:pPr>
            <w:r>
              <w:rPr>
                <w:sz w:val="19"/>
              </w:rPr>
              <w:t xml:space="preserve">Riyadh HQ</w:t>
            </w:r>
          </w:p>
        </w:tc>
      </w:tr>
      <w:tr>
        <w:tc>
          <w:tcPr>
            <w:tcW w:w="1500" w:type="pct"/>
            <w:shd w:val="clear" w:color="auto" w:fill="F4F7FA"/>
            <w:vAlign w:val="center"/>
          </w:tcPr>
          <w:p>
            <w:pPr>
              <w:spacing w:after="40"/>
              <w:shd w:val="clear" w:color="auto" w:fill="F4F7FA"/>
            </w:pPr>
            <w:r>
              <w:rPr>
                <w:b/>
                <w:sz w:val="19"/>
              </w:rPr>
              <w:t xml:space="preserve">Prepared by</w:t>
            </w:r>
          </w:p>
        </w:tc>
        <w:tc>
          <w:tcPr>
            <w:tcW w:w="3500" w:type="pct"/>
            <w:vAlign w:val="center"/>
          </w:tcPr>
          <w:p>
            <w:pPr>
              <w:spacing w:after="40"/>
            </w:pPr>
            <w:r>
              <w:rPr>
                <w:sz w:val="19"/>
              </w:rPr>
              <w:t xml:space="preserve">Niyyasoft</w:t>
            </w:r>
          </w:p>
        </w:tc>
      </w:tr>
      <w:tr>
        <w:tc>
          <w:tcPr>
            <w:tcW w:w="1500" w:type="pct"/>
            <w:shd w:val="clear" w:color="auto" w:fill="F4F7FA"/>
            <w:vAlign w:val="center"/>
          </w:tcPr>
          <w:p>
            <w:pPr>
              <w:spacing w:after="40"/>
              <w:shd w:val="clear" w:color="auto" w:fill="F4F7FA"/>
            </w:pPr>
            <w:r>
              <w:rPr>
                <w:b/>
                <w:sz w:val="19"/>
              </w:rPr>
              <w:t xml:space="preserve">Date</w:t>
            </w:r>
          </w:p>
        </w:tc>
        <w:tc>
          <w:tcPr>
            <w:tcW w:w="3500" w:type="pct"/>
            <w:vAlign w:val="center"/>
          </w:tcPr>
          <w:p>
            <w:pPr>
              <w:spacing w:after="40"/>
            </w:pPr>
            <w:r>
              <w:rPr>
                <w:sz w:val="19"/>
              </w:rPr>
              <w:t xml:space="preserve">20 September 2026</w:t>
            </w:r>
          </w:p>
        </w:tc>
      </w:tr>
      <w:tr>
        <w:tc>
          <w:tcPr>
            <w:tcW w:w="1500" w:type="pct"/>
            <w:shd w:val="clear" w:color="auto" w:fill="F4F7FA"/>
            <w:vAlign w:val="center"/>
          </w:tcPr>
          <w:p>
            <w:pPr>
              <w:spacing w:after="40"/>
              <w:shd w:val="clear" w:color="auto" w:fill="F4F7FA"/>
            </w:pPr>
            <w:r>
              <w:rPr>
                <w:b/>
                <w:sz w:val="19"/>
              </w:rPr>
              <w:t xml:space="preserve">Recommended platform</w:t>
            </w:r>
          </w:p>
        </w:tc>
        <w:tc>
          <w:tcPr>
            <w:tcW w:w="3500" w:type="pct"/>
            <w:vAlign w:val="center"/>
          </w:tcPr>
          <w:p>
            <w:pPr>
              <w:spacing w:after="40"/>
            </w:pPr>
            <w:r>
              <w:rPr>
                <w:sz w:val="19"/>
              </w:rPr>
              <w:t xml:space="preserve">2x Cisco Secure Firewall 3105 (8 Gbps threat protection, 1U Rack)</w:t>
            </w:r>
          </w:p>
        </w:tc>
      </w:tr>
    </w:tbl>
    <w:p>
      <w:pPr>
        <w:spacing w:after="160"/>
      </w:pPr>
    </w:p>
    <w:p>
      <w:pPr>
        <w:pStyle w:val="Heading1"/>
      </w:pPr>
      <w:r>
        <w:t xml:space="preserve">1. Executive summary</w:t>
      </w:r>
    </w:p>
    <w:p>
      <w:r>
        <w:t xml:space="preserve">For Niyyasoft at Riyadh HQ we recommend 2 units of the Cisco Secure Firewall 3105, deployed as an active/passive high-availability pair. The design requires 3.7 Gbps of threat-protection throughput once growth and headroom are applied; the Secure Firewall 3105 is rated at 8 Gbps, which puts it at approximately 46% of its capacity on day one. TLS decryption on 40% of traffic has been accounted for separately, as it is the single largest performance cost on any next-generation firewall.</w:t>
      </w:r>
    </w:p>
    <w:p>
      <w:pPr>
        <w:pStyle w:val="Heading1"/>
      </w:pPr>
      <w:r>
        <w:t xml:space="preserve">2. Requirements captured</w:t>
      </w:r>
    </w:p>
    <w:p>
      <w:r>
        <w:t xml:space="preserve">These are the inputs the sizing is based on. If any of them change materially, the model recommendation should be re-run.</w:t>
      </w:r>
    </w:p>
    <w:tbl>
      <w:tblPr>
        <w:tblStyle w:val="F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3760"/>
        <w:gridCol w:w="5640"/>
      </w:tblGrid>
      <w:tr>
        <w:trPr>
          <w:tblHeader/>
        </w:trPr>
        <w:tc>
          <w:tcPr>
            <w:tcW w:w="2000" w:type="pct"/>
            <w:shd w:val="clear" w:color="auto" w:fill="1F3B57"/>
            <w:vAlign w:val="center"/>
          </w:tcPr>
          <w:p>
            <w:pPr>
              <w:spacing w:after="40"/>
              <w:shd w:val="clear" w:color="auto" w:fill="1F3B57"/>
            </w:pPr>
            <w:r>
              <w:rPr>
                <w:b/>
                <w:sz w:val="19"/>
                <w:color w:val="FFFFFF"/>
              </w:rPr>
              <w:t xml:space="preserve">Requirement</w:t>
            </w:r>
          </w:p>
        </w:tc>
        <w:tc>
          <w:tcPr>
            <w:tcW w:w="3000" w:type="pct"/>
            <w:shd w:val="clear" w:color="auto" w:fill="1F3B57"/>
            <w:vAlign w:val="center"/>
          </w:tcPr>
          <w:p>
            <w:pPr>
              <w:spacing w:after="40"/>
              <w:shd w:val="clear" w:color="auto" w:fill="1F3B57"/>
            </w:pPr>
            <w:r>
              <w:rPr>
                <w:b/>
                <w:sz w:val="19"/>
                <w:color w:val="FFFFFF"/>
              </w:rPr>
              <w:t xml:space="preserve">Value</w:t>
            </w:r>
          </w:p>
        </w:tc>
      </w:tr>
      <w:tr>
        <w:tc>
          <w:tcPr>
            <w:tcW w:w="2000" w:type="pct"/>
            <w:shd w:val="clear" w:color="auto" w:fill="F4F7FA"/>
            <w:vAlign w:val="center"/>
          </w:tcPr>
          <w:p>
            <w:pPr>
              <w:spacing w:after="40"/>
              <w:shd w:val="clear" w:color="auto" w:fill="F4F7FA"/>
            </w:pPr>
            <w:r>
              <w:rPr>
                <w:b/>
                <w:sz w:val="19"/>
              </w:rPr>
              <w:t xml:space="preserve">Deployment role</w:t>
            </w:r>
          </w:p>
        </w:tc>
        <w:tc>
          <w:tcPr>
            <w:tcW w:w="3000" w:type="pct"/>
            <w:vAlign w:val="center"/>
          </w:tcPr>
          <w:p>
            <w:pPr>
              <w:spacing w:after="40"/>
            </w:pPr>
            <w:r>
              <w:rPr>
                <w:sz w:val="19"/>
              </w:rPr>
              <w:t xml:space="preserve">Campus or HQ internet edge</w:t>
            </w:r>
          </w:p>
        </w:tc>
      </w:tr>
      <w:tr>
        <w:tc>
          <w:tcPr>
            <w:tcW w:w="2000" w:type="pct"/>
            <w:shd w:val="clear" w:color="auto" w:fill="F4F7FA"/>
            <w:vAlign w:val="center"/>
          </w:tcPr>
          <w:p>
            <w:pPr>
              <w:spacing w:after="40"/>
              <w:shd w:val="clear" w:color="auto" w:fill="F4F7FA"/>
            </w:pPr>
            <w:r>
              <w:rPr>
                <w:b/>
                <w:sz w:val="19"/>
              </w:rPr>
              <w:t xml:space="preserve">Protected users</w:t>
            </w:r>
          </w:p>
        </w:tc>
        <w:tc>
          <w:tcPr>
            <w:tcW w:w="3000" w:type="pct"/>
            <w:vAlign w:val="center"/>
          </w:tcPr>
          <w:p>
            <w:pPr>
              <w:spacing w:after="40"/>
            </w:pPr>
            <w:r>
              <w:rPr>
                <w:sz w:val="19"/>
              </w:rPr>
              <w:t xml:space="preserve">1,200</w:t>
            </w:r>
          </w:p>
        </w:tc>
      </w:tr>
      <w:tr>
        <w:tc>
          <w:tcPr>
            <w:tcW w:w="2000" w:type="pct"/>
            <w:shd w:val="clear" w:color="auto" w:fill="F4F7FA"/>
            <w:vAlign w:val="center"/>
          </w:tcPr>
          <w:p>
            <w:pPr>
              <w:spacing w:after="40"/>
              <w:shd w:val="clear" w:color="auto" w:fill="F4F7FA"/>
            </w:pPr>
            <w:r>
              <w:rPr>
                <w:b/>
                <w:sz w:val="19"/>
              </w:rPr>
              <w:t xml:space="preserve">User traffic profile</w:t>
            </w:r>
          </w:p>
        </w:tc>
        <w:tc>
          <w:tcPr>
            <w:tcW w:w="3000" w:type="pct"/>
            <w:vAlign w:val="center"/>
          </w:tcPr>
          <w:p>
            <w:pPr>
              <w:spacing w:after="40"/>
            </w:pPr>
            <w:r>
              <w:rPr>
                <w:sz w:val="19"/>
              </w:rPr>
              <w:t xml:space="preserve">Standard - SaaS, Teams/Zoom voice, file sync</w:t>
            </w:r>
          </w:p>
        </w:tc>
      </w:tr>
      <w:tr>
        <w:tc>
          <w:tcPr>
            <w:tcW w:w="2000" w:type="pct"/>
            <w:shd w:val="clear" w:color="auto" w:fill="F4F7FA"/>
            <w:vAlign w:val="center"/>
          </w:tcPr>
          <w:p>
            <w:pPr>
              <w:spacing w:after="40"/>
              <w:shd w:val="clear" w:color="auto" w:fill="F4F7FA"/>
            </w:pPr>
            <w:r>
              <w:rPr>
                <w:b/>
                <w:sz w:val="19"/>
              </w:rPr>
              <w:t xml:space="preserve">Internet circuit</w:t>
            </w:r>
          </w:p>
        </w:tc>
        <w:tc>
          <w:tcPr>
            <w:tcW w:w="3000" w:type="pct"/>
            <w:vAlign w:val="center"/>
          </w:tcPr>
          <w:p>
            <w:pPr>
              <w:spacing w:after="40"/>
            </w:pPr>
            <w:r>
              <w:rPr>
                <w:sz w:val="19"/>
              </w:rPr>
              <w:t xml:space="preserve">2,000 Mbps</w:t>
            </w:r>
          </w:p>
        </w:tc>
      </w:tr>
      <w:tr>
        <w:tc>
          <w:tcPr>
            <w:tcW w:w="2000" w:type="pct"/>
            <w:shd w:val="clear" w:color="auto" w:fill="F4F7FA"/>
            <w:vAlign w:val="center"/>
          </w:tcPr>
          <w:p>
            <w:pPr>
              <w:spacing w:after="40"/>
              <w:shd w:val="clear" w:color="auto" w:fill="F4F7FA"/>
            </w:pPr>
            <w:r>
              <w:rPr>
                <w:b/>
                <w:sz w:val="19"/>
              </w:rPr>
              <w:t xml:space="preserve">Internal traffic to inspect</w:t>
            </w:r>
          </w:p>
        </w:tc>
        <w:tc>
          <w:tcPr>
            <w:tcW w:w="3000" w:type="pct"/>
            <w:vAlign w:val="center"/>
          </w:tcPr>
          <w:p>
            <w:pPr>
              <w:spacing w:after="40"/>
            </w:pPr>
            <w:r>
              <w:rPr>
                <w:sz w:val="19"/>
              </w:rPr>
              <w:t xml:space="preserve">None</w:t>
            </w:r>
          </w:p>
        </w:tc>
      </w:tr>
      <w:tr>
        <w:tc>
          <w:tcPr>
            <w:tcW w:w="2000" w:type="pct"/>
            <w:shd w:val="clear" w:color="auto" w:fill="F4F7FA"/>
            <w:vAlign w:val="center"/>
          </w:tcPr>
          <w:p>
            <w:pPr>
              <w:spacing w:after="40"/>
              <w:shd w:val="clear" w:color="auto" w:fill="F4F7FA"/>
            </w:pPr>
            <w:r>
              <w:rPr>
                <w:b/>
                <w:sz w:val="19"/>
              </w:rPr>
              <w:t xml:space="preserve">TLS decryption</w:t>
            </w:r>
          </w:p>
        </w:tc>
        <w:tc>
          <w:tcPr>
            <w:tcW w:w="3000" w:type="pct"/>
            <w:vAlign w:val="center"/>
          </w:tcPr>
          <w:p>
            <w:pPr>
              <w:spacing w:after="40"/>
            </w:pPr>
            <w:r>
              <w:rPr>
                <w:sz w:val="19"/>
              </w:rPr>
              <w:t xml:space="preserve">40% of traffic</w:t>
            </w:r>
          </w:p>
        </w:tc>
      </w:tr>
      <w:tr>
        <w:tc>
          <w:tcPr>
            <w:tcW w:w="2000" w:type="pct"/>
            <w:shd w:val="clear" w:color="auto" w:fill="F4F7FA"/>
            <w:vAlign w:val="center"/>
          </w:tcPr>
          <w:p>
            <w:pPr>
              <w:spacing w:after="40"/>
              <w:shd w:val="clear" w:color="auto" w:fill="F4F7FA"/>
            </w:pPr>
            <w:r>
              <w:rPr>
                <w:b/>
                <w:sz w:val="19"/>
              </w:rPr>
              <w:t xml:space="preserve">Site-to-site VPN tunnels</w:t>
            </w:r>
          </w:p>
        </w:tc>
        <w:tc>
          <w:tcPr>
            <w:tcW w:w="3000" w:type="pct"/>
            <w:vAlign w:val="center"/>
          </w:tcPr>
          <w:p>
            <w:pPr>
              <w:spacing w:after="40"/>
            </w:pPr>
            <w:r>
              <w:rPr>
                <w:sz w:val="19"/>
              </w:rPr>
              <w:t xml:space="preserve">18</w:t>
            </w:r>
          </w:p>
        </w:tc>
      </w:tr>
      <w:tr>
        <w:tc>
          <w:tcPr>
            <w:tcW w:w="2000" w:type="pct"/>
            <w:shd w:val="clear" w:color="auto" w:fill="F4F7FA"/>
            <w:vAlign w:val="center"/>
          </w:tcPr>
          <w:p>
            <w:pPr>
              <w:spacing w:after="40"/>
              <w:shd w:val="clear" w:color="auto" w:fill="F4F7FA"/>
            </w:pPr>
            <w:r>
              <w:rPr>
                <w:b/>
                <w:sz w:val="19"/>
              </w:rPr>
              <w:t xml:space="preserve">Remote-access users</w:t>
            </w:r>
          </w:p>
        </w:tc>
        <w:tc>
          <w:tcPr>
            <w:tcW w:w="3000" w:type="pct"/>
            <w:vAlign w:val="center"/>
          </w:tcPr>
          <w:p>
            <w:pPr>
              <w:spacing w:after="40"/>
            </w:pPr>
            <w:r>
              <w:rPr>
                <w:sz w:val="19"/>
              </w:rPr>
              <w:t xml:space="preserve">400</w:t>
            </w:r>
          </w:p>
        </w:tc>
      </w:tr>
      <w:tr>
        <w:tc>
          <w:tcPr>
            <w:tcW w:w="2000" w:type="pct"/>
            <w:shd w:val="clear" w:color="auto" w:fill="F4F7FA"/>
            <w:vAlign w:val="center"/>
          </w:tcPr>
          <w:p>
            <w:pPr>
              <w:spacing w:after="40"/>
              <w:shd w:val="clear" w:color="auto" w:fill="F4F7FA"/>
            </w:pPr>
            <w:r>
              <w:rPr>
                <w:b/>
                <w:sz w:val="19"/>
              </w:rPr>
              <w:t xml:space="preserve">High availability</w:t>
            </w:r>
          </w:p>
        </w:tc>
        <w:tc>
          <w:tcPr>
            <w:tcW w:w="3000" w:type="pct"/>
            <w:vAlign w:val="center"/>
          </w:tcPr>
          <w:p>
            <w:pPr>
              <w:spacing w:after="40"/>
            </w:pPr>
            <w:r>
              <w:rPr>
                <w:sz w:val="19"/>
              </w:rPr>
              <w:t xml:space="preserve">Active/Passive pair</w:t>
            </w:r>
          </w:p>
        </w:tc>
      </w:tr>
      <w:tr>
        <w:tc>
          <w:tcPr>
            <w:tcW w:w="2000" w:type="pct"/>
            <w:shd w:val="clear" w:color="auto" w:fill="F4F7FA"/>
            <w:vAlign w:val="center"/>
          </w:tcPr>
          <w:p>
            <w:pPr>
              <w:spacing w:after="40"/>
              <w:shd w:val="clear" w:color="auto" w:fill="F4F7FA"/>
            </w:pPr>
            <w:r>
              <w:rPr>
                <w:b/>
                <w:sz w:val="19"/>
              </w:rPr>
              <w:t xml:space="preserve">Growth allowance</w:t>
            </w:r>
          </w:p>
        </w:tc>
        <w:tc>
          <w:tcPr>
            <w:tcW w:w="3000" w:type="pct"/>
            <w:vAlign w:val="center"/>
          </w:tcPr>
          <w:p>
            <w:pPr>
              <w:spacing w:after="40"/>
            </w:pPr>
            <w:r>
              <w:rPr>
                <w:sz w:val="19"/>
              </w:rPr>
              <w:t xml:space="preserve">30%</w:t>
            </w:r>
          </w:p>
        </w:tc>
      </w:tr>
      <w:tr>
        <w:tc>
          <w:tcPr>
            <w:tcW w:w="2000" w:type="pct"/>
            <w:shd w:val="clear" w:color="auto" w:fill="F4F7FA"/>
            <w:vAlign w:val="center"/>
          </w:tcPr>
          <w:p>
            <w:pPr>
              <w:spacing w:after="40"/>
              <w:shd w:val="clear" w:color="auto" w:fill="F4F7FA"/>
            </w:pPr>
            <w:r>
              <w:rPr>
                <w:b/>
                <w:sz w:val="19"/>
              </w:rPr>
              <w:t xml:space="preserve">Design headroom</w:t>
            </w:r>
          </w:p>
        </w:tc>
        <w:tc>
          <w:tcPr>
            <w:tcW w:w="3000" w:type="pct"/>
            <w:vAlign w:val="center"/>
          </w:tcPr>
          <w:p>
            <w:pPr>
              <w:spacing w:after="40"/>
            </w:pPr>
            <w:r>
              <w:rPr>
                <w:sz w:val="19"/>
              </w:rPr>
              <w:t xml:space="preserve">30%</w:t>
            </w:r>
          </w:p>
        </w:tc>
      </w:tr>
      <w:tr>
        <w:tc>
          <w:tcPr>
            <w:tcW w:w="2000" w:type="pct"/>
            <w:shd w:val="clear" w:color="auto" w:fill="F4F7FA"/>
            <w:vAlign w:val="center"/>
          </w:tcPr>
          <w:p>
            <w:pPr>
              <w:spacing w:after="40"/>
              <w:shd w:val="clear" w:color="auto" w:fill="F4F7FA"/>
            </w:pPr>
            <w:r>
              <w:rPr>
                <w:b/>
                <w:sz w:val="19"/>
              </w:rPr>
              <w:t xml:space="preserve">Required threat throughput</w:t>
            </w:r>
          </w:p>
        </w:tc>
        <w:tc>
          <w:tcPr>
            <w:tcW w:w="3000" w:type="pct"/>
            <w:vAlign w:val="center"/>
          </w:tcPr>
          <w:p>
            <w:pPr>
              <w:spacing w:after="40"/>
            </w:pPr>
            <w:r>
              <w:rPr>
                <w:sz w:val="19"/>
              </w:rPr>
              <w:t xml:space="preserve">3.7 Gbps</w:t>
            </w:r>
          </w:p>
        </w:tc>
      </w:tr>
      <w:tr>
        <w:tc>
          <w:tcPr>
            <w:tcW w:w="2000" w:type="pct"/>
            <w:shd w:val="clear" w:color="auto" w:fill="F4F7FA"/>
            <w:vAlign w:val="center"/>
          </w:tcPr>
          <w:p>
            <w:pPr>
              <w:spacing w:after="40"/>
              <w:shd w:val="clear" w:color="auto" w:fill="F4F7FA"/>
            </w:pPr>
            <w:r>
              <w:rPr>
                <w:b/>
                <w:sz w:val="19"/>
              </w:rPr>
              <w:t xml:space="preserve">Required TLS throughput</w:t>
            </w:r>
          </w:p>
        </w:tc>
        <w:tc>
          <w:tcPr>
            <w:tcW w:w="3000" w:type="pct"/>
            <w:vAlign w:val="center"/>
          </w:tcPr>
          <w:p>
            <w:pPr>
              <w:spacing w:after="40"/>
            </w:pPr>
            <w:r>
              <w:rPr>
                <w:sz w:val="19"/>
              </w:rPr>
              <w:t xml:space="preserve">1.5 Gbps</w:t>
            </w:r>
          </w:p>
        </w:tc>
      </w:tr>
      <w:tr>
        <w:tc>
          <w:tcPr>
            <w:tcW w:w="2000" w:type="pct"/>
            <w:shd w:val="clear" w:color="auto" w:fill="F4F7FA"/>
            <w:vAlign w:val="center"/>
          </w:tcPr>
          <w:p>
            <w:pPr>
              <w:spacing w:after="40"/>
              <w:shd w:val="clear" w:color="auto" w:fill="F4F7FA"/>
            </w:pPr>
            <w:r>
              <w:rPr>
                <w:b/>
                <w:sz w:val="19"/>
              </w:rPr>
              <w:t xml:space="preserve">Required session table</w:t>
            </w:r>
          </w:p>
        </w:tc>
        <w:tc>
          <w:tcPr>
            <w:tcW w:w="3000" w:type="pct"/>
            <w:vAlign w:val="center"/>
          </w:tcPr>
          <w:p>
            <w:pPr>
              <w:spacing w:after="40"/>
            </w:pPr>
            <w:r>
              <w:rPr>
                <w:sz w:val="19"/>
              </w:rPr>
              <w:t xml:space="preserve">228K</w:t>
            </w:r>
          </w:p>
        </w:tc>
      </w:tr>
      <w:tr>
        <w:tc>
          <w:tcPr>
            <w:tcW w:w="2000" w:type="pct"/>
            <w:shd w:val="clear" w:color="auto" w:fill="F4F7FA"/>
            <w:vAlign w:val="center"/>
          </w:tcPr>
          <w:p>
            <w:pPr>
              <w:spacing w:after="40"/>
              <w:shd w:val="clear" w:color="auto" w:fill="F4F7FA"/>
            </w:pPr>
            <w:r>
              <w:rPr>
                <w:b/>
                <w:sz w:val="19"/>
              </w:rPr>
              <w:t xml:space="preserve">Security capabilities</w:t>
            </w:r>
          </w:p>
        </w:tc>
        <w:tc>
          <w:tcPr>
            <w:tcW w:w="3000" w:type="pct"/>
            <w:vAlign w:val="center"/>
          </w:tcPr>
          <w:p>
            <w:pPr>
              <w:spacing w:after="40"/>
            </w:pPr>
            <w:r>
              <w:rPr>
                <w:sz w:val="19"/>
              </w:rPr>
              <w:t xml:space="preserve">Intrusion prevention (IPS), Web / URL filtering, Sandboxing for unknown files, Remote-access VPN / ZTNA</w:t>
            </w:r>
          </w:p>
        </w:tc>
      </w:tr>
    </w:tbl>
    <w:p>
      <w:pPr>
        <w:spacing w:after="160"/>
      </w:pPr>
    </w:p>
    <w:p>
      <w:pPr>
        <w:pStyle w:val="Heading1"/>
      </w:pPr>
      <w:r>
        <w:t xml:space="preserve">3. How the size was calculated</w:t>
      </w:r>
    </w:p>
    <w:p>
      <w:r>
        <w:t xml:space="preserve">Each step below is applied in order. The result is the threat-protection throughput the appliance must sustain - not the raw firewall figure, which is always much higher and is not a safe basis for sizing.</w:t>
      </w:r>
    </w:p>
    <w:p>
      <w:pPr>
        <w:numPr>
          <w:ilvl w:val="0"/>
          <w:numId w:val="2"/>
        </w:numPr>
      </w:pPr>
      <w:r>
        <w:t xml:space="preserve">Internet circuit: 2,000 Mbps = 2 Gbps.</w:t>
      </w:r>
    </w:p>
    <w:p>
      <w:pPr>
        <w:numPr>
          <w:ilvl w:val="0"/>
          <w:numId w:val="2"/>
        </w:numPr>
      </w:pPr>
      <w:r>
        <w:t xml:space="preserve">1,200 users x 3 Mbps (standard profile) x 0.6 concurrency = 2.2 Gbps.</w:t>
      </w:r>
    </w:p>
    <w:p>
      <w:pPr>
        <w:numPr>
          <w:ilvl w:val="0"/>
          <w:numId w:val="2"/>
        </w:numPr>
      </w:pPr>
      <w:r>
        <w:t xml:space="preserve">Edge role - larger of circuit vs. user demand, plus internal traffic: 2.2 Gbps.</w:t>
      </w:r>
    </w:p>
    <w:p>
      <w:pPr>
        <w:numPr>
          <w:ilvl w:val="0"/>
          <w:numId w:val="2"/>
        </w:numPr>
      </w:pPr>
      <w:r>
        <w:t xml:space="preserve">Plus 30% growth over the contract term: 2.8 Gbps.</w:t>
      </w:r>
    </w:p>
    <w:p>
      <w:pPr>
        <w:numPr>
          <w:ilvl w:val="0"/>
          <w:numId w:val="2"/>
        </w:numPr>
      </w:pPr>
      <w:r>
        <w:t xml:space="preserve">Plus 30% design headroom: 3.7 Gbps of threat-protection throughput required.</w:t>
      </w:r>
    </w:p>
    <w:p>
      <w:pPr>
        <w:numPr>
          <w:ilvl w:val="0"/>
          <w:numId w:val="2"/>
        </w:numPr>
      </w:pPr>
      <w:r>
        <w:t xml:space="preserve">TLS decryption on 40% of traffic: 1.5 Gbps must fit the model TLS inspection figure.</w:t>
      </w:r>
    </w:p>
    <w:p>
      <w:pPr>
        <w:numPr>
          <w:ilvl w:val="0"/>
          <w:numId w:val="2"/>
        </w:numPr>
      </w:pPr>
      <w:r>
        <w:t xml:space="preserve">18 IPsec site tunnels: 913 Mbps of VPN throughput assumed.</w:t>
      </w:r>
    </w:p>
    <w:p>
      <w:pPr>
        <w:numPr>
          <w:ilvl w:val="0"/>
          <w:numId w:val="2"/>
        </w:numPr>
      </w:pPr>
      <w:r>
        <w:t xml:space="preserve">Session table: ~228K concurrent sessions and ~18K new connections/second.</w:t>
      </w:r>
    </w:p>
    <w:p>
      <w:pPr>
        <w:numPr>
          <w:ilvl w:val="0"/>
          <w:numId w:val="2"/>
        </w:numPr>
      </w:pPr>
      <w:r>
        <w:t xml:space="preserve">Active/passive HA - each node is sized to carry 100% of the load on its own.</w:t>
      </w:r>
    </w:p>
    <w:p>
      <w:pPr>
        <w:pStyle w:val="Heading1"/>
        <w:pageBreakBefore/>
      </w:pPr>
      <w:r>
        <w:t xml:space="preserve">4. Recommended platform</w:t>
      </w:r>
    </w:p>
    <w:tbl>
      <w:tblPr>
        <w:tblStyle w:val="F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3760"/>
        <w:gridCol w:w="5640"/>
      </w:tblGrid>
      <w:tr>
        <w:trPr>
          <w:tblHeader/>
        </w:trPr>
        <w:tc>
          <w:tcPr>
            <w:tcW w:w="2000" w:type="pct"/>
            <w:shd w:val="clear" w:color="auto" w:fill="1F3B57"/>
            <w:vAlign w:val="center"/>
          </w:tcPr>
          <w:p>
            <w:pPr>
              <w:spacing w:after="40"/>
              <w:shd w:val="clear" w:color="auto" w:fill="1F3B57"/>
            </w:pPr>
            <w:r>
              <w:rPr>
                <w:b/>
                <w:sz w:val="19"/>
                <w:color w:val="FFFFFF"/>
              </w:rPr>
              <w:t xml:space="preserve">Attribute</w:t>
            </w:r>
          </w:p>
        </w:tc>
        <w:tc>
          <w:tcPr>
            <w:tcW w:w="3000" w:type="pct"/>
            <w:shd w:val="clear" w:color="auto" w:fill="1F3B57"/>
            <w:vAlign w:val="center"/>
          </w:tcPr>
          <w:p>
            <w:pPr>
              <w:spacing w:after="40"/>
              <w:shd w:val="clear" w:color="auto" w:fill="1F3B57"/>
            </w:pPr>
            <w:r>
              <w:rPr>
                <w:b/>
                <w:sz w:val="19"/>
                <w:color w:val="FFFFFF"/>
              </w:rPr>
              <w:t xml:space="preserve">Specification</w:t>
            </w:r>
          </w:p>
        </w:tc>
      </w:tr>
      <w:tr>
        <w:tc>
          <w:tcPr>
            <w:tcW w:w="2000" w:type="pct"/>
            <w:shd w:val="clear" w:color="auto" w:fill="F4F7FA"/>
            <w:vAlign w:val="center"/>
          </w:tcPr>
          <w:p>
            <w:pPr>
              <w:spacing w:after="40"/>
              <w:shd w:val="clear" w:color="auto" w:fill="F4F7FA"/>
            </w:pPr>
            <w:r>
              <w:rPr>
                <w:b/>
                <w:sz w:val="19"/>
              </w:rPr>
              <w:t xml:space="preserve">Vendor</w:t>
            </w:r>
          </w:p>
        </w:tc>
        <w:tc>
          <w:tcPr>
            <w:tcW w:w="3000" w:type="pct"/>
            <w:vAlign w:val="center"/>
          </w:tcPr>
          <w:p>
            <w:pPr>
              <w:spacing w:after="40"/>
            </w:pPr>
            <w:r>
              <w:rPr>
                <w:sz w:val="19"/>
              </w:rPr>
              <w:t xml:space="preserve">Cisco</w:t>
            </w:r>
          </w:p>
        </w:tc>
      </w:tr>
      <w:tr>
        <w:tc>
          <w:tcPr>
            <w:tcW w:w="2000" w:type="pct"/>
            <w:shd w:val="clear" w:color="auto" w:fill="F4F7FA"/>
            <w:vAlign w:val="center"/>
          </w:tcPr>
          <w:p>
            <w:pPr>
              <w:spacing w:after="40"/>
              <w:shd w:val="clear" w:color="auto" w:fill="F4F7FA"/>
            </w:pPr>
            <w:r>
              <w:rPr>
                <w:b/>
                <w:sz w:val="19"/>
              </w:rPr>
              <w:t xml:space="preserve">Operating system</w:t>
            </w:r>
          </w:p>
        </w:tc>
        <w:tc>
          <w:tcPr>
            <w:tcW w:w="3000" w:type="pct"/>
            <w:vAlign w:val="center"/>
          </w:tcPr>
          <w:p>
            <w:pPr>
              <w:spacing w:after="40"/>
            </w:pPr>
            <w:r>
              <w:rPr>
                <w:sz w:val="19"/>
              </w:rPr>
              <w:t xml:space="preserve">Secure Firewall Threat Defense (FTD) / Meraki MX</w:t>
            </w:r>
          </w:p>
        </w:tc>
      </w:tr>
      <w:tr>
        <w:tc>
          <w:tcPr>
            <w:tcW w:w="2000" w:type="pct"/>
            <w:shd w:val="clear" w:color="auto" w:fill="F4F7FA"/>
            <w:vAlign w:val="center"/>
          </w:tcPr>
          <w:p>
            <w:pPr>
              <w:spacing w:after="40"/>
              <w:shd w:val="clear" w:color="auto" w:fill="F4F7FA"/>
            </w:pPr>
            <w:r>
              <w:rPr>
                <w:b/>
                <w:sz w:val="19"/>
              </w:rPr>
              <w:t xml:space="preserve">Model</w:t>
            </w:r>
          </w:p>
        </w:tc>
        <w:tc>
          <w:tcPr>
            <w:tcW w:w="3000" w:type="pct"/>
            <w:vAlign w:val="center"/>
          </w:tcPr>
          <w:p>
            <w:pPr>
              <w:spacing w:after="40"/>
            </w:pPr>
            <w:r>
              <w:rPr>
                <w:sz w:val="19"/>
              </w:rPr>
              <w:t xml:space="preserve">Secure Firewall 3105</w:t>
            </w:r>
          </w:p>
        </w:tc>
      </w:tr>
      <w:tr>
        <w:tc>
          <w:tcPr>
            <w:tcW w:w="2000" w:type="pct"/>
            <w:shd w:val="clear" w:color="auto" w:fill="F4F7FA"/>
            <w:vAlign w:val="center"/>
          </w:tcPr>
          <w:p>
            <w:pPr>
              <w:spacing w:after="40"/>
              <w:shd w:val="clear" w:color="auto" w:fill="F4F7FA"/>
            </w:pPr>
            <w:r>
              <w:rPr>
                <w:b/>
                <w:sz w:val="19"/>
              </w:rPr>
              <w:t xml:space="preserve">Product family</w:t>
            </w:r>
          </w:p>
        </w:tc>
        <w:tc>
          <w:tcPr>
            <w:tcW w:w="3000" w:type="pct"/>
            <w:vAlign w:val="center"/>
          </w:tcPr>
          <w:p>
            <w:pPr>
              <w:spacing w:after="40"/>
            </w:pPr>
            <w:r>
              <w:rPr>
                <w:sz w:val="19"/>
              </w:rPr>
              <w:t xml:space="preserve">Secure Firewall 3100</w:t>
            </w:r>
          </w:p>
        </w:tc>
      </w:tr>
      <w:tr>
        <w:tc>
          <w:tcPr>
            <w:tcW w:w="2000" w:type="pct"/>
            <w:shd w:val="clear" w:color="auto" w:fill="F4F7FA"/>
            <w:vAlign w:val="center"/>
          </w:tcPr>
          <w:p>
            <w:pPr>
              <w:spacing w:after="40"/>
              <w:shd w:val="clear" w:color="auto" w:fill="F4F7FA"/>
            </w:pPr>
            <w:r>
              <w:rPr>
                <w:b/>
                <w:sz w:val="19"/>
              </w:rPr>
              <w:t xml:space="preserve">Form factor</w:t>
            </w:r>
          </w:p>
        </w:tc>
        <w:tc>
          <w:tcPr>
            <w:tcW w:w="3000" w:type="pct"/>
            <w:vAlign w:val="center"/>
          </w:tcPr>
          <w:p>
            <w:pPr>
              <w:spacing w:after="40"/>
            </w:pPr>
            <w:r>
              <w:rPr>
                <w:sz w:val="19"/>
              </w:rPr>
              <w:t xml:space="preserve">1U Rack</w:t>
            </w:r>
          </w:p>
        </w:tc>
      </w:tr>
      <w:tr>
        <w:tc>
          <w:tcPr>
            <w:tcW w:w="2000" w:type="pct"/>
            <w:shd w:val="clear" w:color="auto" w:fill="F4F7FA"/>
            <w:vAlign w:val="center"/>
          </w:tcPr>
          <w:p>
            <w:pPr>
              <w:spacing w:after="40"/>
              <w:shd w:val="clear" w:color="auto" w:fill="F4F7FA"/>
            </w:pPr>
            <w:r>
              <w:rPr>
                <w:b/>
                <w:sz w:val="19"/>
              </w:rPr>
              <w:t xml:space="preserve">Quantity</w:t>
            </w:r>
          </w:p>
        </w:tc>
        <w:tc>
          <w:tcPr>
            <w:tcW w:w="3000" w:type="pct"/>
            <w:vAlign w:val="center"/>
          </w:tcPr>
          <w:p>
            <w:pPr>
              <w:spacing w:after="40"/>
            </w:pPr>
            <w:r>
              <w:rPr>
                <w:sz w:val="19"/>
              </w:rPr>
              <w:t xml:space="preserve">2 units (HA pair)</w:t>
            </w:r>
          </w:p>
        </w:tc>
      </w:tr>
      <w:tr>
        <w:tc>
          <w:tcPr>
            <w:tcW w:w="2000" w:type="pct"/>
            <w:shd w:val="clear" w:color="auto" w:fill="F4F7FA"/>
            <w:vAlign w:val="center"/>
          </w:tcPr>
          <w:p>
            <w:pPr>
              <w:spacing w:after="40"/>
              <w:shd w:val="clear" w:color="auto" w:fill="F4F7FA"/>
            </w:pPr>
            <w:r>
              <w:rPr>
                <w:b/>
                <w:sz w:val="19"/>
              </w:rPr>
              <w:t xml:space="preserve">Firewall throughput</w:t>
            </w:r>
          </w:p>
        </w:tc>
        <w:tc>
          <w:tcPr>
            <w:tcW w:w="3000" w:type="pct"/>
            <w:vAlign w:val="center"/>
          </w:tcPr>
          <w:p>
            <w:pPr>
              <w:spacing w:after="40"/>
            </w:pPr>
            <w:r>
              <w:rPr>
                <w:sz w:val="19"/>
              </w:rPr>
              <w:t xml:space="preserve">12 Gbps</w:t>
            </w:r>
          </w:p>
        </w:tc>
      </w:tr>
      <w:tr>
        <w:tc>
          <w:tcPr>
            <w:tcW w:w="2000" w:type="pct"/>
            <w:shd w:val="clear" w:color="auto" w:fill="F4F7FA"/>
            <w:vAlign w:val="center"/>
          </w:tcPr>
          <w:p>
            <w:pPr>
              <w:spacing w:after="40"/>
              <w:shd w:val="clear" w:color="auto" w:fill="F4F7FA"/>
            </w:pPr>
            <w:r>
              <w:rPr>
                <w:b/>
                <w:sz w:val="19"/>
              </w:rPr>
              <w:t xml:space="preserve">Threat protection throughput</w:t>
            </w:r>
          </w:p>
        </w:tc>
        <w:tc>
          <w:tcPr>
            <w:tcW w:w="3000" w:type="pct"/>
            <w:vAlign w:val="center"/>
          </w:tcPr>
          <w:p>
            <w:pPr>
              <w:spacing w:after="40"/>
            </w:pPr>
            <w:r>
              <w:rPr>
                <w:sz w:val="19"/>
              </w:rPr>
              <w:t xml:space="preserve">8 Gbps</w:t>
            </w:r>
          </w:p>
        </w:tc>
      </w:tr>
      <w:tr>
        <w:tc>
          <w:tcPr>
            <w:tcW w:w="2000" w:type="pct"/>
            <w:shd w:val="clear" w:color="auto" w:fill="F4F7FA"/>
            <w:vAlign w:val="center"/>
          </w:tcPr>
          <w:p>
            <w:pPr>
              <w:spacing w:after="40"/>
              <w:shd w:val="clear" w:color="auto" w:fill="F4F7FA"/>
            </w:pPr>
            <w:r>
              <w:rPr>
                <w:b/>
                <w:sz w:val="19"/>
              </w:rPr>
              <w:t xml:space="preserve">IPsec VPN throughput</w:t>
            </w:r>
          </w:p>
        </w:tc>
        <w:tc>
          <w:tcPr>
            <w:tcW w:w="3000" w:type="pct"/>
            <w:vAlign w:val="center"/>
          </w:tcPr>
          <w:p>
            <w:pPr>
              <w:spacing w:after="40"/>
            </w:pPr>
            <w:r>
              <w:rPr>
                <w:sz w:val="19"/>
              </w:rPr>
              <w:t xml:space="preserve">6 Gbps</w:t>
            </w:r>
          </w:p>
        </w:tc>
      </w:tr>
      <w:tr>
        <w:tc>
          <w:tcPr>
            <w:tcW w:w="2000" w:type="pct"/>
            <w:shd w:val="clear" w:color="auto" w:fill="F4F7FA"/>
            <w:vAlign w:val="center"/>
          </w:tcPr>
          <w:p>
            <w:pPr>
              <w:spacing w:after="40"/>
              <w:shd w:val="clear" w:color="auto" w:fill="F4F7FA"/>
            </w:pPr>
            <w:r>
              <w:rPr>
                <w:b/>
                <w:sz w:val="19"/>
              </w:rPr>
              <w:t xml:space="preserve">TLS inspection throughput</w:t>
            </w:r>
          </w:p>
        </w:tc>
        <w:tc>
          <w:tcPr>
            <w:tcW w:w="3000" w:type="pct"/>
            <w:vAlign w:val="center"/>
          </w:tcPr>
          <w:p>
            <w:pPr>
              <w:spacing w:after="40"/>
            </w:pPr>
            <w:r>
              <w:rPr>
                <w:sz w:val="19"/>
              </w:rPr>
              <w:t xml:space="preserve">3 Gbps</w:t>
            </w:r>
          </w:p>
        </w:tc>
      </w:tr>
      <w:tr>
        <w:tc>
          <w:tcPr>
            <w:tcW w:w="2000" w:type="pct"/>
            <w:shd w:val="clear" w:color="auto" w:fill="F4F7FA"/>
            <w:vAlign w:val="center"/>
          </w:tcPr>
          <w:p>
            <w:pPr>
              <w:spacing w:after="40"/>
              <w:shd w:val="clear" w:color="auto" w:fill="F4F7FA"/>
            </w:pPr>
            <w:r>
              <w:rPr>
                <w:b/>
                <w:sz w:val="19"/>
              </w:rPr>
              <w:t xml:space="preserve">Concurrent sessions</w:t>
            </w:r>
          </w:p>
        </w:tc>
        <w:tc>
          <w:tcPr>
            <w:tcW w:w="3000" w:type="pct"/>
            <w:vAlign w:val="center"/>
          </w:tcPr>
          <w:p>
            <w:pPr>
              <w:spacing w:after="40"/>
            </w:pPr>
            <w:r>
              <w:rPr>
                <w:sz w:val="19"/>
              </w:rPr>
              <w:t xml:space="preserve">2M</w:t>
            </w:r>
          </w:p>
        </w:tc>
      </w:tr>
      <w:tr>
        <w:tc>
          <w:tcPr>
            <w:tcW w:w="2000" w:type="pct"/>
            <w:shd w:val="clear" w:color="auto" w:fill="F4F7FA"/>
            <w:vAlign w:val="center"/>
          </w:tcPr>
          <w:p>
            <w:pPr>
              <w:spacing w:after="40"/>
              <w:shd w:val="clear" w:color="auto" w:fill="F4F7FA"/>
            </w:pPr>
            <w:r>
              <w:rPr>
                <w:b/>
                <w:sz w:val="19"/>
              </w:rPr>
              <w:t xml:space="preserve">New connections / second</w:t>
            </w:r>
          </w:p>
        </w:tc>
        <w:tc>
          <w:tcPr>
            <w:tcW w:w="3000" w:type="pct"/>
            <w:vAlign w:val="center"/>
          </w:tcPr>
          <w:p>
            <w:pPr>
              <w:spacing w:after="40"/>
            </w:pPr>
            <w:r>
              <w:rPr>
                <w:sz w:val="19"/>
              </w:rPr>
              <w:t xml:space="preserve">110K</w:t>
            </w:r>
          </w:p>
        </w:tc>
      </w:tr>
      <w:tr>
        <w:tc>
          <w:tcPr>
            <w:tcW w:w="2000" w:type="pct"/>
            <w:shd w:val="clear" w:color="auto" w:fill="F4F7FA"/>
            <w:vAlign w:val="center"/>
          </w:tcPr>
          <w:p>
            <w:pPr>
              <w:spacing w:after="40"/>
              <w:shd w:val="clear" w:color="auto" w:fill="F4F7FA"/>
            </w:pPr>
            <w:r>
              <w:rPr>
                <w:b/>
                <w:sz w:val="19"/>
              </w:rPr>
              <w:t xml:space="preserve">Onboard interfaces</w:t>
            </w:r>
          </w:p>
        </w:tc>
        <w:tc>
          <w:tcPr>
            <w:tcW w:w="3000" w:type="pct"/>
            <w:vAlign w:val="center"/>
          </w:tcPr>
          <w:p>
            <w:pPr>
              <w:spacing w:after="40"/>
            </w:pPr>
            <w:r>
              <w:rPr>
                <w:sz w:val="19"/>
              </w:rPr>
              <w:t xml:space="preserve">8x GE RJ45, 8x 10G SFP+</w:t>
            </w:r>
          </w:p>
        </w:tc>
      </w:tr>
      <w:tr>
        <w:tc>
          <w:tcPr>
            <w:tcW w:w="2000" w:type="pct"/>
            <w:shd w:val="clear" w:color="auto" w:fill="F4F7FA"/>
            <w:vAlign w:val="center"/>
          </w:tcPr>
          <w:p>
            <w:pPr>
              <w:spacing w:after="40"/>
              <w:shd w:val="clear" w:color="auto" w:fill="F4F7FA"/>
            </w:pPr>
            <w:r>
              <w:rPr>
                <w:b/>
                <w:sz w:val="19"/>
              </w:rPr>
              <w:t xml:space="preserve">High availability</w:t>
            </w:r>
          </w:p>
        </w:tc>
        <w:tc>
          <w:tcPr>
            <w:tcW w:w="3000" w:type="pct"/>
            <w:vAlign w:val="center"/>
          </w:tcPr>
          <w:p>
            <w:pPr>
              <w:spacing w:after="40"/>
            </w:pPr>
            <w:r>
              <w:rPr>
                <w:sz w:val="19"/>
              </w:rPr>
              <w:t xml:space="preserve">Active/Passive</w:t>
            </w:r>
          </w:p>
        </w:tc>
      </w:tr>
      <w:tr>
        <w:tc>
          <w:tcPr>
            <w:tcW w:w="2000" w:type="pct"/>
            <w:shd w:val="clear" w:color="auto" w:fill="F4F7FA"/>
            <w:vAlign w:val="center"/>
          </w:tcPr>
          <w:p>
            <w:pPr>
              <w:spacing w:after="40"/>
              <w:shd w:val="clear" w:color="auto" w:fill="F4F7FA"/>
            </w:pPr>
            <w:r>
              <w:rPr>
                <w:b/>
                <w:sz w:val="19"/>
              </w:rPr>
              <w:t xml:space="preserve">Positioning</w:t>
            </w:r>
          </w:p>
        </w:tc>
        <w:tc>
          <w:tcPr>
            <w:tcW w:w="3000" w:type="pct"/>
            <w:vAlign w:val="center"/>
          </w:tcPr>
          <w:p>
            <w:pPr>
              <w:spacing w:after="40"/>
            </w:pPr>
            <w:r>
              <w:rPr>
                <w:sz w:val="19"/>
              </w:rPr>
              <w:t xml:space="preserve">Entry 3100 series.</w:t>
            </w:r>
          </w:p>
        </w:tc>
      </w:tr>
    </w:tbl>
    <w:p>
      <w:pPr>
        <w:spacing w:after="160"/>
      </w:pPr>
    </w:p>
    <w:p>
      <w:pPr>
        <w:pStyle w:val="Heading2"/>
      </w:pPr>
      <w:r>
        <w:t xml:space="preserve">Why this vendor</w:t>
      </w:r>
    </w:p>
    <w:p>
      <w:r>
        <w:t xml:space="preserve">Snort 3 IPS with Talos intelligence, deep integration with Cisco ISE, Duo, Umbrella and XDR. Meraki MX is the simplest option for distributed retail-style estates.</w:t>
      </w:r>
    </w:p>
    <w:p>
      <w:pPr>
        <w:pStyle w:val="Heading2"/>
      </w:pPr>
      <w:r>
        <w:t xml:space="preserve">What to watch</w:t>
      </w:r>
    </w:p>
    <w:p>
      <w:r>
        <w:t xml:space="preserve">Two very different product lines - FTD and Meraki MX do not share policy or management. Pick one per estate. FMC is an extra appliance or cloud tenant to licence.</w:t>
      </w:r>
    </w:p>
    <w:p>
      <w:pPr>
        <w:pStyle w:val="Heading2"/>
      </w:pPr>
      <w:r>
        <w:t xml:space="preserve">Alternative if more headroom is wanted</w:t>
      </w:r>
    </w:p>
    <w:p>
      <w:r>
        <w:t xml:space="preserve">The Secure Firewall 3110 is the next model up, rated at 17 Gbps of threat protection and 3M concurrent sessions. It is the safer choice if the user count or TLS decryption ratio is likely to rise within the contract term.</w:t>
      </w:r>
    </w:p>
    <w:p>
      <w:pPr>
        <w:pStyle w:val="Heading1"/>
      </w:pPr>
      <w:r>
        <w:t xml:space="preserve">5. Licensing and subscriptions</w:t>
      </w:r>
    </w:p>
    <w:p>
      <w:r>
        <w:t xml:space="preserve">FTD uses Cisco Smart Licensing: an Essentials base licence per device plus term subscriptions for IPS, Malware and URL. Meraki MX is different - an Enterprise or Advanced Security licence per appliance covers everything including support.</w:t>
      </w:r>
    </w:p>
    <w:tbl>
      <w:tblPr>
        <w:tblStyle w:val="F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2068"/>
        <w:gridCol w:w="1128"/>
        <w:gridCol w:w="3572"/>
        <w:gridCol w:w="2632"/>
      </w:tblGrid>
      <w:tr>
        <w:trPr>
          <w:tblHeader/>
        </w:trPr>
        <w:tc>
          <w:tcPr>
            <w:tcW w:w="1100" w:type="pct"/>
            <w:shd w:val="clear" w:color="auto" w:fill="1F3B57"/>
            <w:vAlign w:val="center"/>
          </w:tcPr>
          <w:p>
            <w:pPr>
              <w:spacing w:after="40"/>
              <w:shd w:val="clear" w:color="auto" w:fill="1F3B57"/>
            </w:pPr>
            <w:r>
              <w:rPr>
                <w:b/>
                <w:sz w:val="19"/>
                <w:color w:val="FFFFFF"/>
              </w:rPr>
              <w:t xml:space="preserve">Licence / subscription</w:t>
            </w:r>
          </w:p>
        </w:tc>
        <w:tc>
          <w:tcPr>
            <w:tcW w:w="600" w:type="pct"/>
            <w:shd w:val="clear" w:color="auto" w:fill="1F3B57"/>
            <w:vAlign w:val="center"/>
          </w:tcPr>
          <w:p>
            <w:pPr>
              <w:spacing w:after="40"/>
              <w:shd w:val="clear" w:color="auto" w:fill="1F3B57"/>
            </w:pPr>
            <w:r>
              <w:rPr>
                <w:b/>
                <w:sz w:val="19"/>
                <w:color w:val="FFFFFF"/>
              </w:rPr>
              <w:t xml:space="preserve">Type</w:t>
            </w:r>
          </w:p>
        </w:tc>
        <w:tc>
          <w:tcPr>
            <w:tcW w:w="1900" w:type="pct"/>
            <w:shd w:val="clear" w:color="auto" w:fill="1F3B57"/>
            <w:vAlign w:val="center"/>
          </w:tcPr>
          <w:p>
            <w:pPr>
              <w:spacing w:after="40"/>
              <w:shd w:val="clear" w:color="auto" w:fill="1F3B57"/>
            </w:pPr>
            <w:r>
              <w:rPr>
                <w:b/>
                <w:sz w:val="19"/>
                <w:color w:val="FFFFFF"/>
              </w:rPr>
              <w:t xml:space="preserve">What it covers</w:t>
            </w:r>
          </w:p>
        </w:tc>
        <w:tc>
          <w:tcPr>
            <w:tcW w:w="1400" w:type="pct"/>
            <w:shd w:val="clear" w:color="auto" w:fill="1F3B57"/>
            <w:vAlign w:val="center"/>
          </w:tcPr>
          <w:p>
            <w:pPr>
              <w:spacing w:after="40"/>
              <w:shd w:val="clear" w:color="auto" w:fill="1F3B57"/>
            </w:pPr>
            <w:r>
              <w:rPr>
                <w:b/>
                <w:sz w:val="19"/>
                <w:color w:val="FFFFFF"/>
              </w:rPr>
              <w:t xml:space="preserve">Why it is included</w:t>
            </w:r>
          </w:p>
        </w:tc>
      </w:tr>
      <w:tr>
        <w:tc>
          <w:tcPr>
            <w:tcW w:w="1100" w:type="pct"/>
            <w:vAlign w:val="center"/>
          </w:tcPr>
          <w:p>
            <w:pPr>
              <w:spacing w:after="40"/>
            </w:pPr>
            <w:r>
              <w:rPr>
                <w:sz w:val="19"/>
              </w:rPr>
              <w:t xml:space="preserve">Secure Firewall Essentials (base)</w:t>
            </w:r>
          </w:p>
        </w:tc>
        <w:tc>
          <w:tcPr>
            <w:tcW w:w="600" w:type="pct"/>
            <w:vAlign w:val="center"/>
          </w:tcPr>
          <w:p>
            <w:pPr>
              <w:spacing w:after="40"/>
            </w:pPr>
            <w:r>
              <w:rPr>
                <w:sz w:val="19"/>
              </w:rPr>
              <w:t xml:space="preserve">Subscription</w:t>
            </w:r>
          </w:p>
        </w:tc>
        <w:tc>
          <w:tcPr>
            <w:tcW w:w="1900" w:type="pct"/>
            <w:vAlign w:val="center"/>
          </w:tcPr>
          <w:p>
            <w:pPr>
              <w:spacing w:after="40"/>
            </w:pPr>
            <w:r>
              <w:rPr>
                <w:sz w:val="19"/>
              </w:rPr>
              <w:t xml:space="preserve">Stateful firewall, NAT, routing, application visibility, site-to-site VPN. Mandatory on every FTD device.</w:t>
            </w:r>
          </w:p>
        </w:tc>
        <w:tc>
          <w:tcPr>
            <w:tcW w:w="1400" w:type="pct"/>
            <w:vAlign w:val="center"/>
          </w:tcPr>
          <w:p>
            <w:pPr>
              <w:spacing w:after="40"/>
            </w:pPr>
            <w:r>
              <w:rPr>
                <w:sz w:val="19"/>
              </w:rPr>
              <w:t xml:space="preserve">Mandatory on every unit.</w:t>
            </w:r>
          </w:p>
        </w:tc>
      </w:tr>
      <w:tr>
        <w:tc>
          <w:tcPr>
            <w:tcW w:w="1100" w:type="pct"/>
            <w:vAlign w:val="center"/>
          </w:tcPr>
          <w:p>
            <w:pPr>
              <w:spacing w:after="40"/>
            </w:pPr>
            <w:r>
              <w:rPr>
                <w:sz w:val="19"/>
              </w:rPr>
              <w:t xml:space="preserve">IPS Subscription (Threat)</w:t>
            </w:r>
          </w:p>
        </w:tc>
        <w:tc>
          <w:tcPr>
            <w:tcW w:w="600" w:type="pct"/>
            <w:vAlign w:val="center"/>
          </w:tcPr>
          <w:p>
            <w:pPr>
              <w:spacing w:after="40"/>
            </w:pPr>
            <w:r>
              <w:rPr>
                <w:sz w:val="19"/>
              </w:rPr>
              <w:t xml:space="preserve">Subscription</w:t>
            </w:r>
          </w:p>
        </w:tc>
        <w:tc>
          <w:tcPr>
            <w:tcW w:w="1900" w:type="pct"/>
            <w:vAlign w:val="center"/>
          </w:tcPr>
          <w:p>
            <w:pPr>
              <w:spacing w:after="40"/>
            </w:pPr>
            <w:r>
              <w:rPr>
                <w:sz w:val="19"/>
              </w:rPr>
              <w:t xml:space="preserve">Snort 3 intrusion prevention with Talos rule updates.</w:t>
            </w:r>
          </w:p>
        </w:tc>
        <w:tc>
          <w:tcPr>
            <w:tcW w:w="1400" w:type="pct"/>
            <w:vAlign w:val="center"/>
          </w:tcPr>
          <w:p>
            <w:pPr>
              <w:spacing w:after="40"/>
            </w:pPr>
            <w:r>
              <w:rPr>
                <w:sz w:val="19"/>
              </w:rPr>
              <w:t xml:space="preserve">Mandatory on every unit.</w:t>
            </w:r>
          </w:p>
        </w:tc>
      </w:tr>
      <w:tr>
        <w:tc>
          <w:tcPr>
            <w:tcW w:w="1100" w:type="pct"/>
            <w:vAlign w:val="center"/>
          </w:tcPr>
          <w:p>
            <w:pPr>
              <w:spacing w:after="40"/>
            </w:pPr>
            <w:r>
              <w:rPr>
                <w:sz w:val="19"/>
              </w:rPr>
              <w:t xml:space="preserve">Malware Defense</w:t>
            </w:r>
          </w:p>
        </w:tc>
        <w:tc>
          <w:tcPr>
            <w:tcW w:w="600" w:type="pct"/>
            <w:vAlign w:val="center"/>
          </w:tcPr>
          <w:p>
            <w:pPr>
              <w:spacing w:after="40"/>
            </w:pPr>
            <w:r>
              <w:rPr>
                <w:sz w:val="19"/>
              </w:rPr>
              <w:t xml:space="preserve">Subscription</w:t>
            </w:r>
          </w:p>
        </w:tc>
        <w:tc>
          <w:tcPr>
            <w:tcW w:w="1900" w:type="pct"/>
            <w:vAlign w:val="center"/>
          </w:tcPr>
          <w:p>
            <w:pPr>
              <w:spacing w:after="40"/>
            </w:pPr>
            <w:r>
              <w:rPr>
                <w:sz w:val="19"/>
              </w:rPr>
              <w:t xml:space="preserve">File reputation, retrospective detection and Secure Malware Analytics sandboxing.</w:t>
            </w:r>
          </w:p>
        </w:tc>
        <w:tc>
          <w:tcPr>
            <w:tcW w:w="1400" w:type="pct"/>
            <w:vAlign w:val="center"/>
          </w:tcPr>
          <w:p>
            <w:pPr>
              <w:spacing w:after="40"/>
            </w:pPr>
            <w:r>
              <w:rPr>
                <w:sz w:val="19"/>
              </w:rPr>
              <w:t xml:space="preserve">Covers the requested "Sandboxing for unknown files" requirement.</w:t>
            </w:r>
          </w:p>
        </w:tc>
      </w:tr>
      <w:tr>
        <w:tc>
          <w:tcPr>
            <w:tcW w:w="1100" w:type="pct"/>
            <w:vAlign w:val="center"/>
          </w:tcPr>
          <w:p>
            <w:pPr>
              <w:spacing w:after="40"/>
            </w:pPr>
            <w:r>
              <w:rPr>
                <w:sz w:val="19"/>
              </w:rPr>
              <w:t xml:space="preserve">URL Filtering</w:t>
            </w:r>
          </w:p>
        </w:tc>
        <w:tc>
          <w:tcPr>
            <w:tcW w:w="600" w:type="pct"/>
            <w:vAlign w:val="center"/>
          </w:tcPr>
          <w:p>
            <w:pPr>
              <w:spacing w:after="40"/>
            </w:pPr>
            <w:r>
              <w:rPr>
                <w:sz w:val="19"/>
              </w:rPr>
              <w:t xml:space="preserve">Subscription</w:t>
            </w:r>
          </w:p>
        </w:tc>
        <w:tc>
          <w:tcPr>
            <w:tcW w:w="1900" w:type="pct"/>
            <w:vAlign w:val="center"/>
          </w:tcPr>
          <w:p>
            <w:pPr>
              <w:spacing w:after="40"/>
            </w:pPr>
            <w:r>
              <w:rPr>
                <w:sz w:val="19"/>
              </w:rPr>
              <w:t xml:space="preserve">Talos URL categories and reputation-based web policy.</w:t>
            </w:r>
          </w:p>
        </w:tc>
        <w:tc>
          <w:tcPr>
            <w:tcW w:w="1400" w:type="pct"/>
            <w:vAlign w:val="center"/>
          </w:tcPr>
          <w:p>
            <w:pPr>
              <w:spacing w:after="40"/>
            </w:pPr>
            <w:r>
              <w:rPr>
                <w:sz w:val="19"/>
              </w:rPr>
              <w:t xml:space="preserve">Covers the requested "Web / URL filtering" requirement.</w:t>
            </w:r>
          </w:p>
        </w:tc>
      </w:tr>
      <w:tr>
        <w:tc>
          <w:tcPr>
            <w:tcW w:w="1100" w:type="pct"/>
            <w:vAlign w:val="center"/>
          </w:tcPr>
          <w:p>
            <w:pPr>
              <w:spacing w:after="40"/>
            </w:pPr>
            <w:r>
              <w:rPr>
                <w:sz w:val="19"/>
              </w:rPr>
              <w:t xml:space="preserve">Cisco Secure Client (Advantage / Premier)</w:t>
            </w:r>
          </w:p>
        </w:tc>
        <w:tc>
          <w:tcPr>
            <w:tcW w:w="600" w:type="pct"/>
            <w:vAlign w:val="center"/>
          </w:tcPr>
          <w:p>
            <w:pPr>
              <w:spacing w:after="40"/>
            </w:pPr>
            <w:r>
              <w:rPr>
                <w:sz w:val="19"/>
              </w:rPr>
              <w:t xml:space="preserve">Subscription</w:t>
            </w:r>
          </w:p>
        </w:tc>
        <w:tc>
          <w:tcPr>
            <w:tcW w:w="1900" w:type="pct"/>
            <w:vAlign w:val="center"/>
          </w:tcPr>
          <w:p>
            <w:pPr>
              <w:spacing w:after="40"/>
            </w:pPr>
            <w:r>
              <w:rPr>
                <w:sz w:val="19"/>
              </w:rPr>
              <w:t xml:space="preserve">Per-user remote-access VPN and posture licensing. Advantage adds posture; Premier adds full ISE integration.</w:t>
            </w:r>
          </w:p>
        </w:tc>
        <w:tc>
          <w:tcPr>
            <w:tcW w:w="1400" w:type="pct"/>
            <w:vAlign w:val="center"/>
          </w:tcPr>
          <w:p>
            <w:pPr>
              <w:spacing w:after="40"/>
            </w:pPr>
            <w:r>
              <w:rPr>
                <w:sz w:val="19"/>
              </w:rPr>
              <w:t xml:space="preserve">Covers the requested "Remote-access VPN / ZTNA" requirement.</w:t>
            </w:r>
          </w:p>
        </w:tc>
      </w:tr>
      <w:tr>
        <w:tc>
          <w:tcPr>
            <w:tcW w:w="1100" w:type="pct"/>
            <w:vAlign w:val="center"/>
          </w:tcPr>
          <w:p>
            <w:pPr>
              <w:spacing w:after="40"/>
            </w:pPr>
            <w:r>
              <w:rPr>
                <w:sz w:val="19"/>
              </w:rPr>
              <w:t xml:space="preserve">Cisco Solution Support / SNTC</w:t>
            </w:r>
          </w:p>
        </w:tc>
        <w:tc>
          <w:tcPr>
            <w:tcW w:w="600" w:type="pct"/>
            <w:vAlign w:val="center"/>
          </w:tcPr>
          <w:p>
            <w:pPr>
              <w:spacing w:after="40"/>
            </w:pPr>
            <w:r>
              <w:rPr>
                <w:sz w:val="19"/>
              </w:rPr>
              <w:t xml:space="preserve">Support</w:t>
            </w:r>
          </w:p>
        </w:tc>
        <w:tc>
          <w:tcPr>
            <w:tcW w:w="1900" w:type="pct"/>
            <w:vAlign w:val="center"/>
          </w:tcPr>
          <w:p>
            <w:pPr>
              <w:spacing w:after="40"/>
            </w:pPr>
            <w:r>
              <w:rPr>
                <w:sz w:val="19"/>
              </w:rPr>
              <w:t xml:space="preserve">TAC access, software updates and hardware replacement (8x5xNBD up to 24x7x4 on-site).</w:t>
            </w:r>
          </w:p>
        </w:tc>
        <w:tc>
          <w:tcPr>
            <w:tcW w:w="1400" w:type="pct"/>
            <w:vAlign w:val="center"/>
          </w:tcPr>
          <w:p>
            <w:pPr>
              <w:spacing w:after="40"/>
            </w:pPr>
            <w:r>
              <w:rPr>
                <w:sz w:val="19"/>
              </w:rPr>
              <w:t xml:space="preserve">Mandatory on every unit.</w:t>
            </w:r>
          </w:p>
        </w:tc>
      </w:tr>
      <w:tr>
        <w:tc>
          <w:tcPr>
            <w:tcW w:w="1100" w:type="pct"/>
            <w:vAlign w:val="center"/>
          </w:tcPr>
          <w:p>
            <w:pPr>
              <w:spacing w:after="40"/>
            </w:pPr>
            <w:r>
              <w:rPr>
                <w:sz w:val="19"/>
              </w:rPr>
              <w:t xml:space="preserve">Meraki SD-WAN Plus</w:t>
            </w:r>
          </w:p>
        </w:tc>
        <w:tc>
          <w:tcPr>
            <w:tcW w:w="600" w:type="pct"/>
            <w:vAlign w:val="center"/>
          </w:tcPr>
          <w:p>
            <w:pPr>
              <w:spacing w:after="40"/>
            </w:pPr>
            <w:r>
              <w:rPr>
                <w:sz w:val="19"/>
              </w:rPr>
              <w:t xml:space="preserve">Bundle</w:t>
            </w:r>
          </w:p>
        </w:tc>
        <w:tc>
          <w:tcPr>
            <w:tcW w:w="1900" w:type="pct"/>
            <w:vAlign w:val="center"/>
          </w:tcPr>
          <w:p>
            <w:pPr>
              <w:spacing w:after="40"/>
            </w:pPr>
            <w:r>
              <w:rPr>
                <w:sz w:val="19"/>
              </w:rPr>
              <w:t xml:space="preserve">Meraki only: ThousandEyes integration, smart path selection and application-aware routing.</w:t>
            </w:r>
          </w:p>
        </w:tc>
        <w:tc>
          <w:tcPr>
            <w:tcW w:w="1400" w:type="pct"/>
            <w:vAlign w:val="center"/>
          </w:tcPr>
          <w:p>
            <w:pPr>
              <w:spacing w:after="40"/>
            </w:pPr>
            <w:r>
              <w:rPr>
                <w:sz w:val="19"/>
              </w:rPr>
              <w:t xml:space="preserve">Covers the requested "SD-WAN across multiple WAN links" requirement.</w:t>
            </w:r>
          </w:p>
        </w:tc>
      </w:tr>
    </w:tbl>
    <w:p>
      <w:pPr>
        <w:spacing w:after="160"/>
      </w:pPr>
    </w:p>
    <w:p>
      <w:r>
        <w:rPr>
          <w:i/>
          <w:color w:val="5A6B7B"/>
        </w:rPr>
        <w:t xml:space="preserve">Quantity: each line item above is required per appliance. With 2 units in this design, multiply the subscription quantities accordingly.</w:t>
      </w:r>
    </w:p>
    <w:p>
      <w:pPr>
        <w:pStyle w:val="Heading1"/>
        <w:pageBreakBefore/>
      </w:pPr>
      <w:r>
        <w:t xml:space="preserve">6. Vendor comparison</w:t>
      </w:r>
    </w:p>
    <w:p>
      <w:r>
        <w:t xml:space="preserve">The same requirements applied across every vendor in scope. The selected option is marked.</w:t>
      </w:r>
    </w:p>
    <w:tbl>
      <w:tblPr>
        <w:tblStyle w:val="F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1692"/>
        <w:gridCol w:w="2068"/>
        <w:gridCol w:w="1222"/>
        <w:gridCol w:w="1128"/>
        <w:gridCol w:w="1128"/>
        <w:gridCol w:w="1034"/>
        <w:gridCol w:w="1128"/>
      </w:tblGrid>
      <w:tr>
        <w:trPr>
          <w:tblHeader/>
        </w:trPr>
        <w:tc>
          <w:tcPr>
            <w:tcW w:w="900" w:type="pct"/>
            <w:shd w:val="clear" w:color="auto" w:fill="1F3B57"/>
            <w:vAlign w:val="center"/>
          </w:tcPr>
          <w:p>
            <w:pPr>
              <w:spacing w:after="40"/>
              <w:shd w:val="clear" w:color="auto" w:fill="1F3B57"/>
            </w:pPr>
            <w:r>
              <w:rPr>
                <w:b/>
                <w:sz w:val="19"/>
                <w:color w:val="FFFFFF"/>
              </w:rPr>
              <w:t xml:space="preserve">Vendor</w:t>
            </w:r>
          </w:p>
        </w:tc>
        <w:tc>
          <w:tcPr>
            <w:tcW w:w="1100" w:type="pct"/>
            <w:shd w:val="clear" w:color="auto" w:fill="1F3B57"/>
            <w:vAlign w:val="center"/>
          </w:tcPr>
          <w:p>
            <w:pPr>
              <w:spacing w:after="40"/>
              <w:shd w:val="clear" w:color="auto" w:fill="1F3B57"/>
            </w:pPr>
            <w:r>
              <w:rPr>
                <w:b/>
                <w:sz w:val="19"/>
                <w:color w:val="FFFFFF"/>
              </w:rPr>
              <w:t xml:space="preserve">Model</w:t>
            </w:r>
          </w:p>
        </w:tc>
        <w:tc>
          <w:tcPr>
            <w:tcW w:w="650" w:type="pct"/>
            <w:shd w:val="clear" w:color="auto" w:fill="1F3B57"/>
            <w:vAlign w:val="center"/>
          </w:tcPr>
          <w:p>
            <w:pPr>
              <w:spacing w:after="40"/>
              <w:shd w:val="clear" w:color="auto" w:fill="1F3B57"/>
            </w:pPr>
            <w:r>
              <w:rPr>
                <w:b/>
                <w:sz w:val="19"/>
                <w:color w:val="FFFFFF"/>
              </w:rPr>
              <w:t xml:space="preserve">Form</w:t>
            </w:r>
          </w:p>
        </w:tc>
        <w:tc>
          <w:tcPr>
            <w:tcW w:w="600" w:type="pct"/>
            <w:shd w:val="clear" w:color="auto" w:fill="1F3B57"/>
            <w:vAlign w:val="center"/>
          </w:tcPr>
          <w:p>
            <w:pPr>
              <w:spacing w:after="40"/>
              <w:shd w:val="clear" w:color="auto" w:fill="1F3B57"/>
            </w:pPr>
            <w:r>
              <w:rPr>
                <w:b/>
                <w:sz w:val="19"/>
                <w:color w:val="FFFFFF"/>
              </w:rPr>
              <w:t xml:space="preserve">Threat</w:t>
            </w:r>
          </w:p>
        </w:tc>
        <w:tc>
          <w:tcPr>
            <w:tcW w:w="600" w:type="pct"/>
            <w:shd w:val="clear" w:color="auto" w:fill="1F3B57"/>
            <w:vAlign w:val="center"/>
          </w:tcPr>
          <w:p>
            <w:pPr>
              <w:spacing w:after="40"/>
              <w:shd w:val="clear" w:color="auto" w:fill="1F3B57"/>
            </w:pPr>
            <w:r>
              <w:rPr>
                <w:b/>
                <w:sz w:val="19"/>
                <w:color w:val="FFFFFF"/>
              </w:rPr>
              <w:t xml:space="preserve">TLS</w:t>
            </w:r>
          </w:p>
        </w:tc>
        <w:tc>
          <w:tcPr>
            <w:tcW w:w="550" w:type="pct"/>
            <w:shd w:val="clear" w:color="auto" w:fill="1F3B57"/>
            <w:vAlign w:val="center"/>
          </w:tcPr>
          <w:p>
            <w:pPr>
              <w:spacing w:after="40"/>
              <w:shd w:val="clear" w:color="auto" w:fill="1F3B57"/>
            </w:pPr>
            <w:r>
              <w:rPr>
                <w:b/>
                <w:sz w:val="19"/>
                <w:color w:val="FFFFFF"/>
              </w:rPr>
              <w:t xml:space="preserve">Sessions</w:t>
            </w:r>
          </w:p>
        </w:tc>
        <w:tc>
          <w:tcPr>
            <w:tcW w:w="600" w:type="pct"/>
            <w:shd w:val="clear" w:color="auto" w:fill="1F3B57"/>
            <w:vAlign w:val="center"/>
          </w:tcPr>
          <w:p>
            <w:pPr>
              <w:spacing w:after="40"/>
              <w:shd w:val="clear" w:color="auto" w:fill="1F3B57"/>
            </w:pPr>
            <w:r>
              <w:rPr>
                <w:b/>
                <w:sz w:val="19"/>
                <w:color w:val="FFFFFF"/>
              </w:rPr>
              <w:t xml:space="preserve">Day-one load</w:t>
            </w:r>
          </w:p>
        </w:tc>
      </w:tr>
      <w:tr>
        <w:tc>
          <w:tcPr>
            <w:tcW w:w="900" w:type="pct"/>
            <w:vAlign w:val="center"/>
          </w:tcPr>
          <w:p>
            <w:pPr>
              <w:spacing w:after="40"/>
            </w:pPr>
            <w:r>
              <w:rPr>
                <w:sz w:val="19"/>
              </w:rPr>
              <w:t xml:space="preserve">Palo Alto Networks</w:t>
            </w:r>
          </w:p>
        </w:tc>
        <w:tc>
          <w:tcPr>
            <w:tcW w:w="1100" w:type="pct"/>
            <w:vAlign w:val="center"/>
          </w:tcPr>
          <w:p>
            <w:pPr>
              <w:spacing w:after="40"/>
            </w:pPr>
            <w:r>
              <w:rPr>
                <w:sz w:val="19"/>
              </w:rPr>
              <w:t xml:space="preserve">PA-1410</w:t>
            </w:r>
          </w:p>
        </w:tc>
        <w:tc>
          <w:tcPr>
            <w:tcW w:w="650" w:type="pct"/>
            <w:vAlign w:val="center"/>
          </w:tcPr>
          <w:p>
            <w:pPr>
              <w:spacing w:after="40"/>
            </w:pPr>
            <w:r>
              <w:rPr>
                <w:sz w:val="19"/>
              </w:rPr>
              <w:t xml:space="preserve">1U Rack</w:t>
            </w:r>
          </w:p>
        </w:tc>
        <w:tc>
          <w:tcPr>
            <w:tcW w:w="600" w:type="pct"/>
            <w:vAlign w:val="center"/>
          </w:tcPr>
          <w:p>
            <w:pPr>
              <w:spacing w:after="40"/>
            </w:pPr>
            <w:r>
              <w:rPr>
                <w:sz w:val="19"/>
              </w:rPr>
              <w:t xml:space="preserve">5 Gbps</w:t>
            </w:r>
          </w:p>
        </w:tc>
        <w:tc>
          <w:tcPr>
            <w:tcW w:w="600" w:type="pct"/>
            <w:vAlign w:val="center"/>
          </w:tcPr>
          <w:p>
            <w:pPr>
              <w:spacing w:after="40"/>
            </w:pPr>
            <w:r>
              <w:rPr>
                <w:sz w:val="19"/>
              </w:rPr>
              <w:t xml:space="preserve">2.4 Gbps</w:t>
            </w:r>
          </w:p>
        </w:tc>
        <w:tc>
          <w:tcPr>
            <w:tcW w:w="550" w:type="pct"/>
            <w:vAlign w:val="center"/>
          </w:tcPr>
          <w:p>
            <w:pPr>
              <w:spacing w:after="40"/>
            </w:pPr>
            <w:r>
              <w:rPr>
                <w:sz w:val="19"/>
              </w:rPr>
              <w:t xml:space="preserve">1.1M</w:t>
            </w:r>
          </w:p>
        </w:tc>
        <w:tc>
          <w:tcPr>
            <w:tcW w:w="600" w:type="pct"/>
            <w:vAlign w:val="center"/>
          </w:tcPr>
          <w:p>
            <w:pPr>
              <w:spacing w:after="40"/>
            </w:pPr>
            <w:r>
              <w:rPr>
                <w:sz w:val="19"/>
              </w:rPr>
              <w:t xml:space="preserve">73%</w:t>
            </w:r>
          </w:p>
        </w:tc>
      </w:tr>
      <w:tr>
        <w:tc>
          <w:tcPr>
            <w:tcW w:w="900" w:type="pct"/>
            <w:vAlign w:val="center"/>
          </w:tcPr>
          <w:p>
            <w:pPr>
              <w:spacing w:after="40"/>
            </w:pPr>
            <w:r>
              <w:rPr>
                <w:sz w:val="19"/>
              </w:rPr>
              <w:t xml:space="preserve">Fortinet</w:t>
            </w:r>
          </w:p>
        </w:tc>
        <w:tc>
          <w:tcPr>
            <w:tcW w:w="1100" w:type="pct"/>
            <w:vAlign w:val="center"/>
          </w:tcPr>
          <w:p>
            <w:pPr>
              <w:spacing w:after="40"/>
            </w:pPr>
            <w:r>
              <w:rPr>
                <w:sz w:val="19"/>
              </w:rPr>
              <w:t xml:space="preserve">FortiGate 120G</w:t>
            </w:r>
          </w:p>
        </w:tc>
        <w:tc>
          <w:tcPr>
            <w:tcW w:w="650" w:type="pct"/>
            <w:vAlign w:val="center"/>
          </w:tcPr>
          <w:p>
            <w:pPr>
              <w:spacing w:after="40"/>
            </w:pPr>
            <w:r>
              <w:rPr>
                <w:sz w:val="19"/>
              </w:rPr>
              <w:t xml:space="preserve">1U Rack</w:t>
            </w:r>
          </w:p>
        </w:tc>
        <w:tc>
          <w:tcPr>
            <w:tcW w:w="600" w:type="pct"/>
            <w:vAlign w:val="center"/>
          </w:tcPr>
          <w:p>
            <w:pPr>
              <w:spacing w:after="40"/>
            </w:pPr>
            <w:r>
              <w:rPr>
                <w:sz w:val="19"/>
              </w:rPr>
              <w:t xml:space="preserve">5 Gbps</w:t>
            </w:r>
          </w:p>
        </w:tc>
        <w:tc>
          <w:tcPr>
            <w:tcW w:w="600" w:type="pct"/>
            <w:vAlign w:val="center"/>
          </w:tcPr>
          <w:p>
            <w:pPr>
              <w:spacing w:after="40"/>
            </w:pPr>
            <w:r>
              <w:rPr>
                <w:sz w:val="19"/>
              </w:rPr>
              <w:t xml:space="preserve">2.4 Gbps</w:t>
            </w:r>
          </w:p>
        </w:tc>
        <w:tc>
          <w:tcPr>
            <w:tcW w:w="550" w:type="pct"/>
            <w:vAlign w:val="center"/>
          </w:tcPr>
          <w:p>
            <w:pPr>
              <w:spacing w:after="40"/>
            </w:pPr>
            <w:r>
              <w:rPr>
                <w:sz w:val="19"/>
              </w:rPr>
              <w:t xml:space="preserve">2M</w:t>
            </w:r>
          </w:p>
        </w:tc>
        <w:tc>
          <w:tcPr>
            <w:tcW w:w="600" w:type="pct"/>
            <w:vAlign w:val="center"/>
          </w:tcPr>
          <w:p>
            <w:pPr>
              <w:spacing w:after="40"/>
            </w:pPr>
            <w:r>
              <w:rPr>
                <w:sz w:val="19"/>
              </w:rPr>
              <w:t xml:space="preserve">73%</w:t>
            </w:r>
          </w:p>
        </w:tc>
      </w:tr>
      <w:tr>
        <w:tc>
          <w:tcPr>
            <w:tcW w:w="900" w:type="pct"/>
            <w:vAlign w:val="center"/>
          </w:tcPr>
          <w:p>
            <w:pPr>
              <w:spacing w:after="40"/>
            </w:pPr>
            <w:r>
              <w:rPr>
                <w:sz w:val="19"/>
              </w:rPr>
              <w:t xml:space="preserve">Cisco  (selected)</w:t>
            </w:r>
          </w:p>
        </w:tc>
        <w:tc>
          <w:tcPr>
            <w:tcW w:w="1100" w:type="pct"/>
            <w:vAlign w:val="center"/>
          </w:tcPr>
          <w:p>
            <w:pPr>
              <w:spacing w:after="40"/>
            </w:pPr>
            <w:r>
              <w:rPr>
                <w:sz w:val="19"/>
              </w:rPr>
              <w:t xml:space="preserve">Secure Firewall 3105</w:t>
            </w:r>
          </w:p>
        </w:tc>
        <w:tc>
          <w:tcPr>
            <w:tcW w:w="650" w:type="pct"/>
            <w:vAlign w:val="center"/>
          </w:tcPr>
          <w:p>
            <w:pPr>
              <w:spacing w:after="40"/>
            </w:pPr>
            <w:r>
              <w:rPr>
                <w:sz w:val="19"/>
              </w:rPr>
              <w:t xml:space="preserve">1U Rack</w:t>
            </w:r>
          </w:p>
        </w:tc>
        <w:tc>
          <w:tcPr>
            <w:tcW w:w="600" w:type="pct"/>
            <w:vAlign w:val="center"/>
          </w:tcPr>
          <w:p>
            <w:pPr>
              <w:spacing w:after="40"/>
            </w:pPr>
            <w:r>
              <w:rPr>
                <w:sz w:val="19"/>
              </w:rPr>
              <w:t xml:space="preserve">8 Gbps</w:t>
            </w:r>
          </w:p>
        </w:tc>
        <w:tc>
          <w:tcPr>
            <w:tcW w:w="600" w:type="pct"/>
            <w:vAlign w:val="center"/>
          </w:tcPr>
          <w:p>
            <w:pPr>
              <w:spacing w:after="40"/>
            </w:pPr>
            <w:r>
              <w:rPr>
                <w:sz w:val="19"/>
              </w:rPr>
              <w:t xml:space="preserve">3 Gbps</w:t>
            </w:r>
          </w:p>
        </w:tc>
        <w:tc>
          <w:tcPr>
            <w:tcW w:w="550" w:type="pct"/>
            <w:vAlign w:val="center"/>
          </w:tcPr>
          <w:p>
            <w:pPr>
              <w:spacing w:after="40"/>
            </w:pPr>
            <w:r>
              <w:rPr>
                <w:sz w:val="19"/>
              </w:rPr>
              <w:t xml:space="preserve">2M</w:t>
            </w:r>
          </w:p>
        </w:tc>
        <w:tc>
          <w:tcPr>
            <w:tcW w:w="600" w:type="pct"/>
            <w:vAlign w:val="center"/>
          </w:tcPr>
          <w:p>
            <w:pPr>
              <w:spacing w:after="40"/>
            </w:pPr>
            <w:r>
              <w:rPr>
                <w:sz w:val="19"/>
              </w:rPr>
              <w:t xml:space="preserve">46%</w:t>
            </w:r>
          </w:p>
        </w:tc>
      </w:tr>
      <w:tr>
        <w:tc>
          <w:tcPr>
            <w:tcW w:w="900" w:type="pct"/>
            <w:vAlign w:val="center"/>
          </w:tcPr>
          <w:p>
            <w:pPr>
              <w:spacing w:after="40"/>
            </w:pPr>
            <w:r>
              <w:rPr>
                <w:sz w:val="19"/>
              </w:rPr>
              <w:t xml:space="preserve">Sophos</w:t>
            </w:r>
          </w:p>
        </w:tc>
        <w:tc>
          <w:tcPr>
            <w:tcW w:w="1100" w:type="pct"/>
            <w:vAlign w:val="center"/>
          </w:tcPr>
          <w:p>
            <w:pPr>
              <w:spacing w:after="40"/>
            </w:pPr>
            <w:r>
              <w:rPr>
                <w:sz w:val="19"/>
              </w:rPr>
              <w:t xml:space="preserve">XGS 2100</w:t>
            </w:r>
          </w:p>
        </w:tc>
        <w:tc>
          <w:tcPr>
            <w:tcW w:w="650" w:type="pct"/>
            <w:vAlign w:val="center"/>
          </w:tcPr>
          <w:p>
            <w:pPr>
              <w:spacing w:after="40"/>
            </w:pPr>
            <w:r>
              <w:rPr>
                <w:sz w:val="19"/>
              </w:rPr>
              <w:t xml:space="preserve">1U Rack</w:t>
            </w:r>
          </w:p>
        </w:tc>
        <w:tc>
          <w:tcPr>
            <w:tcW w:w="600" w:type="pct"/>
            <w:vAlign w:val="center"/>
          </w:tcPr>
          <w:p>
            <w:pPr>
              <w:spacing w:after="40"/>
            </w:pPr>
            <w:r>
              <w:rPr>
                <w:sz w:val="19"/>
              </w:rPr>
              <w:t xml:space="preserve">4.4 Gbps</w:t>
            </w:r>
          </w:p>
        </w:tc>
        <w:tc>
          <w:tcPr>
            <w:tcW w:w="600" w:type="pct"/>
            <w:vAlign w:val="center"/>
          </w:tcPr>
          <w:p>
            <w:pPr>
              <w:spacing w:after="40"/>
            </w:pPr>
            <w:r>
              <w:rPr>
                <w:sz w:val="19"/>
              </w:rPr>
              <w:t xml:space="preserve">2 Gbps</w:t>
            </w:r>
          </w:p>
        </w:tc>
        <w:tc>
          <w:tcPr>
            <w:tcW w:w="550" w:type="pct"/>
            <w:vAlign w:val="center"/>
          </w:tcPr>
          <w:p>
            <w:pPr>
              <w:spacing w:after="40"/>
            </w:pPr>
            <w:r>
              <w:rPr>
                <w:sz w:val="19"/>
              </w:rPr>
              <w:t xml:space="preserve">3.6M</w:t>
            </w:r>
          </w:p>
        </w:tc>
        <w:tc>
          <w:tcPr>
            <w:tcW w:w="600" w:type="pct"/>
            <w:vAlign w:val="center"/>
          </w:tcPr>
          <w:p>
            <w:pPr>
              <w:spacing w:after="40"/>
            </w:pPr>
            <w:r>
              <w:rPr>
                <w:sz w:val="19"/>
              </w:rPr>
              <w:t xml:space="preserve">83%</w:t>
            </w:r>
          </w:p>
        </w:tc>
      </w:tr>
      <w:tr>
        <w:tc>
          <w:tcPr>
            <w:tcW w:w="900" w:type="pct"/>
            <w:vAlign w:val="center"/>
          </w:tcPr>
          <w:p>
            <w:pPr>
              <w:spacing w:after="40"/>
            </w:pPr>
            <w:r>
              <w:rPr>
                <w:sz w:val="19"/>
              </w:rPr>
              <w:t xml:space="preserve">Forcepoint</w:t>
            </w:r>
          </w:p>
        </w:tc>
        <w:tc>
          <w:tcPr>
            <w:tcW w:w="1100" w:type="pct"/>
            <w:vAlign w:val="center"/>
          </w:tcPr>
          <w:p>
            <w:pPr>
              <w:spacing w:after="40"/>
            </w:pPr>
            <w:r>
              <w:rPr>
                <w:sz w:val="19"/>
              </w:rPr>
              <w:t xml:space="preserve">NGFW 1105</w:t>
            </w:r>
          </w:p>
        </w:tc>
        <w:tc>
          <w:tcPr>
            <w:tcW w:w="650" w:type="pct"/>
            <w:vAlign w:val="center"/>
          </w:tcPr>
          <w:p>
            <w:pPr>
              <w:spacing w:after="40"/>
            </w:pPr>
            <w:r>
              <w:rPr>
                <w:sz w:val="19"/>
              </w:rPr>
              <w:t xml:space="preserve">1U Rack</w:t>
            </w:r>
          </w:p>
        </w:tc>
        <w:tc>
          <w:tcPr>
            <w:tcW w:w="600" w:type="pct"/>
            <w:vAlign w:val="center"/>
          </w:tcPr>
          <w:p>
            <w:pPr>
              <w:spacing w:after="40"/>
            </w:pPr>
            <w:r>
              <w:rPr>
                <w:sz w:val="19"/>
              </w:rPr>
              <w:t xml:space="preserve">5.5 Gbps</w:t>
            </w:r>
          </w:p>
        </w:tc>
        <w:tc>
          <w:tcPr>
            <w:tcW w:w="600" w:type="pct"/>
            <w:vAlign w:val="center"/>
          </w:tcPr>
          <w:p>
            <w:pPr>
              <w:spacing w:after="40"/>
            </w:pPr>
            <w:r>
              <w:rPr>
                <w:sz w:val="19"/>
              </w:rPr>
              <w:t xml:space="preserve">2.6 Gbps</w:t>
            </w:r>
          </w:p>
        </w:tc>
        <w:tc>
          <w:tcPr>
            <w:tcW w:w="550" w:type="pct"/>
            <w:vAlign w:val="center"/>
          </w:tcPr>
          <w:p>
            <w:pPr>
              <w:spacing w:after="40"/>
            </w:pPr>
            <w:r>
              <w:rPr>
                <w:sz w:val="19"/>
              </w:rPr>
              <w:t xml:space="preserve">1.6M</w:t>
            </w:r>
          </w:p>
        </w:tc>
        <w:tc>
          <w:tcPr>
            <w:tcW w:w="600" w:type="pct"/>
            <w:vAlign w:val="center"/>
          </w:tcPr>
          <w:p>
            <w:pPr>
              <w:spacing w:after="40"/>
            </w:pPr>
            <w:r>
              <w:rPr>
                <w:sz w:val="19"/>
              </w:rPr>
              <w:t xml:space="preserve">66%</w:t>
            </w:r>
          </w:p>
        </w:tc>
      </w:tr>
    </w:tbl>
    <w:p>
      <w:pPr>
        <w:spacing w:after="160"/>
      </w:pPr>
    </w:p>
    <w:p>
      <w:pPr>
        <w:pStyle w:val="Heading1"/>
        <w:pageBreakBefore/>
      </w:pPr>
      <w:r>
        <w:t xml:space="preserve">7. Connectivity design</w:t>
      </w:r>
    </w:p>
    <w:p>
      <w:pPr>
        <w:jc w:val="center"/>
        <w:spacing w:after="120"/>
      </w:pPr>
      <w:r>
        <w:drawing>
          <wp:inline xmlns:wp="http://schemas.openxmlformats.org/drawingml/2006/wordprocessingDrawing" distT="0" distB="0" distL="0" distR="0">
            <wp:extent cx="5905500" cy="3869121"/>
            <wp:effectExtent l="0" t="0" r="0" b="0"/>
            <wp:docPr id="100" name="Connectivity diagram" descr="Connectivit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Connectivity diagram"/>
                    <pic:cNvPicPr/>
                  </pic:nvPicPr>
                  <pic:blipFill>
                    <a:blip xmlns:r="http://schemas.openxmlformats.org/officeDocument/2006/relationships" r:embed="rId3"/>
                    <a:stretch>
                      <a:fillRect/>
                    </a:stretch>
                  </pic:blipFill>
                  <pic:spPr>
                    <a:xfrm>
                      <a:off x="0" y="0"/>
                      <a:ext cx="5905500" cy="3869121"/>
                    </a:xfrm>
                    <a:prstGeom prst="rect">
                      <a:avLst/>
                    </a:prstGeom>
                  </pic:spPr>
                </pic:pic>
              </a:graphicData>
            </a:graphic>
          </wp:inline>
        </w:drawing>
      </w:r>
    </w:p>
    <w:p>
      <w:pPr>
        <w:pStyle w:val="Caption"/>
      </w:pPr>
      <w:r>
        <w:t xml:space="preserve">Figure 1 - Physical connectivity from the internet circuit down to the access zones.</w:t>
      </w:r>
    </w:p>
    <w:p>
      <w:pPr>
        <w:pStyle w:val="Heading2"/>
      </w:pPr>
      <w:r>
        <w:t xml:space="preserve">Cabling and interface notes</w:t>
      </w:r>
    </w:p>
    <w:p>
      <w:pPr>
        <w:numPr>
          <w:ilvl w:val="0"/>
          <w:numId w:val="1"/>
        </w:numPr>
      </w:pPr>
      <w:r>
        <w:t xml:space="preserve">Onboard interfaces on the Secure Firewall 3105: 8x GE RJ45, 8x 10G SFP+. Confirm optic types (SR/LR) against the switch side before ordering.</w:t>
      </w:r>
    </w:p>
    <w:p>
      <w:pPr>
        <w:numPr>
          <w:ilvl w:val="0"/>
          <w:numId w:val="1"/>
        </w:numPr>
      </w:pPr>
      <w:r>
        <w:t xml:space="preserve">Dedicate two physical links between the HA nodes - one for the control/heartbeat channel and one for session-state sync. Do not share these with data VLANs.</w:t>
      </w:r>
    </w:p>
    <w:p>
      <w:pPr>
        <w:numPr>
          <w:ilvl w:val="0"/>
          <w:numId w:val="1"/>
        </w:numPr>
      </w:pPr>
      <w:r>
        <w:t xml:space="preserve">Cross-connect each firewall to both core switches so a single switch failure does not isolate a node.</w:t>
      </w:r>
    </w:p>
    <w:p>
      <w:pPr>
        <w:numPr>
          <w:ilvl w:val="0"/>
          <w:numId w:val="1"/>
        </w:numPr>
      </w:pPr>
      <w:r>
        <w:t xml:space="preserve">Two independent WAN circuits are shown. Terminate them on separate physical interfaces so the firewall, not the router, makes the failover decision.</w:t>
      </w:r>
    </w:p>
    <w:p>
      <w:pPr>
        <w:numPr>
          <w:ilvl w:val="0"/>
          <w:numId w:val="1"/>
        </w:numPr>
      </w:pPr>
      <w:r>
        <w:t xml:space="preserve">Trunk the firewall-to-core link as 802.1Q and carry one VLAN per security zone; use a LAG or MLAG so the link is not a single point of failure.</w:t>
      </w:r>
    </w:p>
    <w:p>
      <w:pPr>
        <w:numPr>
          <w:ilvl w:val="0"/>
          <w:numId w:val="1"/>
        </w:numPr>
      </w:pPr>
      <w:r>
        <w:t xml:space="preserve">Keep the management interface on an out-of-band VLAN with its own access control - never expose it to the user or internet zones.</w:t>
      </w:r>
    </w:p>
    <w:p>
      <w:pPr>
        <w:pStyle w:val="Heading1"/>
        <w:pageBreakBefore/>
      </w:pPr>
      <w:r>
        <w:t xml:space="preserve">8. Zone and policy design</w:t>
      </w:r>
    </w:p>
    <w:p>
      <w:pPr>
        <w:jc w:val="center"/>
        <w:spacing w:after="120"/>
      </w:pPr>
      <w:r>
        <w:drawing>
          <wp:inline xmlns:wp="http://schemas.openxmlformats.org/drawingml/2006/wordprocessingDrawing" distT="0" distB="0" distL="0" distR="0">
            <wp:extent cx="5905500" cy="3217479"/>
            <wp:effectExtent l="0" t="0" r="0" b="0"/>
            <wp:docPr id="101" name="Zone and policy design" descr="Zone and policy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Zone and policy design"/>
                    <pic:cNvPicPr/>
                  </pic:nvPicPr>
                  <pic:blipFill>
                    <a:blip xmlns:r="http://schemas.openxmlformats.org/officeDocument/2006/relationships" r:embed="rId4"/>
                    <a:stretch>
                      <a:fillRect/>
                    </a:stretch>
                  </pic:blipFill>
                  <pic:spPr>
                    <a:xfrm>
                      <a:off x="0" y="0"/>
                      <a:ext cx="5905500" cy="3217479"/>
                    </a:xfrm>
                    <a:prstGeom prst="rect">
                      <a:avLst/>
                    </a:prstGeom>
                  </pic:spPr>
                </pic:pic>
              </a:graphicData>
            </a:graphic>
          </wp:inline>
        </w:drawing>
      </w:r>
    </w:p>
    <w:p>
      <w:pPr>
        <w:pStyle w:val="Caption"/>
      </w:pPr>
      <w:r>
        <w:t xml:space="preserve">Figure 2 - Security zones and the inspection profile applied at each boundary.</w:t>
      </w:r>
    </w:p>
    <w:tbl>
      <w:tblPr>
        <w:tblStyle w:val="F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3196"/>
        <w:gridCol w:w="4324"/>
        <w:gridCol w:w="1880"/>
      </w:tblGrid>
      <w:tr>
        <w:trPr>
          <w:tblHeader/>
        </w:trPr>
        <w:tc>
          <w:tcPr>
            <w:tcW w:w="1700" w:type="pct"/>
            <w:shd w:val="clear" w:color="auto" w:fill="1F3B57"/>
            <w:vAlign w:val="center"/>
          </w:tcPr>
          <w:p>
            <w:pPr>
              <w:spacing w:after="40"/>
              <w:shd w:val="clear" w:color="auto" w:fill="1F3B57"/>
            </w:pPr>
            <w:r>
              <w:rPr>
                <w:b/>
                <w:sz w:val="19"/>
                <w:color w:val="FFFFFF"/>
              </w:rPr>
              <w:t xml:space="preserve">Zone</w:t>
            </w:r>
          </w:p>
        </w:tc>
        <w:tc>
          <w:tcPr>
            <w:tcW w:w="2300" w:type="pct"/>
            <w:shd w:val="clear" w:color="auto" w:fill="1F3B57"/>
            <w:vAlign w:val="center"/>
          </w:tcPr>
          <w:p>
            <w:pPr>
              <w:spacing w:after="40"/>
              <w:shd w:val="clear" w:color="auto" w:fill="1F3B57"/>
            </w:pPr>
            <w:r>
              <w:rPr>
                <w:b/>
                <w:sz w:val="19"/>
                <w:color w:val="FFFFFF"/>
              </w:rPr>
              <w:t xml:space="preserve">Purpose</w:t>
            </w:r>
          </w:p>
        </w:tc>
        <w:tc>
          <w:tcPr>
            <w:tcW w:w="1000" w:type="pct"/>
            <w:shd w:val="clear" w:color="auto" w:fill="1F3B57"/>
            <w:vAlign w:val="center"/>
          </w:tcPr>
          <w:p>
            <w:pPr>
              <w:spacing w:after="40"/>
              <w:shd w:val="clear" w:color="auto" w:fill="1F3B57"/>
            </w:pPr>
            <w:r>
              <w:rPr>
                <w:b/>
                <w:sz w:val="19"/>
                <w:color w:val="FFFFFF"/>
              </w:rPr>
              <w:t xml:space="preserve">Suggested VLAN</w:t>
            </w:r>
          </w:p>
        </w:tc>
      </w:tr>
      <w:tr>
        <w:tc>
          <w:tcPr>
            <w:tcW w:w="1700" w:type="pct"/>
            <w:vAlign w:val="center"/>
          </w:tcPr>
          <w:p>
            <w:pPr>
              <w:spacing w:after="40"/>
            </w:pPr>
            <w:r>
              <w:rPr>
                <w:sz w:val="19"/>
              </w:rPr>
              <w:t xml:space="preserve">LAN / Users</w:t>
            </w:r>
          </w:p>
        </w:tc>
        <w:tc>
          <w:tcPr>
            <w:tcW w:w="2300" w:type="pct"/>
            <w:vAlign w:val="center"/>
          </w:tcPr>
          <w:p>
            <w:pPr>
              <w:spacing w:after="40"/>
            </w:pPr>
            <w:r>
              <w:rPr>
                <w:sz w:val="19"/>
              </w:rPr>
              <w:t xml:space="preserve">1,200 users</w:t>
            </w:r>
          </w:p>
        </w:tc>
        <w:tc>
          <w:tcPr>
            <w:tcW w:w="1000" w:type="pct"/>
            <w:vAlign w:val="center"/>
          </w:tcPr>
          <w:p>
            <w:pPr>
              <w:spacing w:after="40"/>
            </w:pPr>
            <w:r>
              <w:rPr>
                <w:sz w:val="19"/>
              </w:rPr>
              <w:t xml:space="preserve">10</w:t>
            </w:r>
          </w:p>
        </w:tc>
      </w:tr>
      <w:tr>
        <w:tc>
          <w:tcPr>
            <w:tcW w:w="1700" w:type="pct"/>
            <w:vAlign w:val="center"/>
          </w:tcPr>
          <w:p>
            <w:pPr>
              <w:spacing w:after="40"/>
            </w:pPr>
            <w:r>
              <w:rPr>
                <w:sz w:val="19"/>
              </w:rPr>
              <w:t xml:space="preserve">Guest / Wi-Fi</w:t>
            </w:r>
          </w:p>
        </w:tc>
        <w:tc>
          <w:tcPr>
            <w:tcW w:w="2300" w:type="pct"/>
            <w:vAlign w:val="center"/>
          </w:tcPr>
          <w:p>
            <w:pPr>
              <w:spacing w:after="40"/>
            </w:pPr>
            <w:r>
              <w:rPr>
                <w:sz w:val="19"/>
              </w:rPr>
              <w:t xml:space="preserve">Internet only</w:t>
            </w:r>
          </w:p>
        </w:tc>
        <w:tc>
          <w:tcPr>
            <w:tcW w:w="1000" w:type="pct"/>
            <w:vAlign w:val="center"/>
          </w:tcPr>
          <w:p>
            <w:pPr>
              <w:spacing w:after="40"/>
            </w:pPr>
            <w:r>
              <w:rPr>
                <w:sz w:val="19"/>
              </w:rPr>
              <w:t xml:space="preserve">20</w:t>
            </w:r>
          </w:p>
        </w:tc>
      </w:tr>
      <w:tr>
        <w:tc>
          <w:tcPr>
            <w:tcW w:w="1700" w:type="pct"/>
            <w:vAlign w:val="center"/>
          </w:tcPr>
          <w:p>
            <w:pPr>
              <w:spacing w:after="40"/>
            </w:pPr>
            <w:r>
              <w:rPr>
                <w:sz w:val="19"/>
              </w:rPr>
              <w:t xml:space="preserve">Management</w:t>
            </w:r>
          </w:p>
        </w:tc>
        <w:tc>
          <w:tcPr>
            <w:tcW w:w="2300" w:type="pct"/>
            <w:vAlign w:val="center"/>
          </w:tcPr>
          <w:p>
            <w:pPr>
              <w:spacing w:after="40"/>
            </w:pPr>
            <w:r>
              <w:rPr>
                <w:sz w:val="19"/>
              </w:rPr>
              <w:t xml:space="preserve">Out-of-band</w:t>
            </w:r>
          </w:p>
        </w:tc>
        <w:tc>
          <w:tcPr>
            <w:tcW w:w="1000" w:type="pct"/>
            <w:vAlign w:val="center"/>
          </w:tcPr>
          <w:p>
            <w:pPr>
              <w:spacing w:after="40"/>
            </w:pPr>
            <w:r>
              <w:rPr>
                <w:sz w:val="19"/>
              </w:rPr>
              <w:t xml:space="preserve">30</w:t>
            </w:r>
          </w:p>
        </w:tc>
      </w:tr>
    </w:tbl>
    <w:p>
      <w:pPr>
        <w:spacing w:after="160"/>
      </w:pPr>
    </w:p>
    <w:p>
      <w:pPr>
        <w:pStyle w:val="Heading2"/>
      </w:pPr>
      <w:r>
        <w:t xml:space="preserve">Policy intent</w:t>
      </w:r>
    </w:p>
    <w:tbl>
      <w:tblPr>
        <w:tblStyle w:val="F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1880"/>
        <w:gridCol w:w="7520"/>
      </w:tblGrid>
      <w:tr>
        <w:trPr>
          <w:tblHeader/>
        </w:trPr>
        <w:tc>
          <w:tcPr>
            <w:tcW w:w="1000" w:type="pct"/>
            <w:shd w:val="clear" w:color="auto" w:fill="1F3B57"/>
            <w:vAlign w:val="center"/>
          </w:tcPr>
          <w:p>
            <w:pPr>
              <w:spacing w:after="40"/>
              <w:shd w:val="clear" w:color="auto" w:fill="1F3B57"/>
            </w:pPr>
            <w:r>
              <w:rPr>
                <w:b/>
                <w:sz w:val="19"/>
                <w:color w:val="FFFFFF"/>
              </w:rPr>
              <w:t xml:space="preserve">Action</w:t>
            </w:r>
          </w:p>
        </w:tc>
        <w:tc>
          <w:tcPr>
            <w:tcW w:w="4000" w:type="pct"/>
            <w:shd w:val="clear" w:color="auto" w:fill="1F3B57"/>
            <w:vAlign w:val="center"/>
          </w:tcPr>
          <w:p>
            <w:pPr>
              <w:spacing w:after="40"/>
              <w:shd w:val="clear" w:color="auto" w:fill="1F3B57"/>
            </w:pPr>
            <w:r>
              <w:rPr>
                <w:b/>
                <w:sz w:val="19"/>
                <w:color w:val="FFFFFF"/>
              </w:rPr>
              <w:t xml:space="preserve">Rule intent</w:t>
            </w:r>
          </w:p>
        </w:tc>
      </w:tr>
      <w:tr>
        <w:tc>
          <w:tcPr>
            <w:tcW w:w="1000" w:type="pct"/>
            <w:shd w:val="clear" w:color="auto" w:fill="F4F7FA"/>
            <w:vAlign w:val="center"/>
          </w:tcPr>
          <w:p>
            <w:pPr>
              <w:spacing w:after="40"/>
              <w:shd w:val="clear" w:color="auto" w:fill="F4F7FA"/>
            </w:pPr>
            <w:r>
              <w:rPr>
                <w:b/>
                <w:sz w:val="19"/>
              </w:rPr>
              <w:t xml:space="preserve">Deny</w:t>
            </w:r>
          </w:p>
        </w:tc>
        <w:tc>
          <w:tcPr>
            <w:tcW w:w="4000" w:type="pct"/>
            <w:vAlign w:val="center"/>
          </w:tcPr>
          <w:p>
            <w:pPr>
              <w:spacing w:after="40"/>
            </w:pPr>
            <w:r>
              <w:rPr>
                <w:sz w:val="19"/>
              </w:rPr>
              <w:t xml:space="preserve">Untrust to any: deny by default</w:t>
            </w:r>
          </w:p>
        </w:tc>
      </w:tr>
      <w:tr>
        <w:tc>
          <w:tcPr>
            <w:tcW w:w="1000" w:type="pct"/>
            <w:shd w:val="clear" w:color="auto" w:fill="F4F7FA"/>
            <w:vAlign w:val="center"/>
          </w:tcPr>
          <w:p>
            <w:pPr>
              <w:spacing w:after="40"/>
              <w:shd w:val="clear" w:color="auto" w:fill="F4F7FA"/>
            </w:pPr>
            <w:r>
              <w:rPr>
                <w:b/>
                <w:sz w:val="19"/>
              </w:rPr>
              <w:t xml:space="preserve">Inspect</w:t>
            </w:r>
          </w:p>
        </w:tc>
        <w:tc>
          <w:tcPr>
            <w:tcW w:w="4000" w:type="pct"/>
            <w:vAlign w:val="center"/>
          </w:tcPr>
          <w:p>
            <w:pPr>
              <w:spacing w:after="40"/>
            </w:pPr>
            <w:r>
              <w:rPr>
                <w:sz w:val="19"/>
              </w:rPr>
              <w:t xml:space="preserve">LAN to Untrust: inspect and log</w:t>
            </w:r>
          </w:p>
        </w:tc>
      </w:tr>
      <w:tr>
        <w:tc>
          <w:tcPr>
            <w:tcW w:w="1000" w:type="pct"/>
            <w:shd w:val="clear" w:color="auto" w:fill="F4F7FA"/>
            <w:vAlign w:val="center"/>
          </w:tcPr>
          <w:p>
            <w:pPr>
              <w:spacing w:after="40"/>
              <w:shd w:val="clear" w:color="auto" w:fill="F4F7FA"/>
            </w:pPr>
            <w:r>
              <w:rPr>
                <w:b/>
                <w:sz w:val="19"/>
              </w:rPr>
              <w:t xml:space="preserve">Allow</w:t>
            </w:r>
          </w:p>
        </w:tc>
        <w:tc>
          <w:tcPr>
            <w:tcW w:w="4000" w:type="pct"/>
            <w:vAlign w:val="center"/>
          </w:tcPr>
          <w:p>
            <w:pPr>
              <w:spacing w:after="40"/>
            </w:pPr>
            <w:r>
              <w:rPr>
                <w:sz w:val="19"/>
              </w:rPr>
              <w:t xml:space="preserve">Guest to Untrust: internet only</w:t>
            </w:r>
          </w:p>
        </w:tc>
      </w:tr>
      <w:tr>
        <w:tc>
          <w:tcPr>
            <w:tcW w:w="1000" w:type="pct"/>
            <w:shd w:val="clear" w:color="auto" w:fill="F4F7FA"/>
            <w:vAlign w:val="center"/>
          </w:tcPr>
          <w:p>
            <w:pPr>
              <w:spacing w:after="40"/>
              <w:shd w:val="clear" w:color="auto" w:fill="F4F7FA"/>
            </w:pPr>
            <w:r>
              <w:rPr>
                <w:b/>
                <w:sz w:val="19"/>
              </w:rPr>
              <w:t xml:space="preserve">Deny</w:t>
            </w:r>
          </w:p>
        </w:tc>
        <w:tc>
          <w:tcPr>
            <w:tcW w:w="4000" w:type="pct"/>
            <w:vAlign w:val="center"/>
          </w:tcPr>
          <w:p>
            <w:pPr>
              <w:spacing w:after="40"/>
            </w:pPr>
            <w:r>
              <w:rPr>
                <w:sz w:val="19"/>
              </w:rPr>
              <w:t xml:space="preserve">Guest to LAN: deny</w:t>
            </w:r>
          </w:p>
        </w:tc>
      </w:tr>
      <w:tr>
        <w:tc>
          <w:tcPr>
            <w:tcW w:w="1000" w:type="pct"/>
            <w:shd w:val="clear" w:color="auto" w:fill="F4F7FA"/>
            <w:vAlign w:val="center"/>
          </w:tcPr>
          <w:p>
            <w:pPr>
              <w:spacing w:after="40"/>
              <w:shd w:val="clear" w:color="auto" w:fill="F4F7FA"/>
            </w:pPr>
            <w:r>
              <w:rPr>
                <w:b/>
                <w:sz w:val="19"/>
              </w:rPr>
              <w:t xml:space="preserve">Inspect</w:t>
            </w:r>
          </w:p>
        </w:tc>
        <w:tc>
          <w:tcPr>
            <w:tcW w:w="4000" w:type="pct"/>
            <w:vAlign w:val="center"/>
          </w:tcPr>
          <w:p>
            <w:pPr>
              <w:spacing w:after="40"/>
            </w:pPr>
            <w:r>
              <w:rPr>
                <w:sz w:val="19"/>
              </w:rPr>
              <w:t xml:space="preserve">VPN to LAN: posture-checked</w:t>
            </w:r>
          </w:p>
        </w:tc>
      </w:tr>
    </w:tbl>
    <w:p>
      <w:pPr>
        <w:spacing w:after="160"/>
      </w:pPr>
    </w:p>
    <w:p>
      <w:pPr>
        <w:pStyle w:val="Heading1"/>
      </w:pPr>
      <w:r>
        <w:t xml:space="preserve">9. Assumptions and validation</w:t>
      </w:r>
    </w:p>
    <w:p>
      <w:pPr>
        <w:numPr>
          <w:ilvl w:val="0"/>
          <w:numId w:val="1"/>
        </w:numPr>
      </w:pPr>
      <w:r>
        <w:t xml:space="preserve">Throughput figures are taken from the tool catalogue and are indicative. Confirm the final model against the current vendor datasheet before the order is placed - vendors publish different numbers per test profile and revise them between OS releases.</w:t>
      </w:r>
    </w:p>
    <w:p>
      <w:pPr>
        <w:numPr>
          <w:ilvl w:val="0"/>
          <w:numId w:val="1"/>
        </w:numPr>
      </w:pPr>
      <w:r>
        <w:t xml:space="preserve">Sizing is based on threat-protection throughput with the full inspection stack enabled, not the raw firewall figure.</w:t>
      </w:r>
    </w:p>
    <w:p>
      <w:pPr>
        <w:numPr>
          <w:ilvl w:val="0"/>
          <w:numId w:val="1"/>
        </w:numPr>
      </w:pPr>
      <w:r>
        <w:t xml:space="preserve">A 30% growth allowance and 30% design headroom are included.</w:t>
      </w:r>
    </w:p>
    <w:p>
      <w:pPr>
        <w:numPr>
          <w:ilvl w:val="0"/>
          <w:numId w:val="1"/>
        </w:numPr>
      </w:pPr>
      <w:r>
        <w:t xml:space="preserve">Each node in a high-availability pair is sized to carry the full load on its own, so a single failure does not degrade the service.</w:t>
      </w:r>
    </w:p>
    <w:p>
      <w:pPr>
        <w:numPr>
          <w:ilvl w:val="0"/>
          <w:numId w:val="1"/>
        </w:numPr>
      </w:pPr>
      <w:r>
        <w:t xml:space="preserve">Licence quantities are per appliance. Multi-year terms usually attract a discount and are worth pricing alongside the one-year figure.</w:t>
      </w:r>
    </w:p>
    <w:p>
      <w:pPr>
        <w:numPr>
          <w:ilvl w:val="0"/>
          <w:numId w:val="1"/>
        </w:numPr>
      </w:pPr>
      <w:r>
        <w:t xml:space="preserve">Power, rack space, cooling and structured cabling are assumed to be available at the site and are out of scope for this document.</w:t>
      </w:r>
    </w:p>
    <w:p>
      <w:pPr>
        <w:numPr>
          <w:ilvl w:val="0"/>
          <w:numId w:val="1"/>
        </w:numPr>
      </w:pPr>
      <w:r>
        <w:t xml:space="preserve">Prepared by Niyyasoft on 20 September 2026 using the Niyya Software Firewall Selector Tool.</w:t>
      </w:r>
    </w:p>
    <w:p/>
    <w:p>
      <w:pPr>
        <w:jc w:val="center"/>
      </w:pPr>
      <w:r>
        <w:rPr>
          <w:i/>
          <w:sz w:val="16"/>
          <w:color w:val="8A97A3"/>
        </w:rPr>
        <w:t xml:space="preserve">Generated by the Niyya Firewall Selector Tool - niyyasoft.com - 20 September 2026</w:t>
      </w:r>
    </w:p>
    <w:sectPr>
      <w:pgSz w:w="11906" w:h="16838"/>
      <w:pgMar w:top="1000" w:right="1000" w:bottom="1000" w:left="1000" w:header="560" w:footer="56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420" w:hanging="300"/>
      </w:pPr>
      <w:rPr>
        <w:rFonts w:ascii="Arial" w:hAnsi="Arial" w:hint="default"/>
      </w:rPr>
    </w:lvl>
  </w:abstractNum>
  <w:abstractNum w:abstractNumId="1">
    <w:lvl w:ilvl="0">
      <w:start w:val="1"/>
      <w:numFmt w:val="decimal"/>
      <w:lvlText w:val="%1."/>
      <w:lvlJc w:val="left"/>
      <w:pPr>
        <w:ind w:left="420" w:hanging="300"/>
      </w:pPr>
    </w:lvl>
  </w:abstractNum>
  <w:num w:numId="1">
    <w:abstractNumId w:val="0"/>
  </w:num>
  <w:num w:numId="2">
    <w:abstractNumId w:val="1"/>
  </w:num>
</w:numbering>
</file>

<file path=word/styles.xml><?xml version="1.0" encoding="utf-8"?>
<w:styles xmlns:w="http://schemas.openxmlformats.org/wordprocessingml/2006/main">
  <w:docDefaults>
    <w:rPrDefault>
      <w:rPr>
        <w:rFonts w:ascii="Segoe UI" w:hAnsi="Segoe UI" w:eastAsia="Segoe UI" w:cs="Segoe UI"/>
        <w:sz w:val="20"/>
        <w:szCs w:val="20"/>
        <w:color w:val="1F2933"/>
      </w:rPr>
    </w:rPrDefault>
    <w:pPrDefault>
      <w:pPr>
        <w:spacing w:after="120" w:line="264" w:lineRule="auto"/>
      </w:pPr>
    </w:pPrDefault>
  </w:docDefaults>
  <w:style w:type="paragraph" w:default="1" w:styleId="Normal">
    <w:name w:val="Normal"/>
  </w:style>
  <w:style w:type="paragraph" w:styleId="Title">
    <w:name w:val="Title"/>
    <w:basedOn w:val="Normal"/>
    <w:pPr>
      <w:spacing w:after="60"/>
    </w:pPr>
    <w:rPr>
      <w:rFonts w:ascii="Segoe UI Semibold" w:hAnsi="Segoe UI Semibold"/>
      <w:b/>
      <w:sz w:val="52"/>
      <w:color w:val="1F3B57"/>
    </w:rPr>
  </w:style>
  <w:style w:type="paragraph" w:styleId="Subtitle">
    <w:name w:val="Subtitle"/>
    <w:basedOn w:val="Normal"/>
    <w:rPr>
      <w:sz w:val="24"/>
      <w:color w:val="5A6B7B"/>
    </w:rPr>
  </w:style>
  <w:style w:type="paragraph" w:styleId="Heading1">
    <w:name w:val="heading 1"/>
    <w:basedOn w:val="Normal"/>
    <w:pPr>
      <w:keepNext/>
      <w:outlineLvl w:val="0"/>
      <w:spacing w:before="280" w:after="120"/>
    </w:pPr>
    <w:rPr>
      <w:rFonts w:ascii="Segoe UI Semibold" w:hAnsi="Segoe UI Semibold"/>
      <w:b/>
      <w:color w:val="1F3B57"/>
      <w:sz w:val="30"/>
    </w:rPr>
  </w:style>
  <w:style w:type="paragraph" w:styleId="Heading2">
    <w:name w:val="heading 2"/>
    <w:basedOn w:val="Normal"/>
    <w:pPr>
      <w:keepNext/>
      <w:outlineLvl w:val="1"/>
      <w:spacing w:before="280" w:after="120"/>
    </w:pPr>
    <w:rPr>
      <w:rFonts w:ascii="Segoe UI Semibold" w:hAnsi="Segoe UI Semibold"/>
      <w:b/>
      <w:color w:val="2C5C86"/>
      <w:sz w:val="24"/>
    </w:rPr>
  </w:style>
  <w:style w:type="paragraph" w:styleId="Caption">
    <w:name w:val="caption"/>
    <w:basedOn w:val="Normal"/>
    <w:pPr>
      <w:jc w:val="center"/>
      <w:spacing w:after="240"/>
    </w:pPr>
    <w:rPr>
      <w:i/>
      <w:sz w:val="17"/>
      <w:color w:val="5A6B7B"/>
    </w:rPr>
  </w:style>
  <w:style w:type="table" w:styleId="FstTable">
    <w:name w:val="FST Table"/>
    <w:tblPr>
      <w:tblCellMar>
        <w:top w:w="80" w:type="dxa"/>
        <w:bottom w:w="8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3.png"/><Relationship Id="rId4" Type="http://schemas.openxmlformats.org/officeDocument/2006/relationships/image" Target="media/image4.png"/></Relationships>
</file>

<file path=docProps/app.xml><?xml version="1.0" encoding="utf-8"?>
<Properties xmlns="http://schemas.openxmlformats.org/officeDocument/2006/extended-properties" xmlns:vt="http://schemas.openxmlformats.org/officeDocument/2006/docPropsVTypes">
  <Application>Niyaasoft Firewall Selector Tool</Application>
  <Company>Niyya Software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HQ internet edge refresh</dc:title>
  <dc:subject>Firewall selection and design</dc:subject>
  <dc:creator>Niyyasoft</dc:creator>
  <cp:lastModifiedBy>Niyyasoft</cp:lastModifiedBy>
  <dcterms:created xsi:type="dcterms:W3CDTF">2026-09-20T19:13:29Z</dcterms:created>
  <dcterms:modified xsi:type="dcterms:W3CDTF">2026-09-20T19:13:29Z</dcterms:modified>
</cp:coreProperties>
</file>