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40"/>
      </w:pPr>
      <w:r>
        <w:rPr>
          <w:b/>
          <w:sz w:val="44"/>
          <w:color w:val="1D2430"/>
        </w:rPr>
        <w:t xml:space="preserve">VMware exit - wave 1</w:t>
      </w:r>
    </w:p>
    <w:p>
      <w:pPr>
        <w:spacing w:after="40"/>
      </w:pPr>
      <w:r>
        <w:rPr>
          <w:sz w:val="24"/>
          <w:color w:val="2F6FB5"/>
        </w:rPr>
        <w:t xml:space="preserve">V2V - Virtual to Virtual: VMware vSphere / ESXi (vCenter) to Nutanix AHV (Prism)</w:t>
      </w:r>
    </w:p>
    <w:p>
      <w:pPr>
        <w:spacing w:after="200"/>
        <w:pBdr>
          <w:bottom w:val="single" w:sz="8" w:color="2F6FB5"/>
        </w:pBdr>
      </w:pPr>
      <w:r>
        <w:rPr>
          <w:sz w:val="18"/>
          <w:color w:val="5D6674"/>
        </w:rPr>
        <w:t xml:space="preserve">Niyyasoft  |  Prepared by Niyyasoft  |  20 September 2026</w:t>
      </w:r>
    </w:p>
    <w:p>
      <w:pPr>
        <w:pStyle w:val="Heading1"/>
        <w:pageBreakBefore w:val="false"/>
      </w:pPr>
      <w:r>
        <w:t xml:space="preserve">Executive summary</w:t>
      </w:r>
    </w:p>
    <w:p>
      <w:pPr>
        <w:spacing w:after="120"/>
      </w:pPr>
      <w:r>
        <w:t xml:space="preserve">This assessment covers V2V - Virtual to Virtual: VMware vSphere / ESXi (vCenter) to Nutanix AHV (Prism) for 180 workloads. The recommended tool is Commvault Cloud (Complete Backup &amp; Recovery) from Commvault (Paid). Genuine any-to-any conversion on restore across a very wide platform matrix, including UNIX, and strong reporting for audit-heavy programmes. The sections below set out the architecture, the phased plan, the prerequisites and the risks, together with the alternatives considered and why they ranked lower.</w:t>
      </w:r>
    </w:p>
    <w:p>
      <w:pPr>
        <w:pStyle w:val="Heading2"/>
      </w:pPr>
      <w:r>
        <w:t xml:space="preserve">At a glance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371"/>
        <w:gridCol w:w="10199"/>
      </w:tblGrid>
      <w:tr>
        <w:trPr>
          <w:tblHeader/>
        </w:trPr>
        <w:tc>
          <w:tcPr>
            <w:tcW w:w="437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Item</w:t>
            </w:r>
          </w:p>
        </w:tc>
        <w:tc>
          <w:tcPr>
            <w:tcW w:w="10199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Detail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Scenario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V2V - Virtual to Virtual: VMware vSphere / ESXi (vCenter) to Nutanix AHV (Prism)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Recommended tool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 Cloud (Complete Backup &amp; Recovery)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OEM / vendor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Cost posture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 - Per-TB front-end or per-VM subscription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Cutover profile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Workloads in scope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180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Data to move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46.0 TB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Link between source and target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1,000 Mbps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Raw transfer time at 65% efficiency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6.9 days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Realistic elapsed time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11 days allowing for delta passes, retries and contention</w:t>
            </w:r>
          </w:p>
        </w:tc>
      </w:tr>
      <w:tr>
        <w:tc>
          <w:tcPr>
            <w:tcW w:w="437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Waves</w:t>
            </w:r>
          </w:p>
        </w:tc>
        <w:tc>
          <w:tcPr>
            <w:tcW w:w="10199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9 waves of about 20</w:t>
            </w:r>
          </w:p>
        </w:tc>
      </w:tr>
    </w:tbl>
    <w:p>
      <w:pPr>
        <w:pStyle w:val="Heading2"/>
      </w:pPr>
      <w:r>
        <w:t xml:space="preserve">Why this tool</w:t>
      </w:r>
    </w:p>
    <w:p>
      <w:pPr>
        <w:ind w:left="360" w:hanging="220"/>
        <w:spacing w:after="60"/>
      </w:pPr>
      <w:r>
        <w:t xml:space="preserve">• Supports V2V as a first-class scenario.</w:t>
      </w:r>
    </w:p>
    <w:p>
      <w:pPr>
        <w:ind w:left="360" w:hanging="220"/>
        <w:spacing w:after="60"/>
      </w:pPr>
      <w:r>
        <w:t xml:space="preserve">• Explicitly supports VMware vSphere / ESXi (vCenter) as a source and Nutanix AHV (Prism) as a target.</w:t>
      </w:r>
    </w:p>
    <w:p>
      <w:pPr>
        <w:ind w:left="360" w:hanging="220"/>
        <w:spacing w:after="60"/>
      </w:pPr>
      <w:r>
        <w:t xml:space="preserve">• Wave and batch orchestration, which matters at 180 workloads.</w:t>
      </w:r>
    </w:p>
    <w:p>
      <w:pPr>
        <w:ind w:left="360" w:hanging="220"/>
        <w:spacing w:after="60"/>
      </w:pPr>
      <w:r>
        <w:t xml:space="preserve">• Agentless, so there is no per-server software deployment to get approved.</w:t>
      </w:r>
    </w:p>
    <w:p>
      <w:pPr>
        <w:ind w:left="360" w:hanging="220"/>
        <w:spacing w:after="60"/>
      </w:pPr>
      <w:r>
        <w:t xml:space="preserve">• Provides changed-block tracking / incremental sync.</w:t>
      </w:r>
    </w:p>
    <w:p>
      <w:pPr>
        <w:ind w:left="360" w:hanging="220"/>
        <w:spacing w:after="60"/>
      </w:pPr>
      <w:r>
        <w:t xml:space="preserve">• Provides non-disruptive test migration.</w:t>
      </w:r>
    </w:p>
    <w:p>
      <w:pPr>
        <w:pStyle w:val="Heading2"/>
      </w:pPr>
      <w:r>
        <w:t xml:space="preserve">Watch out for</w:t>
      </w:r>
    </w:p>
    <w:p>
      <w:pPr>
        <w:ind w:left="360" w:hanging="220"/>
        <w:spacing w:after="60"/>
      </w:pPr>
      <w:r>
        <w:t xml:space="preserve">• Does not provide live migration (no guest downtime).</w:t>
      </w:r>
    </w:p>
    <w:p>
      <w:pPr>
        <w:ind w:left="360" w:hanging="220"/>
        <w:spacing w:after="60"/>
      </w:pPr>
      <w:r>
        <w:t xml:space="preserve">• Does not provide rollback / failback after cutover.</w:t>
      </w:r>
    </w:p>
    <w:p>
      <w:pPr>
        <w:ind w:left="360" w:hanging="220"/>
        <w:spacing w:after="60"/>
      </w:pPr>
      <w:r>
        <w:t xml:space="preserve">• Does not provide application dependency mapping.</w:t>
      </w:r>
    </w:p>
    <w:p>
      <w:pPr>
        <w:pStyle w:val="Heading1"/>
        <w:pageBreakBefore w:val="false"/>
      </w:pPr>
      <w:r>
        <w:t xml:space="preserve">Requirements captured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537"/>
        <w:gridCol w:w="9033"/>
      </w:tblGrid>
      <w:tr>
        <w:trPr>
          <w:tblHeader/>
        </w:trPr>
        <w:tc>
          <w:tcPr>
            <w:tcW w:w="5537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Question</w:t>
            </w:r>
          </w:p>
        </w:tc>
        <w:tc>
          <w:tcPr>
            <w:tcW w:w="9033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Answer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Project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VMware exit - wave 1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Organisation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Niyyasoft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Migration type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V2V - Virtual to Virtual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Source platform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VMware vSphere / ESXi (vCenter)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Target platform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Nutanix AHV (Prism)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Workloads in scope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180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Data volume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46.0 TB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Available bandwidth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1,000 Mbps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Guest operating systems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Windows, Linux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Downtime tolerance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 planned maintenance window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Budget posture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Cost is secondary to capability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Required capabilities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Changed-block tracking / incremental sync; Live migration (no guest downtime); Non-disruptive test migration; Rollback / failback after cutover; Agentless operation; Discovery and assessment; Application dependency mapping; Programme reporting / audit trail</w:t>
            </w:r>
          </w:p>
        </w:tc>
      </w:tr>
      <w:tr>
        <w:tc>
          <w:tcPr>
            <w:tcW w:w="553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Regulated / audit evidence needed</w:t>
            </w:r>
          </w:p>
        </w:tc>
        <w:tc>
          <w:tcPr>
            <w:tcW w:w="903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No</w:t>
            </w:r>
          </w:p>
        </w:tc>
      </w:tr>
    </w:tbl>
    <w:p>
      <w:pPr>
        <w:pStyle w:val="Heading1"/>
        <w:pageBreakBefore w:val="false"/>
      </w:pPr>
      <w:r>
        <w:t xml:space="preserve">Recommended tool: Commvault Cloud (Complete Backup &amp; Recovery)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497"/>
        <w:gridCol w:w="11073"/>
      </w:tblGrid>
      <w:tr>
        <w:trPr>
          <w:tblHeader/>
        </w:trPr>
        <w:tc>
          <w:tcPr>
            <w:tcW w:w="3497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Attribute</w:t>
            </w:r>
          </w:p>
        </w:tc>
        <w:tc>
          <w:tcPr>
            <w:tcW w:w="11073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Detail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OEM / vendor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Cost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 - Per-TB front-end or per-VM subscription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Licence model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Subscription by front-end terabyte or per-VM/per-instance, depending on the package.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Cutover profile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Deployment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Both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Designed for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 estates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Migration types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V2V, P2V, V2C, C2V, C2C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Capabilities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Changed-block tracking / incremental sync; Wave / batch orchestration; Agentless operation; Non-disruptive test migration; Encryption in flight; API / CLI automation; Programme reporting / audit trail; Discovery and assessment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Lifecycle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Current</w:t>
            </w:r>
          </w:p>
        </w:tc>
      </w:tr>
      <w:tr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Reference</w:t>
            </w:r>
          </w:p>
        </w:tc>
        <w:tc>
          <w:tcPr>
            <w:tcW w:w="11073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https://www.commvault.com/</w:t>
            </w:r>
          </w:p>
        </w:tc>
      </w:tr>
    </w:tbl>
    <w:p>
      <w:pPr>
        <w:pStyle w:val="Heading2"/>
      </w:pPr>
      <w:r>
        <w:t xml:space="preserve">Strengths</w:t>
      </w:r>
    </w:p>
    <w:p>
      <w:pPr>
        <w:spacing w:after="120"/>
      </w:pPr>
      <w:r>
        <w:t xml:space="preserve">Genuine any-to-any conversion on restore across a very wide platform matrix, including UNIX, and strong reporting for audit-heavy programmes.</w:t>
      </w:r>
    </w:p>
    <w:p>
      <w:pPr>
        <w:pStyle w:val="Heading2"/>
      </w:pPr>
      <w:r>
        <w:t xml:space="preserve">Limitations</w:t>
      </w:r>
    </w:p>
    <w:p>
      <w:pPr>
        <w:spacing w:after="120"/>
      </w:pPr>
      <w:r>
        <w:t xml:space="preserve">Complex to set up if you do not already run it; licensing needs careful sizing.</w:t>
      </w:r>
    </w:p>
    <w:p>
      <w:pPr>
        <w:pStyle w:val="Heading2"/>
      </w:pPr>
      <w:r>
        <w:t xml:space="preserve">How to license it</w:t>
      </w:r>
    </w:p>
    <w:p>
      <w:pPr>
        <w:spacing w:after="120"/>
      </w:pPr>
      <w:r>
        <w:t xml:space="preserve">Quote through Commvault or a partner; also on AWS/Azure marketplaces for cloud-spend drawdown.</w:t>
      </w:r>
    </w:p>
    <w:p>
      <w:pPr>
        <w:pStyle w:val="Heading1"/>
        <w:pageBreakBefore w:val="false"/>
      </w:pPr>
      <w:r>
        <w:t xml:space="preserve">Shortlist and alternatives</w:t>
      </w:r>
    </w:p>
    <w:p>
      <w:pPr>
        <w:spacing w:after="120"/>
      </w:pPr>
      <w:r>
        <w:t xml:space="preserve">Ranked against the constraints you entered. The score is relative within this assessment only - it is a sorting aid, not a product rating.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14"/>
        <w:gridCol w:w="2040"/>
        <w:gridCol w:w="1166"/>
        <w:gridCol w:w="3497"/>
        <w:gridCol w:w="2331"/>
        <w:gridCol w:w="1311"/>
        <w:gridCol w:w="1311"/>
      </w:tblGrid>
      <w:tr>
        <w:trPr>
          <w:tblHeader/>
        </w:trPr>
        <w:tc>
          <w:tcPr>
            <w:tcW w:w="2914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Tool</w:t>
            </w:r>
          </w:p>
        </w:tc>
        <w:tc>
          <w:tcPr>
            <w:tcW w:w="2040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OEM / vendor</w:t>
            </w:r>
          </w:p>
        </w:tc>
        <w:tc>
          <w:tcPr>
            <w:tcW w:w="1166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Cost</w:t>
            </w:r>
          </w:p>
        </w:tc>
        <w:tc>
          <w:tcPr>
            <w:tcW w:w="3497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Licensing model</w:t>
            </w:r>
          </w:p>
        </w:tc>
        <w:tc>
          <w:tcPr>
            <w:tcW w:w="233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Cutover profile</w:t>
            </w:r>
          </w:p>
        </w:tc>
        <w:tc>
          <w:tcPr>
            <w:tcW w:w="131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Scale</w:t>
            </w:r>
          </w:p>
        </w:tc>
        <w:tc>
          <w:tcPr>
            <w:tcW w:w="131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Fit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 Cloud (Complete Backup &amp; Recovery)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Per-TB front-end or per-VM subscription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150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Data Platform (Backup &amp; Replication)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Software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Universal Licence (VUL), typically sold in 10-instance packs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150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Nutanix Move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Nutanix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Included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No charge to Nutanix customers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138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NAKIVO Backup &amp; Replication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NAKIVO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Per-socket or per-workload perpetual/subscription; free trial and a free edition for small use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Mid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134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Cohesity DataProtect (incl. Veritas NetBackup)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Cohesity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Per-TB or per-workload subscription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126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Rubrik Security Cloud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Rubrik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Per-TB subscription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122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Storware Backup &amp; Recovery (vProtect)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Storware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Per-VM or per-socket subscription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Mid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114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Vinchin Backup &amp; Recovery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Vinchin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Per-socket / per-host perpetual or subscription; 60-day full-feature trial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Warm - seeded online, short cutover window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Mid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110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VMware OVF Tool / OVA export-import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Broadcom (VMware)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No licence cost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Cold - full outage for the whole copy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Smb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22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qemu-img</w:t>
            </w:r>
          </w:p>
        </w:tc>
        <w:tc>
          <w:tcPr>
            <w:tcW w:w="204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QEMU project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Open source</w:t>
            </w:r>
          </w:p>
        </w:tc>
        <w:tc>
          <w:tcPr>
            <w:tcW w:w="349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No licence cost (GPL)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Cold - full outage for the whole copy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Smb</w:t>
            </w:r>
          </w:p>
        </w:tc>
        <w:tc>
          <w:tcPr>
            <w:tcW w:w="131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14</w:t>
            </w:r>
          </w:p>
        </w:tc>
      </w:tr>
    </w:tbl>
    <w:p>
      <w:pPr>
        <w:pStyle w:val="Heading1"/>
        <w:pageBreakBefore w:val="false"/>
      </w:pPr>
      <w:r>
        <w:t xml:space="preserve">Supporting tools (discovery, assessment, endpoints)</w:t>
      </w:r>
    </w:p>
    <w:p>
      <w:pPr>
        <w:spacing w:after="120"/>
      </w:pPr>
      <w:r>
        <w:t xml:space="preserve">Use these alongside the migration engine. Discovery and dependency mapping are what make the wave plan real; skipping them is the most common reason migrations slip.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14"/>
        <w:gridCol w:w="2331"/>
        <w:gridCol w:w="1457"/>
        <w:gridCol w:w="7868"/>
      </w:tblGrid>
      <w:tr>
        <w:trPr>
          <w:tblHeader/>
        </w:trPr>
        <w:tc>
          <w:tcPr>
            <w:tcW w:w="2914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Tool</w:t>
            </w:r>
          </w:p>
        </w:tc>
        <w:tc>
          <w:tcPr>
            <w:tcW w:w="233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OEM / vendor</w:t>
            </w:r>
          </w:p>
        </w:tc>
        <w:tc>
          <w:tcPr>
            <w:tcW w:w="1457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Cost</w:t>
            </w:r>
          </w:p>
        </w:tc>
        <w:tc>
          <w:tcPr>
            <w:tcW w:w="7868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What it gives you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Device42 (Freshworks)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Freshworks (Device42)</w:t>
            </w:r>
          </w:p>
        </w:tc>
        <w:tc>
          <w:tcPr>
            <w:tcW w:w="145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Agentless discovery with application dependency mapping and move-group generation - the answer to "what talks to what, and what must move together".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Faddom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Faddom</w:t>
            </w:r>
          </w:p>
        </w:tc>
        <w:tc>
          <w:tcPr>
            <w:tcW w:w="145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Fully agentless dependency mapping that stands up in about an hour - good when you cannot get agents approved.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Flexera One (Cloud Migration &amp; Optimization)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Flexera</w:t>
            </w:r>
          </w:p>
        </w:tc>
        <w:tc>
          <w:tcPr>
            <w:tcW w:w="145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Ties discovery to software licence entitlement - critical when moving Oracle, SQL Server or SAP where the target platform changes the licence position.</w:t>
            </w:r>
          </w:p>
        </w:tc>
      </w:tr>
      <w:tr>
        <w:tc>
          <w:tcPr>
            <w:tcW w:w="291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Google Cloud Migration Center</w:t>
            </w:r>
          </w:p>
        </w:tc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Google Cloud</w:t>
            </w:r>
          </w:p>
        </w:tc>
        <w:tc>
          <w:tcPr>
            <w:tcW w:w="1457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Inventory, right-sizing, TCO modelling and group planning before you touch a workload.</w:t>
            </w:r>
          </w:p>
        </w:tc>
      </w:tr>
    </w:tbl>
    <w:p>
      <w:pPr>
        <w:pStyle w:val="Heading1"/>
        <w:pageBreakBefore w:val="false"/>
      </w:pPr>
      <w:r>
        <w:t xml:space="preserve">High-level migration architecture</w:t>
      </w:r>
    </w:p>
    <w:p>
      <w:pPr>
        <w:jc w:val="center"/>
        <w:spacing w:before="120" w:after="60"/>
      </w:pPr>
      <w:r>
        <w:drawing>
          <wp:inline distT="0" distB="0" distL="0" distR="0">
            <wp:extent cx="9251950" cy="5071116"/>
            <wp:effectExtent l="0" t="0" r="0" b="0"/>
            <wp:docPr id="1" name="Diagram 1" descr="High-level architecture - V2V - Virtual to Virtual: VMware vSphere / ESXi (vCenter) to Nutanix AHV (Pris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7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5D6674"/>
        </w:rPr>
        <w:t xml:space="preserve">High-level architecture - V2V - Virtual to Virtual: VMware vSphere / ESXi (vCenter) to Nutanix AHV (Prism)</w:t>
      </w:r>
    </w:p>
    <w:p>
      <w:pPr>
        <w:pStyle w:val="Heading2"/>
      </w:pPr>
      <w:r>
        <w:t xml:space="preserve">Design notes</w:t>
      </w:r>
    </w:p>
    <w:p>
      <w:pPr>
        <w:ind w:left="360" w:hanging="220"/>
        <w:spacing w:after="60"/>
      </w:pPr>
      <w:r>
        <w:t xml:space="preserve">• Wave cadence: weekly - IT first, friendly business unit second, highest-risk applications last</w:t>
      </w:r>
    </w:p>
    <w:p>
      <w:pPr>
        <w:ind w:left="360" w:hanging="220"/>
        <w:spacing w:after="60"/>
      </w:pPr>
      <w:r>
        <w:t xml:space="preserve">• Cutover is the short final delta pass, not the bulk copy - the bulk copy happens while the source is still running.</w:t>
      </w:r>
    </w:p>
    <w:p>
      <w:pPr>
        <w:pStyle w:val="Heading1"/>
        <w:pageBreakBefore w:val="false"/>
      </w:pPr>
      <w:r>
        <w:t xml:space="preserve">Low-level migration design</w:t>
      </w:r>
    </w:p>
    <w:p>
      <w:pPr>
        <w:jc w:val="center"/>
        <w:spacing w:before="120" w:after="60"/>
      </w:pPr>
      <w:r>
        <w:drawing>
          <wp:inline distT="0" distB="0" distL="0" distR="0">
            <wp:extent cx="9251950" cy="4180176"/>
            <wp:effectExtent l="0" t="0" r="0" b="0"/>
            <wp:docPr id="2" name="Diagram 2" descr="Low-level design - components, data path and cont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18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5D6674"/>
        </w:rPr>
        <w:t xml:space="preserve">Low-level design - components, data path and controls</w:t>
      </w:r>
    </w:p>
    <w:p>
      <w:pPr>
        <w:pStyle w:val="Heading2"/>
      </w:pPr>
      <w:r>
        <w:t xml:space="preserve">Design notes</w:t>
      </w:r>
    </w:p>
    <w:p>
      <w:pPr>
        <w:ind w:left="360" w:hanging="220"/>
        <w:spacing w:after="60"/>
      </w:pPr>
      <w:r>
        <w:t xml:space="preserve">• Ports shown are the common set - confirm the exact list against the Commvault Cloud (Complete Backup &amp; Recovery) documentation before raising firewall changes.</w:t>
      </w:r>
    </w:p>
    <w:p>
      <w:pPr>
        <w:ind w:left="360" w:hanging="220"/>
        <w:spacing w:after="60"/>
      </w:pPr>
      <w:r>
        <w:t xml:space="preserve">• Fallback tool if the PoC fails: Veeam Data Platform (Backup &amp; Replication).</w:t>
      </w:r>
    </w:p>
    <w:p>
      <w:pPr>
        <w:ind w:left="360" w:hanging="220"/>
        <w:spacing w:after="60"/>
      </w:pPr>
      <w:r>
        <w:t xml:space="preserve">• Every wave exits on: application smoke test passed, backup proven, monitoring live, owner signed off.</w:t>
      </w:r>
    </w:p>
    <w:p>
      <w:pPr>
        <w:pStyle w:val="Heading1"/>
        <w:pageBreakBefore w:val="false"/>
      </w:pPr>
      <w:r>
        <w:t xml:space="preserve">Migration phases and activities</w:t>
      </w:r>
    </w:p>
    <w:p>
      <w:pPr>
        <w:pStyle w:val="Heading2"/>
      </w:pPr>
      <w:r>
        <w:t xml:space="preserve">Discover - Inventory the estate, profile performance, map application dependencies and agree the scope.</w:t>
      </w:r>
    </w:p>
    <w:p>
      <w:pPr>
        <w:ind w:left="360" w:hanging="220"/>
        <w:spacing w:after="60"/>
      </w:pPr>
      <w:r>
        <w:t xml:space="preserve">• Run an inventory export (RVTools for vSphere, PowerShell for Hyper-V) and reconcile it against the CMDB.</w:t>
      </w:r>
    </w:p>
    <w:p>
      <w:pPr>
        <w:ind w:left="360" w:hanging="220"/>
        <w:spacing w:after="60"/>
      </w:pPr>
      <w:r>
        <w:t xml:space="preserve">• Profile 7 days of CPU, memory, IOPS and network so the target is sized on real load, not on allocation.</w:t>
      </w:r>
    </w:p>
    <w:p>
      <w:pPr>
        <w:ind w:left="360" w:hanging="220"/>
        <w:spacing w:after="60"/>
      </w:pPr>
      <w:r>
        <w:t xml:space="preserve">• Map application dependencies and agree the move groups - anything that talks to anything else moves in the same wave.</w:t>
      </w:r>
    </w:p>
    <w:p>
      <w:pPr>
        <w:ind w:left="360" w:hanging="220"/>
        <w:spacing w:after="60"/>
      </w:pPr>
      <w:r>
        <w:t xml:space="preserve">• Flag workloads that cannot be migrated as-is: licence-locked appliances, USB dongles, physical HBAs, unsupported OS versions.</w:t>
      </w:r>
    </w:p>
    <w:p>
      <w:pPr>
        <w:pStyle w:val="Heading2"/>
      </w:pPr>
      <w:r>
        <w:t xml:space="preserve">Design - Size and build the target platform, design networking and storage, pick the tool and prove it in a PoC.</w:t>
      </w:r>
    </w:p>
    <w:p>
      <w:pPr>
        <w:ind w:left="360" w:hanging="220"/>
        <w:spacing w:after="60"/>
      </w:pPr>
      <w:r>
        <w:t xml:space="preserve">• Size and build the target Nutanix AHV (Prism) capacity including N+1.</w:t>
      </w:r>
    </w:p>
    <w:p>
      <w:pPr>
        <w:ind w:left="360" w:hanging="220"/>
        <w:spacing w:after="60"/>
      </w:pPr>
      <w:r>
        <w:t xml:space="preserve">• Design IP addressing: keep the same subnets (stretched or re-created) or plan the re-addressing and DNS changes per wave.</w:t>
      </w:r>
    </w:p>
    <w:p>
      <w:pPr>
        <w:ind w:left="360" w:hanging="220"/>
        <w:spacing w:after="60"/>
      </w:pPr>
      <w:r>
        <w:t xml:space="preserve">• Confirm backup, monitoring, antivirus and patching agents exist for the target platform.</w:t>
      </w:r>
    </w:p>
    <w:p>
      <w:pPr>
        <w:ind w:left="360" w:hanging="220"/>
        <w:spacing w:after="60"/>
      </w:pPr>
      <w:r>
        <w:t xml:space="preserve">• Prove Commvault Cloud (Complete Backup &amp; Recovery) in a proof of concept against one real workload from each application family.</w:t>
      </w:r>
    </w:p>
    <w:p>
      <w:pPr>
        <w:pStyle w:val="Heading2"/>
      </w:pPr>
      <w:r>
        <w:t xml:space="preserve">Prepare - Deploy migration infrastructure, open firewall paths, stage agents, build move groups and waves.</w:t>
      </w:r>
    </w:p>
    <w:p>
      <w:pPr>
        <w:ind w:left="360" w:hanging="220"/>
        <w:spacing w:after="60"/>
      </w:pPr>
      <w:r>
        <w:t xml:space="preserve">• Deploy the Commvault Cloud (Complete Backup &amp; Recovery) infrastructure and open the required firewall paths.</w:t>
      </w:r>
    </w:p>
    <w:p>
      <w:pPr>
        <w:ind w:left="360" w:hanging="220"/>
        <w:spacing w:after="60"/>
      </w:pPr>
      <w:r>
        <w:t xml:space="preserve">• Stage guest tools / VirtIO / cloud agents on source VMs ahead of cutover where the tool does not inject them.</w:t>
      </w:r>
    </w:p>
    <w:p>
      <w:pPr>
        <w:ind w:left="360" w:hanging="220"/>
        <w:spacing w:after="60"/>
      </w:pPr>
      <w:r>
        <w:t xml:space="preserve">• Build the wave plan and book the change windows with each application owner.</w:t>
      </w:r>
    </w:p>
    <w:p>
      <w:pPr>
        <w:ind w:left="360" w:hanging="220"/>
        <w:spacing w:after="60"/>
      </w:pPr>
      <w:r>
        <w:t xml:space="preserve">• Agree and document the rollback trigger and the decision owner for each wave.</w:t>
      </w:r>
    </w:p>
    <w:p>
      <w:pPr>
        <w:pStyle w:val="Heading2"/>
      </w:pPr>
      <w:r>
        <w:t xml:space="preserve">Pilot - Migrate a low-risk wave end to end, measure throughput, validate the runbook and fix what broke.</w:t>
      </w:r>
    </w:p>
    <w:p>
      <w:pPr>
        <w:ind w:left="360" w:hanging="220"/>
        <w:spacing w:after="60"/>
      </w:pPr>
      <w:r>
        <w:t xml:space="preserve">• Migrate one low-risk, non-production wave end to end.</w:t>
      </w:r>
    </w:p>
    <w:p>
      <w:pPr>
        <w:ind w:left="360" w:hanging="220"/>
        <w:spacing w:after="60"/>
      </w:pPr>
      <w:r>
        <w:t xml:space="preserve">• Measure actual throughput and extrapolate the real programme duration.</w:t>
      </w:r>
    </w:p>
    <w:p>
      <w:pPr>
        <w:ind w:left="360" w:hanging="220"/>
        <w:spacing w:after="60"/>
      </w:pPr>
      <w:r>
        <w:t xml:space="preserve">• Run the full validation script and capture how long cutover really takes.</w:t>
      </w:r>
    </w:p>
    <w:p>
      <w:pPr>
        <w:ind w:left="360" w:hanging="220"/>
        <w:spacing w:after="60"/>
      </w:pPr>
      <w:r>
        <w:t xml:space="preserve">• Update the runbook with what broke - there will be something.</w:t>
      </w:r>
    </w:p>
    <w:p>
      <w:pPr>
        <w:pStyle w:val="Heading2"/>
      </w:pPr>
      <w:r>
        <w:t xml:space="preserve">Migrate - Run production waves on the agreed cadence with seeded replication and short cutover windows.</w:t>
      </w:r>
    </w:p>
    <w:p>
      <w:pPr>
        <w:ind w:left="360" w:hanging="220"/>
        <w:spacing w:after="60"/>
      </w:pPr>
      <w:r>
        <w:t xml:space="preserve">• Seed replication for the next wave while the current wave is being validated.</w:t>
      </w:r>
    </w:p>
    <w:p>
      <w:pPr>
        <w:ind w:left="360" w:hanging="220"/>
        <w:spacing w:after="60"/>
      </w:pPr>
      <w:r>
        <w:t xml:space="preserve">• Hold a go/no-go 24 hours before each cutover.</w:t>
      </w:r>
    </w:p>
    <w:p>
      <w:pPr>
        <w:ind w:left="360" w:hanging="220"/>
        <w:spacing w:after="60"/>
      </w:pPr>
      <w:r>
        <w:t xml:space="preserve">• Keep a daily burn-down of migrated versus remaining workloads.</w:t>
      </w:r>
    </w:p>
    <w:p>
      <w:pPr>
        <w:ind w:left="360" w:hanging="220"/>
        <w:spacing w:after="60"/>
      </w:pPr>
      <w:r>
        <w:t xml:space="preserve">• Re-baseline throughput weekly; bandwidth contention is the usual cause of slippage.</w:t>
      </w:r>
    </w:p>
    <w:p>
      <w:pPr>
        <w:pStyle w:val="Heading2"/>
      </w:pPr>
      <w:r>
        <w:t xml:space="preserve">Cutover - Final delta sync, stop the source, repoint DNS/load balancers, power on in the target, smoke test.</w:t>
      </w:r>
    </w:p>
    <w:p>
      <w:pPr>
        <w:ind w:left="360" w:hanging="220"/>
        <w:spacing w:after="60"/>
      </w:pPr>
      <w:r>
        <w:t xml:space="preserve">• Final delta sync, then quiesce and shut down the source guest.</w:t>
      </w:r>
    </w:p>
    <w:p>
      <w:pPr>
        <w:ind w:left="360" w:hanging="220"/>
        <w:spacing w:after="60"/>
      </w:pPr>
      <w:r>
        <w:t xml:space="preserve">• Power on in the target, verify IP, DNS, domain membership and time sync.</w:t>
      </w:r>
    </w:p>
    <w:p>
      <w:pPr>
        <w:ind w:left="360" w:hanging="220"/>
        <w:spacing w:after="60"/>
      </w:pPr>
      <w:r>
        <w:t xml:space="preserve">• Remove source-platform tools and install target-platform tools/drivers.</w:t>
      </w:r>
    </w:p>
    <w:p>
      <w:pPr>
        <w:ind w:left="360" w:hanging="220"/>
        <w:spacing w:after="60"/>
      </w:pPr>
      <w:r>
        <w:t xml:space="preserve">• Run the application smoke test and get the owner to sign the checklist.</w:t>
      </w:r>
    </w:p>
    <w:p>
      <w:pPr>
        <w:pStyle w:val="Heading2"/>
      </w:pPr>
      <w:r>
        <w:t xml:space="preserve">Validate - Application and business sign-off, performance comparison, backup and monitoring re-onboarding.</w:t>
      </w:r>
    </w:p>
    <w:p>
      <w:pPr>
        <w:ind w:left="360" w:hanging="220"/>
        <w:spacing w:after="60"/>
      </w:pPr>
      <w:r>
        <w:t xml:space="preserve">• Compare performance against the pre-migration baseline and resize where needed.</w:t>
      </w:r>
    </w:p>
    <w:p>
      <w:pPr>
        <w:ind w:left="360" w:hanging="220"/>
        <w:spacing w:after="60"/>
      </w:pPr>
      <w:r>
        <w:t xml:space="preserve">• Re-onboard to backup and monitoring, and prove one restore.</w:t>
      </w:r>
    </w:p>
    <w:p>
      <w:pPr>
        <w:ind w:left="360" w:hanging="220"/>
        <w:spacing w:after="60"/>
      </w:pPr>
      <w:r>
        <w:t xml:space="preserve">• Confirm licensing is correct on the new platform - core counts and socket counts change.</w:t>
      </w:r>
    </w:p>
    <w:p>
      <w:pPr>
        <w:ind w:left="360" w:hanging="220"/>
        <w:spacing w:after="60"/>
      </w:pPr>
      <w:r>
        <w:t xml:space="preserve">• Formal business sign-off per application.</w:t>
      </w:r>
    </w:p>
    <w:p>
      <w:pPr>
        <w:pStyle w:val="Heading2"/>
      </w:pPr>
      <w:r>
        <w:t xml:space="preserve">Decommission - Hold the source in a recoverable state for the agreed period, then reclaim licences and hardware.</w:t>
      </w:r>
    </w:p>
    <w:p>
      <w:pPr>
        <w:ind w:left="360" w:hanging="220"/>
        <w:spacing w:after="60"/>
      </w:pPr>
      <w:r>
        <w:t xml:space="preserve">• Keep the source VM powered off but intact for the agreed hold period (30 days is typical).</w:t>
      </w:r>
    </w:p>
    <w:p>
      <w:pPr>
        <w:ind w:left="360" w:hanging="220"/>
        <w:spacing w:after="60"/>
      </w:pPr>
      <w:r>
        <w:t xml:space="preserve">• Delete migration agents, appliances and temporary firewall rules.</w:t>
      </w:r>
    </w:p>
    <w:p>
      <w:pPr>
        <w:ind w:left="360" w:hanging="220"/>
        <w:spacing w:after="60"/>
      </w:pPr>
      <w:r>
        <w:t xml:space="preserve">• Reclaim source licences and update the CMDB and DR documentation.</w:t>
      </w:r>
    </w:p>
    <w:p>
      <w:pPr>
        <w:ind w:left="360" w:hanging="220"/>
        <w:spacing w:after="60"/>
      </w:pPr>
      <w:r>
        <w:t xml:space="preserve">• Close out the wave in the programme record.</w:t>
      </w:r>
    </w:p>
    <w:p>
      <w:pPr>
        <w:pStyle w:val="Heading1"/>
        <w:pageBreakBefore w:val="false"/>
      </w:pPr>
      <w:r>
        <w:t xml:space="preserve">Sizing and wave plan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45"/>
        <w:gridCol w:w="9325"/>
      </w:tblGrid>
      <w:tr>
        <w:trPr>
          <w:tblHeader/>
        </w:trPr>
        <w:tc>
          <w:tcPr>
            <w:tcW w:w="5245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Measure</w:t>
            </w:r>
          </w:p>
        </w:tc>
        <w:tc>
          <w:tcPr>
            <w:tcW w:w="9325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Value</w:t>
            </w:r>
          </w:p>
        </w:tc>
      </w:tr>
      <w:tr>
        <w:tc>
          <w:tcPr>
            <w:tcW w:w="524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Workloads in scope</w:t>
            </w:r>
          </w:p>
        </w:tc>
        <w:tc>
          <w:tcPr>
            <w:tcW w:w="932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180</w:t>
            </w:r>
          </w:p>
        </w:tc>
      </w:tr>
      <w:tr>
        <w:tc>
          <w:tcPr>
            <w:tcW w:w="524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Data to move</w:t>
            </w:r>
          </w:p>
        </w:tc>
        <w:tc>
          <w:tcPr>
            <w:tcW w:w="932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46.0 TB</w:t>
            </w:r>
          </w:p>
        </w:tc>
      </w:tr>
      <w:tr>
        <w:tc>
          <w:tcPr>
            <w:tcW w:w="524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Link between source and target</w:t>
            </w:r>
          </w:p>
        </w:tc>
        <w:tc>
          <w:tcPr>
            <w:tcW w:w="932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1,000 Mbps</w:t>
            </w:r>
          </w:p>
        </w:tc>
      </w:tr>
      <w:tr>
        <w:tc>
          <w:tcPr>
            <w:tcW w:w="524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Raw transfer time at 65% efficiency</w:t>
            </w:r>
          </w:p>
        </w:tc>
        <w:tc>
          <w:tcPr>
            <w:tcW w:w="932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6.9 days</w:t>
            </w:r>
          </w:p>
        </w:tc>
      </w:tr>
      <w:tr>
        <w:tc>
          <w:tcPr>
            <w:tcW w:w="524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Realistic elapsed time</w:t>
            </w:r>
          </w:p>
        </w:tc>
        <w:tc>
          <w:tcPr>
            <w:tcW w:w="9325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11 days allowing for delta passes, retries and contention</w:t>
            </w:r>
          </w:p>
        </w:tc>
      </w:tr>
    </w:tbl>
    <w:p>
      <w:pPr>
        <w:pStyle w:val="Heading2"/>
      </w:pPr>
      <w:r>
        <w:t xml:space="preserve">Wave plan</w:t>
      </w:r>
    </w:p>
    <w:p>
      <w:pPr>
        <w:spacing w:after="120"/>
      </w:pPr>
      <w:r>
        <w:t xml:space="preserve">Roughly 9 waves of about 20 at a weekly cadence. Wave 1 should be IT only, wave 2 a friendly business unit, and the highest-risk applications last - not first.</w:t>
      </w:r>
    </w:p>
    <w:p>
      <w:pPr>
        <w:pStyle w:val="Heading1"/>
        <w:pageBreakBefore w:val="false"/>
      </w:pPr>
      <w:r>
        <w:t xml:space="preserve">Prerequisites and dependencies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788"/>
        <w:gridCol w:w="10782"/>
      </w:tblGrid>
      <w:tr>
        <w:trPr>
          <w:tblHeader/>
        </w:trPr>
        <w:tc>
          <w:tcPr>
            <w:tcW w:w="3788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Prerequisite</w:t>
            </w:r>
          </w:p>
        </w:tc>
        <w:tc>
          <w:tcPr>
            <w:tcW w:w="10782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Detail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Management access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Administrative credentials on the source platform (VMware vSphere / ESXi (vCenter)) and the target (Nutanix AHV (Prism)).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Migration network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Routed path from the migration appliance/agents to both platforms, with the replication ports open and no deep packet inspection in the way.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Common ports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TCP 443 (platform APIs and most replication), TCP 902 (ESXi NFC), TCP 22 (Linux/appliance), TCP 445/135 + dynamic RPC (Windows agent push), TCP 1500-1520 (replication varies by product).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Name resolution and time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Forward and reverse DNS for every host involved, and NTP consistency - clock skew breaks certificate and Kerberos-based agents.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Staging capacity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 capacity on the target for the full wave plus snapshots, typically 1.3x the source footprint during the run.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Guest preparation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Local admin/root on each guest, a current backup taken immediately before cutover, and target platform drivers staged.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Change control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Approved change windows per wave and a named rollback owner.</w:t>
            </w:r>
          </w:p>
        </w:tc>
      </w:tr>
      <w:tr>
        <w:tc>
          <w:tcPr>
            <w:tcW w:w="378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Licensing for Commvault Cloud (Complete Backup &amp; Recovery)</w:t>
            </w:r>
          </w:p>
        </w:tc>
        <w:tc>
          <w:tcPr>
            <w:tcW w:w="10782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through Commvault or a partner; also on AWS/Azure marketplaces for cloud-spend drawdown.</w:t>
            </w:r>
          </w:p>
        </w:tc>
      </w:tr>
    </w:tbl>
    <w:p>
      <w:pPr>
        <w:pStyle w:val="Heading1"/>
        <w:pageBreakBefore w:val="false"/>
      </w:pPr>
      <w:r>
        <w:t xml:space="preserve">Risk register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54"/>
        <w:gridCol w:w="1748"/>
        <w:gridCol w:w="7868"/>
      </w:tblGrid>
      <w:tr>
        <w:trPr>
          <w:tblHeader/>
        </w:trPr>
        <w:tc>
          <w:tcPr>
            <w:tcW w:w="4954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Risk</w:t>
            </w:r>
          </w:p>
        </w:tc>
        <w:tc>
          <w:tcPr>
            <w:tcW w:w="1748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Impact</w:t>
            </w:r>
          </w:p>
        </w:tc>
        <w:tc>
          <w:tcPr>
            <w:tcW w:w="7868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Mitigation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Guest drivers or boot configuration break on the target platform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High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Stage target drivers (VirtIO, Hyper-V IC, cloud agents) before cutover and test one guest per OS family in the pilot.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Software licensing changes on the new platform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High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Review Oracle, SQL Server, SAP and Windows Server licence terms against the target core/socket model before committing - this can dwarf the migration cost.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IP re-addressing breaks hardcoded dependencies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Medium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Prefer L2 extension or identical subnets; where re-addressing is unavoidable, scan configuration files and firewall rules for literal IPs first.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Backup and monitoring coverage lapses after cutover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Medium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Make backup onboarding and a proven restore part of the wave exit criteria.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Discovery is incomplete and workloads appear late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High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Reconcile at least two independent inventory sources and freeze scope with a dated baseline.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Bandwidth is shared with production and throughput collapses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High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Measure real throughput in the pilot, rate-limit replication during business hours, and re-plan waves on actual numbers.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No agreed rollback trigger, so a bad cutover drags on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High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Define the rollback decision point, the owner and the time limit for every wave before it starts.</w:t>
            </w:r>
          </w:p>
        </w:tc>
      </w:tr>
      <w:tr>
        <w:tc>
          <w:tcPr>
            <w:tcW w:w="495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Application owners are not engaged and sign-off stalls</w:t>
            </w:r>
          </w:p>
        </w:tc>
        <w:tc>
          <w:tcPr>
            <w:tcW w:w="174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Medium</w:t>
            </w:r>
          </w:p>
        </w:tc>
        <w:tc>
          <w:tcPr>
            <w:tcW w:w="7868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Name an accountable owner and a test script per application during Discover, not during Cutover.</w:t>
            </w:r>
          </w:p>
        </w:tc>
      </w:tr>
    </w:tbl>
    <w:p>
      <w:pPr>
        <w:pStyle w:val="Heading1"/>
        <w:pageBreakBefore w:val="false"/>
      </w:pPr>
      <w:r>
        <w:t xml:space="preserve">Licensing reference</w:t>
      </w:r>
    </w:p>
    <w:p>
      <w:pPr>
        <w:spacing w:after="120"/>
      </w:pPr>
      <w:r>
        <w:t xml:space="preserve">Indicative licensing for planning only. Confirm with the OEM or your reseller before committing - pricing models change, and migration-specific short-term licences are often available but rarely advertised.</w:t>
      </w:r>
    </w:p>
    <w:tbl>
      <w:tblPr>
        <w:tblW w:w="5000" w:type="pct"/>
        <w:tblLayout w:type="fixed"/>
        <w:tblBorders>
          <w:top w:val="single" w:sz="4" w:color="C2CAD6"/>
          <w:left w:val="single" w:sz="4" w:color="C2CAD6"/>
          <w:bottom w:val="single" w:sz="4" w:color="C2CAD6"/>
          <w:right w:val="single" w:sz="4" w:color="C2CAD6"/>
          <w:insideH w:val="single" w:sz="4" w:color="DDE3EC"/>
          <w:insideV w:val="single" w:sz="4" w:color="DDE3EC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331"/>
        <w:gridCol w:w="1894"/>
        <w:gridCol w:w="1166"/>
        <w:gridCol w:w="4080"/>
        <w:gridCol w:w="5100"/>
      </w:tblGrid>
      <w:tr>
        <w:trPr>
          <w:tblHeader/>
        </w:trPr>
        <w:tc>
          <w:tcPr>
            <w:tcW w:w="2331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Tool</w:t>
            </w:r>
          </w:p>
        </w:tc>
        <w:tc>
          <w:tcPr>
            <w:tcW w:w="1894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OEM / vendor</w:t>
            </w:r>
          </w:p>
        </w:tc>
        <w:tc>
          <w:tcPr>
            <w:tcW w:w="1166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Cost</w:t>
            </w:r>
          </w:p>
        </w:tc>
        <w:tc>
          <w:tcPr>
            <w:tcW w:w="4080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Licence model</w:t>
            </w:r>
          </w:p>
        </w:tc>
        <w:tc>
          <w:tcPr>
            <w:tcW w:w="5100" w:type="dxa"/>
            <w:shd w:val="clear" w:color="auto" w:fill="1D2430"/>
            <w:vAlign w:val="top"/>
          </w:tcPr>
          <w:p>
            <w:pPr>
              <w:spacing w:before="20" w:after="20"/>
            </w:pPr>
            <w:r>
              <w:rPr>
                <w:b/>
                <w:color w:val="FFFFFF"/>
                <w:sz w:val="17"/>
              </w:rPr>
              <w:t xml:space="preserve">How to license it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 Cloud (Complete Backup &amp; Recovery)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Commvault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Subscription by front-end terabyte or per-VM/per-instance, depending on the package.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through Commvault or a partner; also on AWS/Azure marketplaces for cloud-spend drawdown.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Data Platform (Backup &amp; Replication)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Software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Veeam Universal Licence - portable instances that can be applied to VMs, physical servers, cloud instances or workstations. Per-socket perpetual licences still exist for legacy estates but VUL is the current model.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Buy VUL instance packs (annual subscription, 1/3/5 year) from Veeam or a ProPartner, or via the AWS/Azure marketplace. A licence file is uploaded to the Veeam console. Veeam Community Edition is free for up to 10 instances and can do cross-platform Instant Recovery - enough for a small migration.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Nutanix Move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Nutanix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Included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 downloadable appliance for any customer with a Nutanix cluster under support.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Sign in to the Nutanix Support Portal with your cluster entitlement and download the Move appliance (OVA/QCOW2). No licence key. Support is covered by your existing AOS contract.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NAKIVO Backup &amp; Replication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NAKIVO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Perpetual per-socket (hypervisor hosts) or per-workload subscription. NAKIVO also offers a limited free edition.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Buy from NAKIVO or a reseller and apply the licence in the Director web console. Sizing is per CPU socket on the source hosts or per protected workload.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Cohesity DataProtect (incl. Veritas NetBackup)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Cohesity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Capacity or workload-based subscription.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through Cohesity or a partner.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Rubrik Security Cloud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Rubrik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Capacity-based subscription.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through Rubrik or a partner.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Device42 (Freshworks)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Freshworks (Device42)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Annual subscription sized on managed devices.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from Device42/Freshworks or a partner; free trial available.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Faddom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Faddom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Subscription by number of servers; a free tier covers small environments.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Self-service sign-up with a free tier, then upgrade by server count.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Flexera One (Cloud Migration &amp; Optimization)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Flexera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Paid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Enterprise SaaS subscription.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Quote from Flexera.</w:t>
            </w:r>
          </w:p>
        </w:tc>
      </w:tr>
      <w:tr>
        <w:tc>
          <w:tcPr>
            <w:tcW w:w="2331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Google Cloud Migration Center</w:t>
            </w:r>
          </w:p>
        </w:tc>
        <w:tc>
          <w:tcPr>
            <w:tcW w:w="1894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Google Cloud</w:t>
            </w:r>
          </w:p>
        </w:tc>
        <w:tc>
          <w:tcPr>
            <w:tcW w:w="1166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</w:t>
            </w:r>
          </w:p>
        </w:tc>
        <w:tc>
          <w:tcPr>
            <w:tcW w:w="408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Free Google Cloud service.</w:t>
            </w:r>
          </w:p>
        </w:tc>
        <w:tc>
          <w:tcPr>
            <w:tcW w:w="5100" w:type="dxa"/>
            <w:vAlign w:val="top"/>
          </w:tcPr>
          <w:p>
            <w:pPr>
              <w:spacing w:before="20" w:after="20"/>
            </w:pPr>
            <w:r>
              <w:rPr>
                <w:sz w:val="17"/>
              </w:rPr>
              <w:t xml:space="preserve">Enable the API in your project. No cost.</w:t>
            </w:r>
          </w:p>
        </w:tc>
      </w:tr>
    </w:tbl>
    <w:p>
      <w:pPr>
        <w:pStyle w:val="Heading1"/>
        <w:pageBreakBefore w:val="false"/>
      </w:pPr>
      <w:r>
        <w:t xml:space="preserve">Assumptions and data currency</w:t>
      </w:r>
    </w:p>
    <w:p>
      <w:pPr>
        <w:ind w:left="360" w:hanging="220"/>
        <w:spacing w:after="60"/>
      </w:pPr>
      <w:r>
        <w:t xml:space="preserve">• Recommendations are generated from the constraints entered in the wizard on 20 September 2026. Change an answer and the ranking changes.</w:t>
      </w:r>
    </w:p>
    <w:p>
      <w:pPr>
        <w:ind w:left="360" w:hanging="220"/>
        <w:spacing w:after="60"/>
      </w:pPr>
      <w:r>
        <w:t xml:space="preserve">• Vendor, pricing and licensing data in this report was last reviewed on 2026-09-18. Treat every figure as indicative and confirm with the vendor.</w:t>
      </w:r>
    </w:p>
    <w:p>
      <w:pPr>
        <w:ind w:left="360" w:hanging="220"/>
        <w:spacing w:after="60"/>
      </w:pPr>
      <w:r>
        <w:t xml:space="preserve">• Throughput and duration figures assume the stated bandwidth is available to the migration and are reduced for protocol overhead, retries and contention. Validate them in the pilot wave.</w:t>
      </w:r>
    </w:p>
    <w:p>
      <w:pPr>
        <w:ind w:left="360" w:hanging="220"/>
        <w:spacing w:after="60"/>
      </w:pPr>
      <w:r>
        <w:t xml:space="preserve">• This report is a planning aid. It does not replace a proof of concept, a vendor sizing exercise, or a licence-compliance review of the target platform.</w:t>
      </w:r>
    </w:p>
    <w:p>
      <w:pPr>
        <w:spacing w:after="120"/>
      </w:pPr>
      <w:r>
        <w:rPr>
          <w:sz w:val="16"/>
          <w:color w:val="5D6674"/>
        </w:rPr>
        <w:t xml:space="preserve">Generated by Migration Tool Selector v1.0.0 - Niyya Software, niyyasoft.com. Vendor and licensing data last reviewed 2026-09-18. Confirm all commercial terms with the OEM or your reseller before committing.</w:t>
      </w:r>
    </w:p>
    <w:sectPr>
      <w:pgSz w:w="16838" w:h="11906" w:orient="landscape"/>
      <w:pgMar w:top="1134" w:right="1134" w:bottom="1134" w:left="1134" w:header="567" w:footer="567" w:gutter="0"/>
      <w:cols w:space="708"/>
      <w:docGrid w:linePitch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egoe UI" w:hAnsi="Segoe UI" w:cs="Segoe UI"/>
        <w:sz w:val="19"/>
        <w:szCs w:val="19"/>
        <w:color w:val="1D2430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320" w:after="140"/>
      <w:pBdr>
        <w:bottom w:val="single" w:sz="6" w:color="C2CAD6"/>
      </w:pBdr>
      <w:outlineLvl w:val="0"/>
    </w:pPr>
    <w:rPr>
      <w:b/>
      <w:sz w:val="28"/>
      <w:color w:val="1D2430"/>
    </w:rPr>
  </w:style>
  <w:style w:type="paragraph" w:styleId="Heading2">
    <w:name w:val="heading 2"/>
    <w:basedOn w:val="Normal"/>
    <w:pPr>
      <w:spacing w:before="200" w:after="80"/>
      <w:outlineLvl w:val="1"/>
    </w:pPr>
    <w:rPr>
      <w:b/>
      <w:sz w:val="21"/>
      <w:color w:val="2F6FB5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VMware exit - wave 1</dc:title>
  <dc:subject>V2V - Virtual to Virtual: VMware vSphere / ESXi (vCenter) to Nutanix AHV (Prism)</dc:subject>
  <dc:creator>Niyyasoft</dc:creator>
  <cp:lastModifiedBy>Niyyasoft</cp:lastModifiedBy>
  <dcterms:created xsi:type="dcterms:W3CDTF">2026-09-20T19:32:07Z</dcterms:created>
  <dcterms:modified xsi:type="dcterms:W3CDTF">2026-09-20T19:32:07Z</dcterms:modified>
  <cp:category>Migration design</cp:category>
</cp:coreProperties>
</file>