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60" w:after="120"/>
      </w:pPr>
      <w:r>
        <w:drawing>
          <wp:inline distT="0" distB="0" distL="0" distR="0">
            <wp:extent cx="3420000" cy="855000"/>
            <wp:effectExtent l="0" t="0" r="0" b="0"/>
            <wp:docPr id="1" name="Picture 1" descr="Microsoft License Assessment Tool (MLAT) by Niyya Software"/>
            <wp:cNvGraphicFramePr>
              <a:graphicFrameLocks noChangeAspect="1"/>
            </wp:cNvGraphicFramePr>
            <a:graphic>
              <a:graphicData uri="http://schemas.openxmlformats.org/drawingml/2006/picture">
                <pic:pic>
                  <pic:nvPicPr>
                    <pic:cNvPr id="0" name="Picture 1.png"/>
                    <pic:cNvPicPr/>
                  </pic:nvPicPr>
                  <pic:blipFill>
                    <a:blip r:embed="rId100"/>
                    <a:stretch>
                      <a:fillRect/>
                    </a:stretch>
                  </pic:blipFill>
                  <pic:spPr>
                    <a:xfrm>
                      <a:off x="0" y="0"/>
                      <a:ext cx="3420000" cy="855000"/>
                    </a:xfrm>
                    <a:prstGeom prst="rect">
                      <a:avLst/>
                    </a:prstGeom>
                  </pic:spPr>
                </pic:pic>
              </a:graphicData>
            </a:graphic>
          </wp:inline>
        </w:drawing>
      </w:r>
    </w:p>
    <w:p>
      <w:pPr>
        <w:spacing w:before="0" w:after="1280" w:line="20" w:lineRule="exact"/>
      </w:pPr>
    </w:p>
    <w:p>
      <w:pPr>
        <w:spacing w:after="80"/>
      </w:pPr>
      <w:r>
        <w:rPr>
          <w:b/>
          <w:bCs/>
          <w:color w:val="2563A6"/>
          <w:sz w:val="20"/>
          <w:szCs w:val="20"/>
        </w:rPr>
        <w:t xml:space="preserve">TECHNICAL LICENSING ASSESSMENT</w:t>
      </w:r>
    </w:p>
    <w:p>
      <w:pPr>
        <w:pStyle w:val="Title"/>
      </w:pPr>
      <w:r>
        <w:t xml:space="preserve">Microsoft Licensing Assessment Report</w:t>
      </w:r>
    </w:p>
    <w:p>
      <w:pPr>
        <w:pStyle w:val="Subtitle"/>
      </w:pPr>
      <w:r>
        <w:t xml:space="preserve">Demo Company Ltd (fictional)</w:t>
      </w:r>
    </w:p>
    <w:p>
      <w:pPr>
        <w:spacing w:before="0" w:after="120" w:line="20" w:lineRule="exact"/>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60" w:type="dxa"/>
          <w:left w:w="80" w:type="dxa"/>
          <w:bottom w:w="60" w:type="dxa"/>
          <w:right w:w="80" w:type="dxa"/>
        </w:tblCellMar>
        <w:tblLook w:val="04A0" w:firstRow="1" w:lastRow="0" w:firstColumn="0" w:lastColumn="0" w:noHBand="0" w:noVBand="1"/>
      </w:tblPr>
      <w:tblGrid>
        <w:gridCol w:w="3120"/>
        <w:gridCol w:w="6632"/>
      </w:tblGrid>
      <w:tr>
        <w:trPr>
          <w:cantSplit/>
        </w:trPr>
        <w:tc>
          <w:tcPr>
            <w:tcW w:w="3120" w:type="dxa"/>
          </w:tcPr>
          <w:p>
            <w:pPr>
              <w:pStyle w:val="TableText"/>
              <w:keepNext/>
            </w:pPr>
            <w:r>
              <w:rPr>
                <w:color w:val="5B6475"/>
                <w:sz w:val="19"/>
                <w:szCs w:val="19"/>
              </w:rPr>
              <w:t xml:space="preserve">Customer</w:t>
            </w:r>
          </w:p>
        </w:tc>
        <w:tc>
          <w:tcPr>
            <w:tcW w:w="6632" w:type="dxa"/>
          </w:tcPr>
          <w:p>
            <w:pPr>
              <w:pStyle w:val="TableText"/>
              <w:keepNext/>
            </w:pPr>
            <w:r>
              <w:rPr>
                <w:sz w:val="19"/>
                <w:szCs w:val="19"/>
              </w:rPr>
              <w:t xml:space="preserve">Demo Company Ltd (fictional)</w:t>
            </w:r>
          </w:p>
        </w:tc>
      </w:tr>
      <w:tr>
        <w:trPr>
          <w:cantSplit/>
        </w:trPr>
        <w:tc>
          <w:tcPr>
            <w:tcW w:w="3120" w:type="dxa"/>
          </w:tcPr>
          <w:p>
            <w:pPr>
              <w:pStyle w:val="TableText"/>
              <w:keepNext/>
            </w:pPr>
            <w:r>
              <w:rPr>
                <w:color w:val="5B6475"/>
                <w:sz w:val="19"/>
                <w:szCs w:val="19"/>
              </w:rPr>
              <w:t xml:space="preserve">Assessment</w:t>
            </w:r>
          </w:p>
        </w:tc>
        <w:tc>
          <w:tcPr>
            <w:tcW w:w="6632" w:type="dxa"/>
          </w:tcPr>
          <w:p>
            <w:pPr>
              <w:pStyle w:val="TableText"/>
              <w:keepNext/>
            </w:pPr>
            <w:r>
              <w:rPr>
                <w:sz w:val="19"/>
                <w:szCs w:val="19"/>
              </w:rPr>
              <w:t xml:space="preserve">DEMO - Microsoft licensing assessment</w:t>
            </w:r>
          </w:p>
        </w:tc>
      </w:tr>
      <w:tr>
        <w:trPr>
          <w:cantSplit/>
        </w:trPr>
        <w:tc>
          <w:tcPr>
            <w:tcW w:w="3120" w:type="dxa"/>
          </w:tcPr>
          <w:p>
            <w:pPr>
              <w:pStyle w:val="TableText"/>
              <w:keepNext/>
            </w:pPr>
            <w:r>
              <w:rPr>
                <w:color w:val="5B6475"/>
                <w:sz w:val="19"/>
                <w:szCs w:val="19"/>
              </w:rPr>
              <w:t xml:space="preserve">Assessment ID</w:t>
            </w:r>
          </w:p>
        </w:tc>
        <w:tc>
          <w:tcPr>
            <w:tcW w:w="6632" w:type="dxa"/>
          </w:tcPr>
          <w:p>
            <w:pPr>
              <w:pStyle w:val="TableText"/>
              <w:keepNext/>
            </w:pPr>
            <w:r>
              <w:rPr>
                <w:sz w:val="19"/>
                <w:szCs w:val="19"/>
              </w:rPr>
              <w:t xml:space="preserve">e182658e-c05c-4b09-91e9-f293323a9995</w:t>
            </w:r>
          </w:p>
        </w:tc>
      </w:tr>
      <w:tr>
        <w:trPr>
          <w:cantSplit/>
        </w:trPr>
        <w:tc>
          <w:tcPr>
            <w:tcW w:w="3120" w:type="dxa"/>
          </w:tcPr>
          <w:p>
            <w:pPr>
              <w:pStyle w:val="TableText"/>
              <w:keepNext/>
            </w:pPr>
            <w:r>
              <w:rPr>
                <w:color w:val="5B6475"/>
                <w:sz w:val="19"/>
                <w:szCs w:val="19"/>
              </w:rPr>
              <w:t xml:space="preserve">Assessment date</w:t>
            </w:r>
          </w:p>
        </w:tc>
        <w:tc>
          <w:tcPr>
            <w:tcW w:w="6632" w:type="dxa"/>
          </w:tcPr>
          <w:p>
            <w:pPr>
              <w:pStyle w:val="TableText"/>
              <w:keepNext/>
            </w:pPr>
            <w:r>
              <w:rPr>
                <w:sz w:val="19"/>
                <w:szCs w:val="19"/>
              </w:rPr>
              <w:t xml:space="preserve">2026-10-02</w:t>
            </w:r>
          </w:p>
        </w:tc>
      </w:tr>
      <w:tr>
        <w:trPr>
          <w:cantSplit/>
        </w:trPr>
        <w:tc>
          <w:tcPr>
            <w:tcW w:w="3120" w:type="dxa"/>
          </w:tcPr>
          <w:p>
            <w:pPr>
              <w:pStyle w:val="TableText"/>
              <w:keepNext/>
            </w:pPr>
            <w:r>
              <w:rPr>
                <w:color w:val="5B6475"/>
                <w:sz w:val="19"/>
                <w:szCs w:val="19"/>
              </w:rPr>
              <w:t xml:space="preserve">Report generated</w:t>
            </w:r>
          </w:p>
        </w:tc>
        <w:tc>
          <w:tcPr>
            <w:tcW w:w="6632" w:type="dxa"/>
          </w:tcPr>
          <w:p>
            <w:pPr>
              <w:pStyle w:val="TableText"/>
              <w:keepNext/>
            </w:pPr>
            <w:r>
              <w:rPr>
                <w:sz w:val="19"/>
                <w:szCs w:val="19"/>
              </w:rPr>
              <w:t xml:space="preserve">2026-10-02 01:33 UTC</w:t>
            </w:r>
          </w:p>
        </w:tc>
      </w:tr>
      <w:tr>
        <w:trPr>
          <w:cantSplit/>
        </w:trPr>
        <w:tc>
          <w:tcPr>
            <w:tcW w:w="3120" w:type="dxa"/>
          </w:tcPr>
          <w:p>
            <w:pPr>
              <w:pStyle w:val="TableText"/>
              <w:keepNext/>
            </w:pPr>
            <w:r>
              <w:rPr>
                <w:color w:val="5B6475"/>
                <w:sz w:val="19"/>
                <w:szCs w:val="19"/>
              </w:rPr>
              <w:t xml:space="preserve">Prepared by</w:t>
            </w:r>
          </w:p>
        </w:tc>
        <w:tc>
          <w:tcPr>
            <w:tcW w:w="6632" w:type="dxa"/>
          </w:tcPr>
          <w:p>
            <w:pPr>
              <w:pStyle w:val="TableText"/>
              <w:keepNext/>
            </w:pPr>
            <w:r>
              <w:rPr>
                <w:sz w:val="19"/>
                <w:szCs w:val="19"/>
              </w:rPr>
              <w:t xml:space="preserve">Niyya Software</w:t>
            </w:r>
          </w:p>
        </w:tc>
      </w:tr>
      <w:tr>
        <w:trPr>
          <w:cantSplit/>
        </w:trPr>
        <w:tc>
          <w:tcPr>
            <w:tcW w:w="3120" w:type="dxa"/>
          </w:tcPr>
          <w:p>
            <w:pPr>
              <w:pStyle w:val="TableText"/>
              <w:keepNext/>
            </w:pPr>
            <w:r>
              <w:rPr>
                <w:color w:val="5B6475"/>
                <w:sz w:val="19"/>
                <w:szCs w:val="19"/>
              </w:rPr>
              <w:t xml:space="preserve">Agreement type (stated)</w:t>
            </w:r>
          </w:p>
        </w:tc>
        <w:tc>
          <w:tcPr>
            <w:tcW w:w="6632" w:type="dxa"/>
          </w:tcPr>
          <w:p>
            <w:pPr>
              <w:pStyle w:val="TableText"/>
              <w:keepNext/>
            </w:pPr>
            <w:r>
              <w:rPr>
                <w:sz w:val="19"/>
                <w:szCs w:val="19"/>
              </w:rPr>
              <w:t xml:space="preserve">Enterprise Agreement (EA)</w:t>
            </w:r>
          </w:p>
        </w:tc>
      </w:tr>
      <w:tr>
        <w:trPr>
          <w:cantSplit/>
        </w:trPr>
        <w:tc>
          <w:tcPr>
            <w:tcW w:w="3120" w:type="dxa"/>
          </w:tcPr>
          <w:p>
            <w:pPr>
              <w:pStyle w:val="TableText"/>
              <w:keepNext/>
            </w:pPr>
            <w:r>
              <w:rPr>
                <w:color w:val="5B6475"/>
                <w:sz w:val="19"/>
                <w:szCs w:val="19"/>
              </w:rPr>
              <w:t xml:space="preserve">Tool version</w:t>
            </w:r>
          </w:p>
        </w:tc>
        <w:tc>
          <w:tcPr>
            <w:tcW w:w="6632" w:type="dxa"/>
          </w:tcPr>
          <w:p>
            <w:pPr>
              <w:pStyle w:val="TableText"/>
              <w:keepNext/>
            </w:pPr>
            <w:r>
              <w:rPr>
                <w:sz w:val="19"/>
                <w:szCs w:val="19"/>
              </w:rPr>
              <w:t xml:space="preserve">Microsoft License Assessment Tool (MLAT) 1.2.0</w:t>
            </w:r>
            <w:r>
              <w:rPr>
                <w:color w:val="5B6475"/>
                <w:sz w:val="19"/>
                <w:szCs w:val="19"/>
              </w:rPr>
              <w:t xml:space="preserve">  (collector 1.2.0)</w:t>
            </w:r>
          </w:p>
        </w:tc>
      </w:tr>
      <w:tr>
        <w:trPr>
          <w:cantSplit/>
        </w:trPr>
        <w:tc>
          <w:tcPr>
            <w:tcW w:w="3120" w:type="dxa"/>
          </w:tcPr>
          <w:p>
            <w:pPr>
              <w:pStyle w:val="TableText"/>
              <w:keepNext/>
            </w:pPr>
            <w:r>
              <w:rPr>
                <w:color w:val="5B6475"/>
                <w:sz w:val="19"/>
                <w:szCs w:val="19"/>
              </w:rPr>
              <w:t xml:space="preserve">Licensing rules version</w:t>
            </w:r>
          </w:p>
        </w:tc>
        <w:tc>
          <w:tcPr>
            <w:tcW w:w="6632" w:type="dxa"/>
          </w:tcPr>
          <w:p>
            <w:pPr>
              <w:pStyle w:val="TableText"/>
              <w:keepNext/>
            </w:pPr>
            <w:r>
              <w:rPr>
                <w:sz w:val="19"/>
                <w:szCs w:val="19"/>
              </w:rPr>
              <w:t xml:space="preserve">2026.10.3</w:t>
            </w:r>
            <w:r>
              <w:rPr>
                <w:color w:val="5B6475"/>
                <w:sz w:val="19"/>
                <w:szCs w:val="19"/>
              </w:rPr>
              <w:t xml:space="preserve">  (published 2026-10-02)</w:t>
            </w:r>
          </w:p>
        </w:tc>
      </w:tr>
      <w:tr>
        <w:trPr>
          <w:cantSplit/>
        </w:trPr>
        <w:tc>
          <w:tcPr>
            <w:tcW w:w="3120" w:type="dxa"/>
          </w:tcPr>
          <w:p>
            <w:pPr>
              <w:pStyle w:val="TableText"/>
            </w:pPr>
            <w:r>
              <w:rPr>
                <w:color w:val="5B6475"/>
                <w:sz w:val="19"/>
                <w:szCs w:val="19"/>
              </w:rPr>
              <w:t xml:space="preserve">Basis</w:t>
            </w:r>
          </w:p>
        </w:tc>
        <w:tc>
          <w:tcPr>
            <w:tcW w:w="6632" w:type="dxa"/>
          </w:tcPr>
          <w:p>
            <w:pPr>
              <w:pStyle w:val="TableText"/>
            </w:pPr>
            <w:r>
              <w:rPr>
                <w:sz w:val="19"/>
                <w:szCs w:val="19"/>
              </w:rPr>
              <w:t xml:space="preserve">Current environment</w:t>
            </w:r>
          </w:p>
        </w:tc>
      </w:tr>
    </w:tbl>
    <w:p>
      <w:pPr>
        <w:spacing w:before="0" w:after="0" w:line="240" w:lineRule="auto"/>
        <w:rPr>
          <w:sz w:val="12"/>
          <w:szCs w:val="12"/>
        </w:rPr>
      </w:pPr>
    </w:p>
    <w:p>
      <w:pPr>
        <w:spacing w:before="80" w:after="360"/>
      </w:pPr>
      <w:r>
        <w:rPr>
          <w:b/>
          <w:bCs/>
          <w:color w:val="5B6475"/>
        </w:rPr>
        <w:t xml:space="preserve">Developed by Amr Hafez · Niyya Software</w:t>
      </w:r>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1F3A5F"/>
            </w:tcBorders>
            <w:shd w:val="clear" w:color="auto" w:fill="F5F7FA"/>
          </w:tcPr>
          <w:p>
            <w:pPr>
              <w:pStyle w:val="TableText"/>
              <w:spacing w:after="60"/>
            </w:pPr>
            <w:r>
              <w:rPr>
                <w:b/>
                <w:bCs/>
                <w:color w:val="1F3A5F"/>
                <w:sz w:val="20"/>
                <w:szCs w:val="20"/>
              </w:rPr>
              <w:t xml:space="preserve">Technical assessment – not an official Microsoft licensing or legal determination</w:t>
            </w:r>
          </w:p>
          <w:p>
            <w:pPr>
              <w:pStyle w:val="TableText"/>
            </w:pPr>
            <w:r>
              <w:rPr>
                <w:sz w:val="17"/>
                <w:szCs w:val="17"/>
              </w:rPr>
              <w:t xml:space="preserve">This assessment is based on technical information collected from the assessed environment and the licensing rules available within the assessment tool at the time of execution. It is intended to support licensing analysis and procurement planning and does not constitute a legal or contractual determination of compliance, nor an official Microsoft licensing position. Results are a technical assessment only and must be validated against the customer's Microsoft agreement(s), the Microsoft Product Terms, the applicable licensing program and, where required, a Microsoft licensing specialist. Indicative prices are estimates only and must be replaced with a quotation from an authorized reseller.</w:t>
            </w:r>
          </w:p>
        </w:tc>
      </w:tr>
    </w:tbl>
    <w:p>
      <w:pPr>
        <w:spacing w:before="0" w:after="0" w:line="240" w:lineRule="auto"/>
        <w:rPr>
          <w:sz w:val="12"/>
          <w:szCs w:val="12"/>
        </w:rPr>
      </w:pPr>
    </w:p>
    <w:p>
      <w:pPr>
        <w:keepNext/>
        <w:pageBreakBefore/>
        <w:spacing w:after="200"/>
      </w:pPr>
      <w:r>
        <w:rPr>
          <w:b/>
          <w:bCs/>
          <w:color w:val="1F3A5F"/>
          <w:sz w:val="32"/>
          <w:szCs w:val="32"/>
        </w:rPr>
        <w:t xml:space="preserve">Contents</w:t>
      </w:r>
    </w:p>
    <w:p>
      <w:pPr>
        <w:pStyle w:val="TOC1"/>
      </w:pPr>
      <w:r>
        <w:fldChar w:fldCharType="begin"/>
      </w:r>
      <w:r>
        <w:instrText xml:space="preserve"> TOC \o "1-1" \h \z \u </w:instrText>
      </w:r>
      <w:r>
        <w:fldChar w:fldCharType="separate"/>
      </w:r>
      <w:hyperlink w:anchor="_TocMlat00001" w:history="1">
        <w:r>
          <w:t xml:space="preserve">Executive summary</w:t>
        </w:r>
      </w:hyperlink>
    </w:p>
    <w:p>
      <w:pPr>
        <w:pStyle w:val="TOC1"/>
      </w:pPr>
      <w:hyperlink w:anchor="_TocMlat00004" w:history="1">
        <w:r>
          <w:t xml:space="preserve">Environment and licensing KPIs</w:t>
        </w:r>
      </w:hyperlink>
    </w:p>
    <w:p>
      <w:pPr>
        <w:pStyle w:val="TOC1"/>
      </w:pPr>
      <w:hyperlink w:anchor="_TocMlat00007" w:history="1">
        <w:r>
          <w:t xml:space="preserve">Licensing charts</w:t>
        </w:r>
      </w:hyperlink>
    </w:p>
    <w:p>
      <w:pPr>
        <w:pStyle w:val="TOC1"/>
      </w:pPr>
      <w:hyperlink w:anchor="_TocMlat00012" w:history="1">
        <w:r>
          <w:t xml:space="preserve">Windows license state</w:t>
        </w:r>
      </w:hyperlink>
    </w:p>
    <w:p>
      <w:pPr>
        <w:pStyle w:val="TOC1"/>
      </w:pPr>
      <w:hyperlink w:anchor="_TocMlat00015" w:history="1">
        <w:r>
          <w:t xml:space="preserve">Cluster licensing</w:t>
        </w:r>
      </w:hyperlink>
    </w:p>
    <w:p>
      <w:pPr>
        <w:pStyle w:val="TOC1"/>
      </w:pPr>
      <w:hyperlink w:anchor="_TocMlat00017" w:history="1">
        <w:r>
          <w:t xml:space="preserve">Current licensing position</w:t>
        </w:r>
      </w:hyperlink>
    </w:p>
    <w:p>
      <w:pPr>
        <w:pStyle w:val="TOC1"/>
      </w:pPr>
      <w:hyperlink w:anchor="_TocMlat00018" w:history="1">
        <w:r>
          <w:t xml:space="preserve">Potential gaps</w:t>
        </w:r>
      </w:hyperlink>
    </w:p>
    <w:p>
      <w:pPr>
        <w:pStyle w:val="TOC1"/>
      </w:pPr>
      <w:hyperlink w:anchor="_TocMlat00020" w:history="1">
        <w:r>
          <w:t xml:space="preserve">Potential unused licenses</w:t>
        </w:r>
      </w:hyperlink>
    </w:p>
    <w:p>
      <w:pPr>
        <w:pStyle w:val="TOC1"/>
      </w:pPr>
      <w:hyperlink w:anchor="_TocMlat00021" w:history="1">
        <w:r>
          <w:t xml:space="preserve">Procurement requirements</w:t>
        </w:r>
      </w:hyperlink>
    </w:p>
    <w:p>
      <w:pPr>
        <w:pStyle w:val="TOC1"/>
      </w:pPr>
      <w:hyperlink w:anchor="_TocMlat00023" w:history="1">
        <w:r>
          <w:t xml:space="preserve">Major findings</w:t>
        </w:r>
      </w:hyperlink>
    </w:p>
    <w:p>
      <w:pPr>
        <w:pStyle w:val="TOC1"/>
      </w:pPr>
      <w:hyperlink w:anchor="_TocMlat00069" w:history="1">
        <w:r>
          <w:t xml:space="preserve">Licensing scenarios</w:t>
        </w:r>
      </w:hyperlink>
    </w:p>
    <w:p>
      <w:pPr>
        <w:pStyle w:val="TOC1"/>
      </w:pPr>
      <w:hyperlink w:anchor="_TocMlat00075" w:history="1">
        <w:r>
          <w:t xml:space="preserve">Evidence appendix</w:t>
        </w:r>
      </w:hyperlink>
    </w:p>
    <w:p>
      <w:pPr>
        <w:pStyle w:val="TOC1"/>
      </w:pPr>
      <w:hyperlink w:anchor="_TocMlat00124" w:history="1">
        <w:r>
          <w:t xml:space="preserve">Data collection coverage</w:t>
        </w:r>
      </w:hyperlink>
    </w:p>
    <w:p>
      <w:pPr>
        <w:pStyle w:val="TOC1"/>
      </w:pPr>
      <w:hyperlink w:anchor="_TocMlat00126" w:history="1">
        <w:r>
          <w:t xml:space="preserve">Inventory summary (appendix)</w:t>
        </w:r>
      </w:hyperlink>
    </w:p>
    <w:p>
      <w:pPr>
        <w:pStyle w:val="TOC1"/>
      </w:pPr>
      <w:hyperlink w:anchor="_TocMlat00136" w:history="1">
        <w:r>
          <w:t xml:space="preserve">Assumptions</w:t>
        </w:r>
      </w:hyperlink>
    </w:p>
    <w:p>
      <w:pPr>
        <w:pStyle w:val="TOC1"/>
      </w:pPr>
      <w:hyperlink w:anchor="_TocMlat00138" w:history="1">
        <w:r>
          <w:t xml:space="preserve">Limitations</w:t>
        </w:r>
      </w:hyperlink>
    </w:p>
    <w:p>
      <w:pPr>
        <w:pStyle w:val="TOC1"/>
      </w:pPr>
      <w:hyperlink w:anchor="_TocMlat00139" w:history="1">
        <w:r>
          <w:t xml:space="preserve">Licensing rules package</w:t>
        </w:r>
      </w:hyperlink>
    </w:p>
    <w:p>
      <w:pPr>
        <w:pStyle w:val="TOC1"/>
      </w:pPr>
      <w:hyperlink w:anchor="_TocMlat00143" w:history="1">
        <w:r>
          <w:t xml:space="preserve">Disclaimer</w:t>
        </w:r>
      </w:hyperlink>
      <w:r>
        <w:fldChar w:fldCharType="end"/>
      </w:r>
    </w:p>
    <w:p>
      <w:pPr>
        <w:pStyle w:val="Small"/>
      </w:pPr>
      <w:r>
        <w:rPr>
          <w:i/>
          <w:iCs/>
        </w:rPr>
        <w:t xml:space="preserve">Page numbers: in Microsoft Word, right-click the contents and select Update Field.</w:t>
      </w:r>
    </w:p>
    <w:p>
      <w:pPr>
        <w:spacing w:before="0" w:after="160" w:line="20" w:lineRule="exact"/>
      </w:pPr>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1F3A5F"/>
            </w:tcBorders>
            <w:shd w:val="clear" w:color="auto" w:fill="F5F7FA"/>
          </w:tcPr>
          <w:p>
            <w:pPr>
              <w:pStyle w:val="TableText"/>
              <w:spacing w:after="60"/>
            </w:pPr>
            <w:r>
              <w:rPr>
                <w:b/>
                <w:bCs/>
                <w:color w:val="1F3A5F"/>
                <w:sz w:val="20"/>
                <w:szCs w:val="20"/>
              </w:rPr>
              <w:t xml:space="preserve">Technical assessment vs. official licensing determination</w:t>
            </w:r>
          </w:p>
          <w:p>
            <w:pPr>
              <w:pStyle w:val="TableText"/>
            </w:pPr>
            <w:r>
              <w:rPr>
                <w:sz w:val="19"/>
                <w:szCs w:val="19"/>
              </w:rPr>
              <w:t xml:space="preserve">Technical assessment: what was discovered and how the licensing rules in this tool interpret it. Official Microsoft licensing / legal determination: only Microsoft, the customer's agreement documents and qualified licensing specialists can provide it. This tool does not make legal compliance determinations.</w:t>
            </w:r>
          </w:p>
        </w:tc>
      </w:tr>
    </w:tbl>
    <w:p>
      <w:pPr>
        <w:spacing w:before="0" w:after="0" w:line="240" w:lineRule="auto"/>
        <w:rPr>
          <w:sz w:val="12"/>
          <w:szCs w:val="12"/>
        </w:rPr>
      </w:pPr>
    </w:p>
    <w:p>
      <w:pPr>
        <w:pStyle w:val="Heading1"/>
        <w:pageBreakBefore/>
      </w:pPr>
      <w:bookmarkStart w:id="1" w:name="_TocMlat00001"/>
      <w:r>
        <w:t xml:space="preserve">Executive summary</w:t>
      </w:r>
      <w:bookmarkEnd w:id="1"/>
    </w:p>
    <w:p>
      <w:r>
        <w:t xml:space="preserve">This report presents a technical Microsoft licensing assessment of the environment of </w:t>
      </w:r>
      <w:r>
        <w:rPr>
          <w:b/>
          <w:bCs/>
        </w:rPr>
        <w:t xml:space="preserve">Demo Company Ltd (fictional)</w:t>
      </w:r>
      <w:r>
        <w:t xml:space="preserve">. The assessment discovered </w:t>
      </w:r>
      <w:r>
        <w:rPr>
          <w:b/>
          <w:bCs/>
        </w:rPr>
        <w:t xml:space="preserve">158 devices</w:t>
      </w:r>
      <w:r>
        <w:t xml:space="preserve"> (13 servers, 145 workstations)</w:t>
      </w:r>
      <w:r>
        <w:t xml:space="preserve">; 19 virtual machines and 4 physical virtualization hosts were identified</w:t>
      </w:r>
      <w:r>
        <w:t xml:space="preserve">. 168 users were counted (source: Active Directory: enabled users with a logon in the last 90 days).</w:t>
      </w:r>
      <w:r>
        <w:t xml:space="preserve"> Microsoft 365 reports 165 licensed users.</w:t>
      </w:r>
    </w:p>
    <w:p>
      <w:r>
        <w:t xml:space="preserve">Windows license state: 19 of 29 Windows computers are activated; 2 not activated, 1 without a Windows product key installed and 7 could not be verified. 2 clusters were evaluated for cluster licensing: 2 with a potential licensing gap or requiring validation. See </w:t>
      </w:r>
      <w:r>
        <w:rPr>
          <w:b/>
          <w:bCs/>
        </w:rPr>
        <w:t xml:space="preserve">Windows license state</w:t>
      </w:r>
      <w:r>
        <w:t xml:space="preserve"> and </w:t>
      </w:r>
      <w:r>
        <w:rPr>
          <w:b/>
          <w:bCs/>
        </w:rPr>
        <w:t xml:space="preserve">Cluster licensing</w:t>
      </w:r>
      <w:r>
        <w:t xml:space="preserve">.</w:t>
      </w:r>
    </w:p>
    <w:p>
      <w:r>
        <w:t xml:space="preserve">Applying licensing rules package </w:t>
      </w:r>
      <w:r>
        <w:rPr>
          <w:b/>
          <w:bCs/>
        </w:rPr>
        <w:t xml:space="preserve">2026.10.3</w:t>
      </w:r>
      <w:r>
        <w:t xml:space="preserve">, the assessment calculated </w:t>
      </w:r>
      <w:r>
        <w:rPr>
          <w:b/>
          <w:bCs/>
        </w:rPr>
        <w:t xml:space="preserve">970</w:t>
      </w:r>
      <w:r>
        <w:t xml:space="preserve"> license units required, compared with </w:t>
      </w:r>
      <w:r>
        <w:rPr>
          <w:b/>
          <w:bCs/>
        </w:rPr>
        <w:t xml:space="preserve">1,279</w:t>
      </w:r>
      <w:r>
        <w:t xml:space="preserve"> units available in the license inventory supplied (529 licenses recorded). </w:t>
      </w:r>
      <w:r>
        <w:t xml:space="preserve">The analysis indicates </w:t>
      </w:r>
      <w:r>
        <w:rPr>
          <w:b/>
          <w:bCs/>
          <w:color w:val="C62828"/>
        </w:rPr>
        <w:t xml:space="preserve">276 license units of potential gap</w:t>
      </w:r>
      <w:r>
        <w:t xml:space="preserve"> across 12 license lines, </w:t>
      </w:r>
      <w:r>
        <w:t xml:space="preserve">308 potentially unused license units and 28 items requiring validation before any procurement decision.</w:t>
      </w:r>
    </w:p>
    <w:p>
      <w:r>
        <w:t xml:space="preserve">The </w:t>
      </w:r>
      <w:r>
        <w:rPr>
          <w:b/>
          <w:bCs/>
        </w:rPr>
        <w:t xml:space="preserve">indicative</w:t>
      </w:r>
      <w:r>
        <w:t xml:space="preserve"> cost of addressing the potential gaps is approximately </w:t>
      </w:r>
      <w:r>
        <w:rPr>
          <w:b/>
          <w:bCs/>
        </w:rPr>
        <w:t xml:space="preserve">USD 82,516</w:t>
      </w:r>
      <w:r>
        <w:t xml:space="preserve"> one-time and </w:t>
      </w:r>
      <w:r>
        <w:rPr>
          <w:b/>
          <w:bCs/>
        </w:rPr>
        <w:t xml:space="preserve">USD 2,376</w:t>
      </w:r>
      <w:r>
        <w:t xml:space="preserve"> per year. These figures are estimates only and must be replaced with a quotation from an authorized reseller.</w:t>
      </w:r>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C62828"/>
            </w:tcBorders>
            <w:shd w:val="clear" w:color="auto" w:fill="FDF1F1"/>
          </w:tcPr>
          <w:p>
            <w:pPr>
              <w:pStyle w:val="TableText"/>
              <w:spacing w:after="60"/>
            </w:pPr>
            <w:r>
              <w:rPr>
                <w:b/>
                <w:bCs/>
                <w:color w:val="C62828"/>
                <w:sz w:val="20"/>
                <w:szCs w:val="20"/>
              </w:rPr>
              <w:t xml:space="preserve">Overall position (technical assessment)</w:t>
            </w:r>
          </w:p>
          <w:p>
            <w:pPr>
              <w:pStyle w:val="TableText"/>
            </w:pPr>
            <w:r>
              <w:rPr>
                <w:sz w:val="19"/>
                <w:szCs w:val="19"/>
              </w:rPr>
              <w:t xml:space="preserve">Potential licensing gaps identified (12 license lines)</w:t>
            </w:r>
          </w:p>
        </w:tc>
      </w:tr>
    </w:tbl>
    <w:p>
      <w:pPr>
        <w:spacing w:before="0" w:after="0" w:line="240" w:lineRule="auto"/>
        <w:rPr>
          <w:sz w:val="12"/>
          <w:szCs w:val="12"/>
        </w:rPr>
      </w:pPr>
    </w:p>
    <w:p>
      <w:pPr>
        <w:pStyle w:val="Heading2"/>
      </w:pPr>
      <w:bookmarkStart w:id="2" w:name="_TocMlat00002"/>
      <w:r>
        <w:t xml:space="preserve">Key observations</w:t>
      </w:r>
      <w:bookmarkEnd w:id="2"/>
    </w:p>
    <w:p>
      <w:pPr>
        <w:pStyle w:val="ListBullet"/>
        <w:numPr>
          <w:ilvl w:val="0"/>
          <w:numId w:val="1"/>
        </w:numPr>
      </w:pPr>
      <w:r>
        <w:rPr>
          <w:b/>
          <w:bCs/>
          <w:color w:val="A61B1B"/>
          <w:sz w:val="16"/>
          <w:szCs w:val="16"/>
          <w:shd w:val="clear" w:color="auto" w:fill="FCE4E4"/>
        </w:rPr>
        <w:t xml:space="preserve"> HIGH </w:t>
      </w:r>
      <w:r>
        <w:t xml:space="preserve">  Consumer Office edition on business device  </w:t>
      </w:r>
      <w:r>
        <w:rPr>
          <w:b/>
          <w:bCs/>
          <w:color w:val="5E1A8A"/>
          <w:sz w:val="17"/>
          <w:szCs w:val="17"/>
          <w:shd w:val="clear" w:color="auto" w:fill="F0E4F7"/>
        </w:rPr>
        <w:t xml:space="preserve"> Validation Required </w:t>
      </w:r>
    </w:p>
    <w:p>
      <w:pPr>
        <w:pStyle w:val="ListBullet"/>
        <w:numPr>
          <w:ilvl w:val="0"/>
          <w:numId w:val="1"/>
        </w:numPr>
      </w:pPr>
      <w:r>
        <w:rPr>
          <w:b/>
          <w:bCs/>
          <w:color w:val="A61B1B"/>
          <w:sz w:val="16"/>
          <w:szCs w:val="16"/>
          <w:shd w:val="clear" w:color="auto" w:fill="FCE4E4"/>
        </w:rPr>
        <w:t xml:space="preserve"> HIGH </w:t>
      </w:r>
      <w:r>
        <w:t xml:space="preserve">  Windows not activated  </w:t>
      </w:r>
      <w:r>
        <w:rPr>
          <w:b/>
          <w:bCs/>
          <w:color w:val="5E1A8A"/>
          <w:sz w:val="17"/>
          <w:szCs w:val="17"/>
          <w:shd w:val="clear" w:color="auto" w:fill="F0E4F7"/>
        </w:rPr>
        <w:t xml:space="preserve"> Validation Required </w:t>
      </w:r>
    </w:p>
    <w:p>
      <w:pPr>
        <w:pStyle w:val="ListBullet"/>
        <w:numPr>
          <w:ilvl w:val="0"/>
          <w:numId w:val="1"/>
        </w:numPr>
      </w:pPr>
      <w:r>
        <w:rPr>
          <w:b/>
          <w:bCs/>
          <w:color w:val="A61B1B"/>
          <w:sz w:val="16"/>
          <w:szCs w:val="16"/>
          <w:shd w:val="clear" w:color="auto" w:fill="FCE4E4"/>
        </w:rPr>
        <w:t xml:space="preserve"> HIGH </w:t>
      </w:r>
      <w:r>
        <w:t xml:space="preserve">  Windows Server: no product key installed  </w:t>
      </w:r>
      <w:r>
        <w:rPr>
          <w:b/>
          <w:bCs/>
          <w:color w:val="5E1A8A"/>
          <w:sz w:val="17"/>
          <w:szCs w:val="17"/>
          <w:shd w:val="clear" w:color="auto" w:fill="F0E4F7"/>
        </w:rPr>
        <w:t xml:space="preserve"> Validation Required </w:t>
      </w:r>
    </w:p>
    <w:p>
      <w:pPr>
        <w:pStyle w:val="ListBullet"/>
        <w:numPr>
          <w:ilvl w:val="0"/>
          <w:numId w:val="1"/>
        </w:numPr>
      </w:pPr>
      <w:r>
        <w:rPr>
          <w:b/>
          <w:bCs/>
          <w:color w:val="7A5600"/>
          <w:sz w:val="16"/>
          <w:szCs w:val="16"/>
          <w:shd w:val="clear" w:color="auto" w:fill="FFF2CC"/>
        </w:rPr>
        <w:t xml:space="preserve"> MEDIUM </w:t>
      </w:r>
      <w:r>
        <w:t xml:space="preserve">  4 active AD servers were not assessed  </w:t>
      </w:r>
      <w:r>
        <w:rPr>
          <w:b/>
          <w:bCs/>
          <w:color w:val="4A5160"/>
          <w:sz w:val="17"/>
          <w:szCs w:val="17"/>
          <w:shd w:val="clear" w:color="auto" w:fill="ECEEF2"/>
        </w:rPr>
        <w:t xml:space="preserve"> Unable to Determine </w:t>
      </w:r>
    </w:p>
    <w:p>
      <w:pPr>
        <w:pStyle w:val="ListBullet"/>
        <w:numPr>
          <w:ilvl w:val="0"/>
          <w:numId w:val="1"/>
        </w:numPr>
      </w:pPr>
      <w:r>
        <w:rPr>
          <w:b/>
          <w:bCs/>
          <w:color w:val="7A5600"/>
          <w:sz w:val="16"/>
          <w:szCs w:val="16"/>
          <w:shd w:val="clear" w:color="auto" w:fill="FFF2CC"/>
        </w:rPr>
        <w:t xml:space="preserve"> MEDIUM </w:t>
      </w:r>
      <w:r>
        <w:t xml:space="preserve">  Conditional Access in use - Entra ID P1 coverage not confirmed  </w:t>
      </w:r>
      <w:r>
        <w:rPr>
          <w:b/>
          <w:bCs/>
          <w:color w:val="5E1A8A"/>
          <w:sz w:val="17"/>
          <w:szCs w:val="17"/>
          <w:shd w:val="clear" w:color="auto" w:fill="F0E4F7"/>
        </w:rPr>
        <w:t xml:space="preserve"> Validation Required </w:t>
      </w:r>
    </w:p>
    <w:p>
      <w:pPr>
        <w:pStyle w:val="ListBullet"/>
        <w:numPr>
          <w:ilvl w:val="0"/>
          <w:numId w:val="1"/>
        </w:numPr>
      </w:pPr>
      <w:r>
        <w:rPr>
          <w:b/>
          <w:bCs/>
          <w:color w:val="7A5600"/>
          <w:sz w:val="16"/>
          <w:szCs w:val="16"/>
          <w:shd w:val="clear" w:color="auto" w:fill="FFF2CC"/>
        </w:rPr>
        <w:t xml:space="preserve"> MEDIUM </w:t>
      </w:r>
      <w:r>
        <w:t xml:space="preserve">  Identity Protection (risk-based) features in use  </w:t>
      </w:r>
      <w:r>
        <w:rPr>
          <w:b/>
          <w:bCs/>
          <w:color w:val="5E1A8A"/>
          <w:sz w:val="17"/>
          <w:szCs w:val="17"/>
          <w:shd w:val="clear" w:color="auto" w:fill="F0E4F7"/>
        </w:rPr>
        <w:t xml:space="preserve"> Validation Required </w:t>
      </w:r>
    </w:p>
    <w:p>
      <w:pPr>
        <w:pStyle w:val="ListBullet"/>
        <w:numPr>
          <w:ilvl w:val="0"/>
          <w:numId w:val="1"/>
        </w:numPr>
      </w:pPr>
      <w:r>
        <w:rPr>
          <w:b/>
          <w:bCs/>
          <w:color w:val="7A5600"/>
          <w:sz w:val="16"/>
          <w:szCs w:val="16"/>
          <w:shd w:val="clear" w:color="auto" w:fill="FFF2CC"/>
        </w:rPr>
        <w:t xml:space="preserve"> MEDIUM </w:t>
      </w:r>
      <w:r>
        <w:t xml:space="preserve">  License line could not be mapped  </w:t>
      </w:r>
      <w:r>
        <w:rPr>
          <w:b/>
          <w:bCs/>
          <w:color w:val="5E1A8A"/>
          <w:sz w:val="17"/>
          <w:szCs w:val="17"/>
          <w:shd w:val="clear" w:color="auto" w:fill="F0E4F7"/>
        </w:rPr>
        <w:t xml:space="preserve"> Validation Required </w:t>
      </w:r>
    </w:p>
    <w:p>
      <w:pPr>
        <w:pStyle w:val="ListBullet"/>
        <w:numPr>
          <w:ilvl w:val="0"/>
          <w:numId w:val="1"/>
        </w:numPr>
      </w:pPr>
      <w:r>
        <w:rPr>
          <w:b/>
          <w:bCs/>
          <w:color w:val="7A5600"/>
          <w:sz w:val="16"/>
          <w:szCs w:val="16"/>
          <w:shd w:val="clear" w:color="auto" w:fill="FFF2CC"/>
        </w:rPr>
        <w:t xml:space="preserve"> MEDIUM </w:t>
      </w:r>
      <w:r>
        <w:t xml:space="preserve">  Licenses held at an earlier version: Remote Desktop Services CAL (User)  </w:t>
      </w:r>
      <w:r>
        <w:rPr>
          <w:b/>
          <w:bCs/>
          <w:color w:val="5E1A8A"/>
          <w:sz w:val="17"/>
          <w:szCs w:val="17"/>
          <w:shd w:val="clear" w:color="auto" w:fill="F0E4F7"/>
        </w:rPr>
        <w:t xml:space="preserve"> Validation Required </w:t>
      </w:r>
    </w:p>
    <w:p>
      <w:pPr>
        <w:pStyle w:val="Heading2"/>
      </w:pPr>
      <w:bookmarkStart w:id="3" w:name="_TocMlat00003"/>
      <w:r>
        <w:t xml:space="preserve">How to read this report</w:t>
      </w:r>
      <w:bookmarkEnd w:id="3"/>
    </w:p>
    <w:p>
      <w:r>
        <w:t xml:space="preserve">Each conclusion separates the </w:t>
      </w:r>
      <w:r>
        <w:rPr>
          <w:b/>
          <w:bCs/>
        </w:rPr>
        <w:t xml:space="preserve">discovered fact</w:t>
      </w:r>
      <w:r>
        <w:t xml:space="preserve"> (what was collected from the environment) from the </w:t>
      </w:r>
      <w:r>
        <w:rPr>
          <w:b/>
          <w:bCs/>
        </w:rPr>
        <w:t xml:space="preserve">licensing interpretation</w:t>
      </w:r>
      <w:r>
        <w:t xml:space="preserve"> (how the rules in this tool interpret that fact). Positions marked </w:t>
      </w:r>
      <w:r>
        <w:rPr>
          <w:b/>
          <w:bCs/>
          <w:color w:val="5E1A8A"/>
          <w:sz w:val="17"/>
          <w:szCs w:val="17"/>
          <w:shd w:val="clear" w:color="auto" w:fill="F0E4F7"/>
        </w:rPr>
        <w:t xml:space="preserve"> Validation Required </w:t>
      </w:r>
      <w:r>
        <w:t xml:space="preserve"> or </w:t>
      </w:r>
      <w:r>
        <w:rPr>
          <w:b/>
          <w:bCs/>
          <w:color w:val="4A5160"/>
          <w:sz w:val="17"/>
          <w:szCs w:val="17"/>
          <w:shd w:val="clear" w:color="auto" w:fill="ECEEF2"/>
        </w:rPr>
        <w:t xml:space="preserve"> Unable to Determine </w:t>
      </w:r>
      <w:r>
        <w:t xml:space="preserve"> must be validated before procurement. Supporting evidence, rule references, assumptions and confidence are listed in the evidence appendix and in Evidence.json.</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340"/>
        <w:gridCol w:w="7412"/>
      </w:tblGrid>
      <w:tr>
        <w:trPr>
          <w:cantSplit/>
          <w:tblHeader/>
        </w:trPr>
        <w:tc>
          <w:tcPr>
            <w:tcW w:w="2340" w:type="dxa"/>
            <w:shd w:val="clear" w:color="auto" w:fill="1F3A5F"/>
            <w:vAlign w:val="bottom"/>
          </w:tcPr>
          <w:p>
            <w:pPr>
              <w:pStyle w:val="TableText"/>
              <w:keepNext/>
            </w:pPr>
            <w:r>
              <w:rPr>
                <w:b/>
                <w:bCs/>
                <w:color w:val="FFFFFF"/>
                <w:sz w:val="17"/>
                <w:szCs w:val="17"/>
              </w:rPr>
              <w:t xml:space="preserve">Status</w:t>
            </w:r>
          </w:p>
        </w:tc>
        <w:tc>
          <w:tcPr>
            <w:tcW w:w="7412" w:type="dxa"/>
            <w:shd w:val="clear" w:color="auto" w:fill="1F3A5F"/>
            <w:vAlign w:val="bottom"/>
          </w:tcPr>
          <w:p>
            <w:pPr>
              <w:pStyle w:val="TableText"/>
              <w:keepNext/>
            </w:pPr>
            <w:r>
              <w:rPr>
                <w:b/>
                <w:bCs/>
                <w:color w:val="FFFFFF"/>
                <w:sz w:val="17"/>
                <w:szCs w:val="17"/>
              </w:rPr>
              <w:t xml:space="preserve">Meaning</w:t>
            </w:r>
          </w:p>
        </w:tc>
      </w:tr>
      <w:tr>
        <w:trPr>
          <w:cantSplit/>
        </w:trPr>
        <w:tc>
          <w:tcPr>
            <w:tcW w:w="2340" w:type="dxa"/>
            <w:shd w:val="clear" w:color="auto" w:fill="E3F2E5"/>
          </w:tcPr>
          <w:p>
            <w:pPr>
              <w:pStyle w:val="TableText"/>
              <w:keepNext/>
            </w:pPr>
            <w:r>
              <w:rPr>
                <w:b/>
                <w:bCs/>
                <w:color w:val="1E6B2A"/>
                <w:sz w:val="17"/>
                <w:szCs w:val="17"/>
              </w:rPr>
              <w:t xml:space="preserve">Covered</w:t>
            </w:r>
          </w:p>
        </w:tc>
        <w:tc>
          <w:tcPr>
            <w:tcW w:w="7412" w:type="dxa"/>
          </w:tcPr>
          <w:p>
            <w:pPr>
              <w:pStyle w:val="TableText"/>
              <w:keepNext/>
            </w:pPr>
            <w:r>
              <w:rPr>
                <w:sz w:val="17"/>
                <w:szCs w:val="17"/>
              </w:rPr>
              <w:t xml:space="preserve">Discovered requirement is covered by the license inventory supplied.</w:t>
            </w:r>
          </w:p>
        </w:tc>
      </w:tr>
      <w:tr>
        <w:trPr>
          <w:cantSplit/>
        </w:trPr>
        <w:tc>
          <w:tcPr>
            <w:tcW w:w="2340" w:type="dxa"/>
            <w:shd w:val="clear" w:color="auto" w:fill="FFF2CC"/>
          </w:tcPr>
          <w:p>
            <w:pPr>
              <w:pStyle w:val="TableText"/>
              <w:keepNext/>
            </w:pPr>
            <w:r>
              <w:rPr>
                <w:b/>
                <w:bCs/>
                <w:color w:val="7A5600"/>
                <w:sz w:val="17"/>
                <w:szCs w:val="17"/>
              </w:rPr>
              <w:t xml:space="preserve">Partially Covered</w:t>
            </w:r>
          </w:p>
        </w:tc>
        <w:tc>
          <w:tcPr>
            <w:tcW w:w="7412" w:type="dxa"/>
          </w:tcPr>
          <w:p>
            <w:pPr>
              <w:pStyle w:val="TableText"/>
              <w:keepNext/>
            </w:pPr>
            <w:r>
              <w:rPr>
                <w:sz w:val="17"/>
                <w:szCs w:val="17"/>
              </w:rPr>
              <w:t xml:space="preserve">Some, but not all, of the requirement is covered by the license inventory supplied.</w:t>
            </w:r>
          </w:p>
        </w:tc>
      </w:tr>
      <w:tr>
        <w:trPr>
          <w:cantSplit/>
        </w:trPr>
        <w:tc>
          <w:tcPr>
            <w:tcW w:w="2340" w:type="dxa"/>
            <w:shd w:val="clear" w:color="auto" w:fill="FCE4E4"/>
          </w:tcPr>
          <w:p>
            <w:pPr>
              <w:pStyle w:val="TableText"/>
              <w:keepNext/>
            </w:pPr>
            <w:r>
              <w:rPr>
                <w:b/>
                <w:bCs/>
                <w:color w:val="A61B1B"/>
                <w:sz w:val="17"/>
                <w:szCs w:val="17"/>
              </w:rPr>
              <w:t xml:space="preserve">Potential Gap</w:t>
            </w:r>
          </w:p>
        </w:tc>
        <w:tc>
          <w:tcPr>
            <w:tcW w:w="7412" w:type="dxa"/>
          </w:tcPr>
          <w:p>
            <w:pPr>
              <w:pStyle w:val="TableText"/>
              <w:keepNext/>
            </w:pPr>
            <w:r>
              <w:rPr>
                <w:sz w:val="17"/>
                <w:szCs w:val="17"/>
              </w:rPr>
              <w:t xml:space="preserve">Requirement exceeds the licenses supplied - potential procurement requirement, subject to validation.</w:t>
            </w:r>
          </w:p>
        </w:tc>
      </w:tr>
      <w:tr>
        <w:trPr>
          <w:cantSplit/>
        </w:trPr>
        <w:tc>
          <w:tcPr>
            <w:tcW w:w="2340" w:type="dxa"/>
            <w:shd w:val="clear" w:color="auto" w:fill="E1EDFB"/>
          </w:tcPr>
          <w:p>
            <w:pPr>
              <w:pStyle w:val="TableText"/>
              <w:keepNext/>
            </w:pPr>
            <w:r>
              <w:rPr>
                <w:b/>
                <w:bCs/>
                <w:color w:val="17508F"/>
                <w:sz w:val="17"/>
                <w:szCs w:val="17"/>
              </w:rPr>
              <w:t xml:space="preserve">Excess / Unused</w:t>
            </w:r>
          </w:p>
        </w:tc>
        <w:tc>
          <w:tcPr>
            <w:tcW w:w="7412" w:type="dxa"/>
          </w:tcPr>
          <w:p>
            <w:pPr>
              <w:pStyle w:val="TableText"/>
              <w:keepNext/>
            </w:pPr>
            <w:r>
              <w:rPr>
                <w:sz w:val="17"/>
                <w:szCs w:val="17"/>
              </w:rPr>
              <w:t xml:space="preserve">More licenses were supplied than the discovered requirement - potentially unused.</w:t>
            </w:r>
          </w:p>
        </w:tc>
      </w:tr>
      <w:tr>
        <w:trPr>
          <w:cantSplit/>
        </w:trPr>
        <w:tc>
          <w:tcPr>
            <w:tcW w:w="2340" w:type="dxa"/>
            <w:shd w:val="clear" w:color="auto" w:fill="ECEEF2"/>
          </w:tcPr>
          <w:p>
            <w:pPr>
              <w:pStyle w:val="TableText"/>
              <w:keepNext/>
            </w:pPr>
            <w:r>
              <w:rPr>
                <w:b/>
                <w:bCs/>
                <w:color w:val="4A5160"/>
                <w:sz w:val="17"/>
                <w:szCs w:val="17"/>
              </w:rPr>
              <w:t xml:space="preserve">Unable to Determine</w:t>
            </w:r>
          </w:p>
        </w:tc>
        <w:tc>
          <w:tcPr>
            <w:tcW w:w="7412" w:type="dxa"/>
          </w:tcPr>
          <w:p>
            <w:pPr>
              <w:pStyle w:val="TableText"/>
              <w:keepNext/>
            </w:pPr>
            <w:r>
              <w:rPr>
                <w:sz w:val="17"/>
                <w:szCs w:val="17"/>
              </w:rPr>
              <w:t xml:space="preserve">Insufficient data was collected to calculate a position.</w:t>
            </w:r>
          </w:p>
        </w:tc>
      </w:tr>
      <w:tr>
        <w:trPr>
          <w:cantSplit/>
        </w:trPr>
        <w:tc>
          <w:tcPr>
            <w:tcW w:w="2340" w:type="dxa"/>
            <w:shd w:val="clear" w:color="auto" w:fill="F0E4F7"/>
          </w:tcPr>
          <w:p>
            <w:pPr>
              <w:pStyle w:val="TableText"/>
            </w:pPr>
            <w:r>
              <w:rPr>
                <w:b/>
                <w:bCs/>
                <w:color w:val="5E1A8A"/>
                <w:sz w:val="17"/>
                <w:szCs w:val="17"/>
              </w:rPr>
              <w:t xml:space="preserve">Validation Required</w:t>
            </w:r>
          </w:p>
        </w:tc>
        <w:tc>
          <w:tcPr>
            <w:tcW w:w="7412" w:type="dxa"/>
          </w:tcPr>
          <w:p>
            <w:pPr>
              <w:pStyle w:val="TableText"/>
            </w:pPr>
            <w:r>
              <w:rPr>
                <w:sz w:val="17"/>
                <w:szCs w:val="17"/>
              </w:rPr>
              <w:t xml:space="preserve">A position was calculated but depends on facts that must be confirmed (e.g. access model, virtualization rights).</w:t>
            </w:r>
          </w:p>
        </w:tc>
      </w:tr>
    </w:tbl>
    <w:p>
      <w:pPr>
        <w:spacing w:before="0" w:after="0" w:line="240" w:lineRule="auto"/>
        <w:rPr>
          <w:sz w:val="12"/>
          <w:szCs w:val="12"/>
        </w:rPr>
      </w:pPr>
    </w:p>
    <w:p>
      <w:pPr>
        <w:pStyle w:val="Small"/>
      </w:pPr>
      <w:r>
        <w:t xml:space="preserve">Data collection symbols: </w:t>
      </w:r>
      <w:r>
        <w:rPr>
          <w:rFonts w:ascii="Segoe UI Symbol" w:hAnsi="Segoe UI Symbol" w:cs="Segoe UI Symbol"/>
          <w:b/>
          <w:bCs/>
          <w:color w:val="2E7D32"/>
        </w:rPr>
        <w:t xml:space="preserve">✓</w:t>
      </w:r>
      <w:r>
        <w:t xml:space="preserve"> collected   </w:t>
      </w:r>
      <w:r>
        <w:rPr>
          <w:rFonts w:ascii="Segoe UI Symbol" w:hAnsi="Segoe UI Symbol" w:cs="Segoe UI Symbol"/>
          <w:b/>
          <w:bCs/>
          <w:color w:val="B7791F"/>
        </w:rPr>
        <w:t xml:space="preserve">⚠</w:t>
      </w:r>
      <w:r>
        <w:t xml:space="preserve"> partial / permission denied   </w:t>
      </w:r>
      <w:r>
        <w:rPr>
          <w:rFonts w:ascii="Segoe UI Symbol" w:hAnsi="Segoe UI Symbol" w:cs="Segoe UI Symbol"/>
          <w:b/>
          <w:bCs/>
          <w:color w:val="C62828"/>
        </w:rPr>
        <w:t xml:space="preserve">✕</w:t>
      </w:r>
      <w:r>
        <w:t xml:space="preserve"> not accessible / failed   </w:t>
      </w:r>
      <w:r>
        <w:rPr>
          <w:rFonts w:ascii="Segoe UI Symbol" w:hAnsi="Segoe UI Symbol" w:cs="Segoe UI Symbol"/>
          <w:b/>
          <w:bCs/>
          <w:color w:val="9AA3B2"/>
        </w:rPr>
        <w:t xml:space="preserve">–</w:t>
      </w:r>
      <w:r>
        <w:t xml:space="preserve"> not applicable / not in scope</w:t>
      </w:r>
    </w:p>
    <w:p>
      <w:pPr>
        <w:pStyle w:val="Small"/>
      </w:pPr>
      <w:r>
        <w:t xml:space="preserve">Wording: this report uses assessment terms ("Potential Gap", "Potential procurement requirement", "Validation required"). It is not a legal or contractual compliance determination.</w:t>
      </w:r>
    </w:p>
    <w:p>
      <w:pPr>
        <w:pStyle w:val="Heading1"/>
        <w:pageBreakBefore/>
      </w:pPr>
      <w:bookmarkStart w:id="4" w:name="_TocMlat00004"/>
      <w:r>
        <w:t xml:space="preserve">Environment and licensing KPIs</w:t>
      </w:r>
      <w:bookmarkEnd w:id="4"/>
    </w:p>
    <w:tbl>
      <w:tblPr>
        <w:tblStyle w:val="MlatTable"/>
        <w:tblW w:w="9752" w:type="dxa"/>
        <w:tblCellSpacing w:w="70" w:type="dxa"/>
        <w:tblInd w:w="0" w:type="dxa"/>
        <w:tblBorders>
          <w:top w:val="nil"/>
          <w:left w:val="nil"/>
          <w:bottom w:val="nil"/>
          <w:right w:val="nil"/>
          <w:insideH w:val="nil"/>
          <w:insideV w:val="nil"/>
        </w:tblBorders>
        <w:tblLayout w:type="fixed"/>
        <w:tblCellMar>
          <w:top w:w="60" w:type="dxa"/>
          <w:left w:w="110" w:type="dxa"/>
          <w:bottom w:w="60" w:type="dxa"/>
          <w:right w:w="110" w:type="dxa"/>
        </w:tblCellMar>
        <w:tblLook w:val="04A0" w:firstRow="1" w:lastRow="0" w:firstColumn="0" w:lastColumn="0" w:noHBand="0" w:noVBand="1"/>
      </w:tblPr>
      <w:tblGrid>
        <w:gridCol w:w="2438"/>
        <w:gridCol w:w="2438"/>
        <w:gridCol w:w="2438"/>
        <w:gridCol w:w="2438"/>
      </w:tblGrid>
      <w:tr>
        <w:trPr>
          <w:cantSplit/>
        </w:trPr>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DEVICES</w:t>
            </w:r>
          </w:p>
          <w:p>
            <w:pPr>
              <w:pStyle w:val="TableText"/>
              <w:keepNext/>
              <w:spacing w:after="20"/>
            </w:pPr>
            <w:r>
              <w:rPr>
                <w:b/>
                <w:bCs/>
                <w:color w:val="1F3A5F"/>
                <w:sz w:val="32"/>
                <w:szCs w:val="32"/>
              </w:rPr>
              <w:t xml:space="preserve">158</w:t>
            </w:r>
          </w:p>
          <w:p>
            <w:pPr>
              <w:pStyle w:val="TableText"/>
              <w:keepNext/>
            </w:pPr>
            <w:r>
              <w:rPr>
                <w:color w:val="5B6475"/>
                <w:sz w:val="14"/>
                <w:szCs w:val="14"/>
              </w:rPr>
              <w:t xml:space="preserve"> </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SERVERS</w:t>
            </w:r>
          </w:p>
          <w:p>
            <w:pPr>
              <w:pStyle w:val="TableText"/>
              <w:keepNext/>
              <w:spacing w:after="20"/>
            </w:pPr>
            <w:r>
              <w:rPr>
                <w:b/>
                <w:bCs/>
                <w:color w:val="1F3A5F"/>
                <w:sz w:val="32"/>
                <w:szCs w:val="32"/>
              </w:rPr>
              <w:t xml:space="preserve">13</w:t>
            </w:r>
          </w:p>
          <w:p>
            <w:pPr>
              <w:pStyle w:val="TableText"/>
              <w:keepNext/>
            </w:pPr>
            <w:r>
              <w:rPr>
                <w:color w:val="5B6475"/>
                <w:sz w:val="14"/>
                <w:szCs w:val="14"/>
              </w:rPr>
              <w:t xml:space="preserve"> </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WORKSTATIONS</w:t>
            </w:r>
          </w:p>
          <w:p>
            <w:pPr>
              <w:pStyle w:val="TableText"/>
              <w:keepNext/>
              <w:spacing w:after="20"/>
            </w:pPr>
            <w:r>
              <w:rPr>
                <w:b/>
                <w:bCs/>
                <w:color w:val="1F3A5F"/>
                <w:sz w:val="32"/>
                <w:szCs w:val="32"/>
              </w:rPr>
              <w:t xml:space="preserve">145</w:t>
            </w:r>
          </w:p>
          <w:p>
            <w:pPr>
              <w:pStyle w:val="TableText"/>
              <w:keepNext/>
            </w:pPr>
            <w:r>
              <w:rPr>
                <w:color w:val="5B6475"/>
                <w:sz w:val="14"/>
                <w:szCs w:val="14"/>
              </w:rPr>
              <w:t xml:space="preserve"> </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VIRTUAL MACHINES</w:t>
            </w:r>
          </w:p>
          <w:p>
            <w:pPr>
              <w:pStyle w:val="TableText"/>
              <w:keepNext/>
              <w:spacing w:after="20"/>
            </w:pPr>
            <w:r>
              <w:rPr>
                <w:b/>
                <w:bCs/>
                <w:color w:val="1F3A5F"/>
                <w:sz w:val="32"/>
                <w:szCs w:val="32"/>
              </w:rPr>
              <w:t xml:space="preserve">19</w:t>
            </w:r>
          </w:p>
          <w:p>
            <w:pPr>
              <w:pStyle w:val="TableText"/>
              <w:keepNext/>
            </w:pPr>
            <w:r>
              <w:rPr>
                <w:color w:val="5B6475"/>
                <w:sz w:val="14"/>
                <w:szCs w:val="14"/>
              </w:rPr>
              <w:t xml:space="preserve"> </w:t>
            </w:r>
          </w:p>
        </w:tc>
      </w:tr>
      <w:tr>
        <w:trPr>
          <w:cantSplit/>
        </w:trPr>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PHYSICAL HOSTS</w:t>
            </w:r>
          </w:p>
          <w:p>
            <w:pPr>
              <w:pStyle w:val="TableText"/>
              <w:keepNext/>
              <w:spacing w:after="20"/>
            </w:pPr>
            <w:r>
              <w:rPr>
                <w:b/>
                <w:bCs/>
                <w:color w:val="1F3A5F"/>
                <w:sz w:val="32"/>
                <w:szCs w:val="32"/>
              </w:rPr>
              <w:t xml:space="preserve">4</w:t>
            </w:r>
          </w:p>
          <w:p>
            <w:pPr>
              <w:pStyle w:val="TableText"/>
              <w:keepNext/>
            </w:pPr>
            <w:r>
              <w:rPr>
                <w:color w:val="5B6475"/>
                <w:sz w:val="14"/>
                <w:szCs w:val="14"/>
              </w:rPr>
              <w:t xml:space="preserve"> </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USERS</w:t>
            </w:r>
          </w:p>
          <w:p>
            <w:pPr>
              <w:pStyle w:val="TableText"/>
              <w:keepNext/>
              <w:spacing w:after="20"/>
            </w:pPr>
            <w:r>
              <w:rPr>
                <w:b/>
                <w:bCs/>
                <w:color w:val="1F3A5F"/>
                <w:sz w:val="32"/>
                <w:szCs w:val="32"/>
              </w:rPr>
              <w:t xml:space="preserve">168</w:t>
            </w:r>
          </w:p>
          <w:p>
            <w:pPr>
              <w:pStyle w:val="TableText"/>
              <w:keepNext/>
            </w:pPr>
            <w:r>
              <w:rPr>
                <w:color w:val="5B6475"/>
                <w:sz w:val="14"/>
                <w:szCs w:val="14"/>
              </w:rPr>
              <w:t xml:space="preserve">Active Directory: enabled users with a logon in the last 90…</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MICROSOFT 365 USERS</w:t>
            </w:r>
          </w:p>
          <w:p>
            <w:pPr>
              <w:pStyle w:val="TableText"/>
              <w:keepNext/>
              <w:spacing w:after="20"/>
            </w:pPr>
            <w:r>
              <w:rPr>
                <w:b/>
                <w:bCs/>
                <w:color w:val="1F3A5F"/>
                <w:sz w:val="32"/>
                <w:szCs w:val="32"/>
              </w:rPr>
              <w:t xml:space="preserve">165</w:t>
            </w:r>
          </w:p>
          <w:p>
            <w:pPr>
              <w:pStyle w:val="TableText"/>
              <w:keepNext/>
            </w:pPr>
            <w:r>
              <w:rPr>
                <w:color w:val="5B6475"/>
                <w:sz w:val="14"/>
                <w:szCs w:val="14"/>
              </w:rPr>
              <w:t xml:space="preserve">licensed</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LICENSE LINES ASSESSED</w:t>
            </w:r>
          </w:p>
          <w:p>
            <w:pPr>
              <w:pStyle w:val="TableText"/>
              <w:keepNext/>
              <w:spacing w:after="20"/>
            </w:pPr>
            <w:r>
              <w:rPr>
                <w:b/>
                <w:bCs/>
                <w:color w:val="1F3A5F"/>
                <w:sz w:val="32"/>
                <w:szCs w:val="32"/>
              </w:rPr>
              <w:t xml:space="preserve">21</w:t>
            </w:r>
          </w:p>
          <w:p>
            <w:pPr>
              <w:pStyle w:val="TableText"/>
              <w:keepNext/>
            </w:pPr>
            <w:r>
              <w:rPr>
                <w:color w:val="5B6475"/>
                <w:sz w:val="14"/>
                <w:szCs w:val="14"/>
              </w:rPr>
              <w:t xml:space="preserve"> </w:t>
            </w:r>
          </w:p>
        </w:tc>
      </w:tr>
      <w:tr>
        <w:trPr>
          <w:cantSplit/>
        </w:trPr>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LICENSES REQUIRED</w:t>
            </w:r>
          </w:p>
          <w:p>
            <w:pPr>
              <w:pStyle w:val="TableText"/>
              <w:keepNext/>
              <w:spacing w:after="20"/>
            </w:pPr>
            <w:r>
              <w:rPr>
                <w:b/>
                <w:bCs/>
                <w:color w:val="1F3A5F"/>
                <w:sz w:val="32"/>
                <w:szCs w:val="32"/>
              </w:rPr>
              <w:t xml:space="preserve">970</w:t>
            </w:r>
          </w:p>
          <w:p>
            <w:pPr>
              <w:pStyle w:val="TableText"/>
              <w:keepNext/>
            </w:pPr>
            <w:r>
              <w:rPr>
                <w:color w:val="5B6475"/>
                <w:sz w:val="14"/>
                <w:szCs w:val="14"/>
              </w:rPr>
              <w:t xml:space="preserve">units</w:t>
            </w:r>
          </w:p>
        </w:tc>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LICENSES AVAILABLE</w:t>
            </w:r>
          </w:p>
          <w:p>
            <w:pPr>
              <w:pStyle w:val="TableText"/>
              <w:keepNext/>
              <w:spacing w:after="20"/>
            </w:pPr>
            <w:r>
              <w:rPr>
                <w:b/>
                <w:bCs/>
                <w:color w:val="1F3A5F"/>
                <w:sz w:val="32"/>
                <w:szCs w:val="32"/>
              </w:rPr>
              <w:t xml:space="preserve">1,279</w:t>
            </w:r>
          </w:p>
          <w:p>
            <w:pPr>
              <w:pStyle w:val="TableText"/>
              <w:keepNext/>
            </w:pPr>
            <w:r>
              <w:rPr>
                <w:color w:val="5B6475"/>
                <w:sz w:val="14"/>
                <w:szCs w:val="14"/>
              </w:rPr>
              <w:t xml:space="preserve">units</w:t>
            </w:r>
          </w:p>
        </w:tc>
        <w:tc>
          <w:tcPr>
            <w:tcW w:w="2438" w:type="dxa"/>
            <w:tcBorders>
              <w:top w:val="single" w:sz="18" w:space="0" w:color="C62828"/>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POTENTIAL GAP</w:t>
            </w:r>
          </w:p>
          <w:p>
            <w:pPr>
              <w:pStyle w:val="TableText"/>
              <w:keepNext/>
              <w:spacing w:after="20"/>
            </w:pPr>
            <w:r>
              <w:rPr>
                <w:b/>
                <w:bCs/>
                <w:color w:val="C62828"/>
                <w:sz w:val="32"/>
                <w:szCs w:val="32"/>
              </w:rPr>
              <w:t xml:space="preserve">276</w:t>
            </w:r>
          </w:p>
          <w:p>
            <w:pPr>
              <w:pStyle w:val="TableText"/>
              <w:keepNext/>
            </w:pPr>
            <w:r>
              <w:rPr>
                <w:color w:val="5B6475"/>
                <w:sz w:val="14"/>
                <w:szCs w:val="14"/>
              </w:rPr>
              <w:t xml:space="preserve">12 lines affected</w:t>
            </w:r>
          </w:p>
        </w:tc>
        <w:tc>
          <w:tcPr>
            <w:tcW w:w="2438" w:type="dxa"/>
            <w:tcBorders>
              <w:top w:val="single" w:sz="18" w:space="0" w:color="1F6FC5"/>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POTENTIALLY UNUSED</w:t>
            </w:r>
          </w:p>
          <w:p>
            <w:pPr>
              <w:pStyle w:val="TableText"/>
              <w:keepNext/>
              <w:spacing w:after="20"/>
            </w:pPr>
            <w:r>
              <w:rPr>
                <w:b/>
                <w:bCs/>
                <w:color w:val="1F6FC5"/>
                <w:sz w:val="32"/>
                <w:szCs w:val="32"/>
              </w:rPr>
              <w:t xml:space="preserve">308</w:t>
            </w:r>
          </w:p>
          <w:p>
            <w:pPr>
              <w:pStyle w:val="TableText"/>
              <w:keepNext/>
            </w:pPr>
            <w:r>
              <w:rPr>
                <w:color w:val="5B6475"/>
                <w:sz w:val="14"/>
                <w:szCs w:val="14"/>
              </w:rPr>
              <w:t xml:space="preserve">units</w:t>
            </w:r>
          </w:p>
        </w:tc>
      </w:tr>
      <w:tr>
        <w:trPr>
          <w:cantSplit/>
        </w:trPr>
        <w:tc>
          <w:tcPr>
            <w:tcW w:w="2438" w:type="dxa"/>
            <w:tcBorders>
              <w:top w:val="single" w:sz="18" w:space="0" w:color="6A1B9A"/>
              <w:left w:val="single" w:sz="4" w:space="0" w:color="D9DEE7"/>
              <w:bottom w:val="single" w:sz="4" w:space="0" w:color="D9DEE7"/>
              <w:right w:val="single" w:sz="4" w:space="0" w:color="D9DEE7"/>
            </w:tcBorders>
          </w:tcPr>
          <w:p>
            <w:pPr>
              <w:pStyle w:val="TableText"/>
              <w:spacing w:after="20"/>
            </w:pPr>
            <w:r>
              <w:rPr>
                <w:color w:val="5B6475"/>
                <w:sz w:val="14"/>
                <w:szCs w:val="14"/>
              </w:rPr>
              <w:t xml:space="preserve">VALIDATION ITEMS</w:t>
            </w:r>
          </w:p>
          <w:p>
            <w:pPr>
              <w:pStyle w:val="TableText"/>
              <w:spacing w:after="20"/>
            </w:pPr>
            <w:r>
              <w:rPr>
                <w:b/>
                <w:bCs/>
                <w:color w:val="6A1B9A"/>
                <w:sz w:val="32"/>
                <w:szCs w:val="32"/>
              </w:rPr>
              <w:t xml:space="preserve">28</w:t>
            </w:r>
          </w:p>
          <w:p>
            <w:pPr>
              <w:pStyle w:val="TableText"/>
            </w:pPr>
            <w:r>
              <w:rPr>
                <w:color w:val="5B6475"/>
                <w:sz w:val="14"/>
                <w:szCs w:val="14"/>
              </w:rPr>
              <w:t xml:space="preserve">require confirmation</w:t>
            </w:r>
          </w:p>
        </w:tc>
        <w:tc>
          <w:tcPr>
            <w:tcW w:w="2438" w:type="dxa"/>
            <w:tcBorders>
              <w:top w:val="single" w:sz="18" w:space="0" w:color="C62828"/>
              <w:left w:val="single" w:sz="4" w:space="0" w:color="D9DEE7"/>
              <w:bottom w:val="single" w:sz="4" w:space="0" w:color="D9DEE7"/>
              <w:right w:val="single" w:sz="4" w:space="0" w:color="D9DEE7"/>
            </w:tcBorders>
          </w:tcPr>
          <w:p>
            <w:pPr>
              <w:pStyle w:val="TableText"/>
              <w:spacing w:after="20"/>
            </w:pPr>
            <w:r>
              <w:rPr>
                <w:color w:val="5B6475"/>
                <w:sz w:val="14"/>
                <w:szCs w:val="14"/>
              </w:rPr>
              <w:t xml:space="preserve">HIGH FINDINGS</w:t>
            </w:r>
          </w:p>
          <w:p>
            <w:pPr>
              <w:pStyle w:val="TableText"/>
              <w:spacing w:after="20"/>
            </w:pPr>
            <w:r>
              <w:rPr>
                <w:b/>
                <w:bCs/>
                <w:color w:val="C62828"/>
                <w:sz w:val="32"/>
                <w:szCs w:val="32"/>
              </w:rPr>
              <w:t xml:space="preserve">3</w:t>
            </w:r>
          </w:p>
          <w:p>
            <w:pPr>
              <w:pStyle w:val="TableText"/>
            </w:pPr>
            <w:r>
              <w:rPr>
                <w:color w:val="5B6475"/>
                <w:sz w:val="14"/>
                <w:szCs w:val="14"/>
              </w:rPr>
              <w:t xml:space="preserve"> </w:t>
            </w:r>
          </w:p>
        </w:tc>
        <w:tc>
          <w:tcPr>
            <w:tcW w:w="2438" w:type="dxa"/>
            <w:tcBorders>
              <w:top w:val="single" w:sz="18" w:space="0" w:color="2563A6"/>
              <w:left w:val="single" w:sz="4" w:space="0" w:color="D9DEE7"/>
              <w:bottom w:val="single" w:sz="4" w:space="0" w:color="D9DEE7"/>
              <w:right w:val="single" w:sz="4" w:space="0" w:color="D9DEE7"/>
            </w:tcBorders>
          </w:tcPr>
          <w:p>
            <w:pPr>
              <w:pStyle w:val="TableText"/>
              <w:spacing w:after="20"/>
            </w:pPr>
            <w:r>
              <w:rPr>
                <w:color w:val="5B6475"/>
                <w:sz w:val="14"/>
                <w:szCs w:val="14"/>
              </w:rPr>
              <w:t xml:space="preserve">INDICATIVE ONE-TIME</w:t>
            </w:r>
          </w:p>
          <w:p>
            <w:pPr>
              <w:pStyle w:val="TableText"/>
              <w:spacing w:after="20"/>
            </w:pPr>
            <w:r>
              <w:rPr>
                <w:b/>
                <w:bCs/>
                <w:color w:val="1F3A5F"/>
                <w:sz w:val="32"/>
                <w:szCs w:val="32"/>
              </w:rPr>
              <w:t xml:space="preserve">USD 82,516</w:t>
            </w:r>
          </w:p>
          <w:p>
            <w:pPr>
              <w:pStyle w:val="TableText"/>
            </w:pPr>
            <w:r>
              <w:rPr>
                <w:color w:val="5B6475"/>
                <w:sz w:val="14"/>
                <w:szCs w:val="14"/>
              </w:rPr>
              <w:t xml:space="preserve">estimate only</w:t>
            </w:r>
          </w:p>
        </w:tc>
        <w:tc>
          <w:tcPr>
            <w:tcW w:w="2438" w:type="dxa"/>
            <w:tcBorders>
              <w:top w:val="single" w:sz="18" w:space="0" w:color="2563A6"/>
              <w:left w:val="single" w:sz="4" w:space="0" w:color="D9DEE7"/>
              <w:bottom w:val="single" w:sz="4" w:space="0" w:color="D9DEE7"/>
              <w:right w:val="single" w:sz="4" w:space="0" w:color="D9DEE7"/>
            </w:tcBorders>
          </w:tcPr>
          <w:p>
            <w:pPr>
              <w:pStyle w:val="TableText"/>
              <w:spacing w:after="20"/>
            </w:pPr>
            <w:r>
              <w:rPr>
                <w:color w:val="5B6475"/>
                <w:sz w:val="14"/>
                <w:szCs w:val="14"/>
              </w:rPr>
              <w:t xml:space="preserve">INDICATIVE ANNUAL</w:t>
            </w:r>
          </w:p>
          <w:p>
            <w:pPr>
              <w:pStyle w:val="TableText"/>
              <w:spacing w:after="20"/>
            </w:pPr>
            <w:r>
              <w:rPr>
                <w:b/>
                <w:bCs/>
                <w:color w:val="1F3A5F"/>
                <w:sz w:val="32"/>
                <w:szCs w:val="32"/>
              </w:rPr>
              <w:t xml:space="preserve">USD 2,376</w:t>
            </w:r>
          </w:p>
          <w:p>
            <w:pPr>
              <w:pStyle w:val="TableText"/>
            </w:pPr>
            <w:r>
              <w:rPr>
                <w:color w:val="5B6475"/>
                <w:sz w:val="14"/>
                <w:szCs w:val="14"/>
              </w:rPr>
              <w:t xml:space="preserve">estimate only</w:t>
            </w:r>
          </w:p>
        </w:tc>
      </w:tr>
    </w:tbl>
    <w:p>
      <w:pPr>
        <w:spacing w:before="0" w:after="0" w:line="240" w:lineRule="auto"/>
        <w:rPr>
          <w:sz w:val="12"/>
          <w:szCs w:val="12"/>
        </w:rPr>
      </w:pPr>
    </w:p>
    <w:p>
      <w:pPr>
        <w:pStyle w:val="Heading2"/>
      </w:pPr>
      <w:bookmarkStart w:id="5" w:name="_TocMlat00005"/>
      <w:r>
        <w:t xml:space="preserve">License positions by status</w:t>
      </w:r>
      <w:bookmarkEnd w:id="5"/>
    </w:p>
    <w:tbl>
      <w:tblPr>
        <w:tblStyle w:val="MlatTable"/>
        <w:tblW w:w="9752" w:type="dxa"/>
        <w:tblCellSpacing w:w="60" w:type="dxa"/>
        <w:tblInd w:w="0" w:type="dxa"/>
        <w:tblBorders>
          <w:top w:val="nil"/>
          <w:left w:val="nil"/>
          <w:bottom w:val="nil"/>
          <w:right w:val="nil"/>
          <w:insideH w:val="nil"/>
          <w:insideV w:val="nil"/>
        </w:tblBorders>
        <w:tblLayout w:type="fixed"/>
        <w:tblCellMar>
          <w:top w:w="70" w:type="dxa"/>
          <w:left w:w="80" w:type="dxa"/>
          <w:bottom w:w="70" w:type="dxa"/>
          <w:right w:w="80" w:type="dxa"/>
        </w:tblCellMar>
        <w:tblLook w:val="04A0" w:firstRow="1" w:lastRow="0" w:firstColumn="0" w:lastColumn="0" w:noHBand="0" w:noVBand="1"/>
      </w:tblPr>
      <w:tblGrid>
        <w:gridCol w:w="1625"/>
        <w:gridCol w:w="1625"/>
        <w:gridCol w:w="1625"/>
        <w:gridCol w:w="1625"/>
        <w:gridCol w:w="1625"/>
        <w:gridCol w:w="1627"/>
      </w:tblGrid>
      <w:tr>
        <w:trPr>
          <w:cantSplit/>
        </w:trPr>
        <w:tc>
          <w:tcPr>
            <w:tcW w:w="1625" w:type="dxa"/>
            <w:shd w:val="clear" w:color="auto" w:fill="E3F2E5"/>
          </w:tcPr>
          <w:p>
            <w:pPr>
              <w:pStyle w:val="TableText"/>
              <w:jc w:val="center"/>
            </w:pPr>
            <w:r>
              <w:rPr>
                <w:b/>
                <w:bCs/>
                <w:color w:val="1E6B2A"/>
                <w:sz w:val="30"/>
                <w:szCs w:val="30"/>
              </w:rPr>
              <w:t xml:space="preserve">8</w:t>
            </w:r>
          </w:p>
          <w:p>
            <w:pPr>
              <w:pStyle w:val="TableText"/>
              <w:jc w:val="center"/>
            </w:pPr>
            <w:r>
              <w:rPr>
                <w:b/>
                <w:bCs/>
                <w:color w:val="1E6B2A"/>
                <w:sz w:val="15"/>
                <w:szCs w:val="15"/>
              </w:rPr>
              <w:t xml:space="preserve">Covered</w:t>
            </w:r>
          </w:p>
        </w:tc>
        <w:tc>
          <w:tcPr>
            <w:tcW w:w="1625" w:type="dxa"/>
            <w:shd w:val="clear" w:color="auto" w:fill="FFF2CC"/>
          </w:tcPr>
          <w:p>
            <w:pPr>
              <w:pStyle w:val="TableText"/>
              <w:jc w:val="center"/>
            </w:pPr>
            <w:r>
              <w:rPr>
                <w:b/>
                <w:bCs/>
                <w:color w:val="7A5600"/>
                <w:sz w:val="30"/>
                <w:szCs w:val="30"/>
              </w:rPr>
              <w:t xml:space="preserve">3</w:t>
            </w:r>
          </w:p>
          <w:p>
            <w:pPr>
              <w:pStyle w:val="TableText"/>
              <w:jc w:val="center"/>
            </w:pPr>
            <w:r>
              <w:rPr>
                <w:b/>
                <w:bCs/>
                <w:color w:val="7A5600"/>
                <w:sz w:val="15"/>
                <w:szCs w:val="15"/>
              </w:rPr>
              <w:t xml:space="preserve">Partially Covered</w:t>
            </w:r>
          </w:p>
        </w:tc>
        <w:tc>
          <w:tcPr>
            <w:tcW w:w="1625" w:type="dxa"/>
            <w:shd w:val="clear" w:color="auto" w:fill="FCE4E4"/>
          </w:tcPr>
          <w:p>
            <w:pPr>
              <w:pStyle w:val="TableText"/>
              <w:jc w:val="center"/>
            </w:pPr>
            <w:r>
              <w:rPr>
                <w:b/>
                <w:bCs/>
                <w:color w:val="A61B1B"/>
                <w:sz w:val="30"/>
                <w:szCs w:val="30"/>
              </w:rPr>
              <w:t xml:space="preserve">7</w:t>
            </w:r>
          </w:p>
          <w:p>
            <w:pPr>
              <w:pStyle w:val="TableText"/>
              <w:jc w:val="center"/>
            </w:pPr>
            <w:r>
              <w:rPr>
                <w:b/>
                <w:bCs/>
                <w:color w:val="A61B1B"/>
                <w:sz w:val="15"/>
                <w:szCs w:val="15"/>
              </w:rPr>
              <w:t xml:space="preserve">Potential Gap</w:t>
            </w:r>
          </w:p>
        </w:tc>
        <w:tc>
          <w:tcPr>
            <w:tcW w:w="1625" w:type="dxa"/>
            <w:shd w:val="clear" w:color="auto" w:fill="E1EDFB"/>
          </w:tcPr>
          <w:p>
            <w:pPr>
              <w:pStyle w:val="TableText"/>
              <w:jc w:val="center"/>
            </w:pPr>
            <w:r>
              <w:rPr>
                <w:b/>
                <w:bCs/>
                <w:color w:val="17508F"/>
                <w:sz w:val="30"/>
                <w:szCs w:val="30"/>
              </w:rPr>
              <w:t xml:space="preserve">1</w:t>
            </w:r>
          </w:p>
          <w:p>
            <w:pPr>
              <w:pStyle w:val="TableText"/>
              <w:jc w:val="center"/>
            </w:pPr>
            <w:r>
              <w:rPr>
                <w:b/>
                <w:bCs/>
                <w:color w:val="17508F"/>
                <w:sz w:val="15"/>
                <w:szCs w:val="15"/>
              </w:rPr>
              <w:t xml:space="preserve">Excess / Unused</w:t>
            </w:r>
          </w:p>
        </w:tc>
        <w:tc>
          <w:tcPr>
            <w:tcW w:w="1625" w:type="dxa"/>
            <w:shd w:val="clear" w:color="auto" w:fill="ECEEF2"/>
          </w:tcPr>
          <w:p>
            <w:pPr>
              <w:pStyle w:val="TableText"/>
              <w:jc w:val="center"/>
            </w:pPr>
            <w:r>
              <w:rPr>
                <w:b/>
                <w:bCs/>
                <w:color w:val="4A5160"/>
                <w:sz w:val="30"/>
                <w:szCs w:val="30"/>
              </w:rPr>
              <w:t xml:space="preserve">0</w:t>
            </w:r>
          </w:p>
          <w:p>
            <w:pPr>
              <w:pStyle w:val="TableText"/>
              <w:jc w:val="center"/>
            </w:pPr>
            <w:r>
              <w:rPr>
                <w:b/>
                <w:bCs/>
                <w:color w:val="4A5160"/>
                <w:sz w:val="15"/>
                <w:szCs w:val="15"/>
              </w:rPr>
              <w:t xml:space="preserve">Unable to Determine</w:t>
            </w:r>
          </w:p>
        </w:tc>
        <w:tc>
          <w:tcPr>
            <w:tcW w:w="1627" w:type="dxa"/>
            <w:shd w:val="clear" w:color="auto" w:fill="F0E4F7"/>
          </w:tcPr>
          <w:p>
            <w:pPr>
              <w:pStyle w:val="TableText"/>
              <w:jc w:val="center"/>
            </w:pPr>
            <w:r>
              <w:rPr>
                <w:b/>
                <w:bCs/>
                <w:color w:val="5E1A8A"/>
                <w:sz w:val="30"/>
                <w:szCs w:val="30"/>
              </w:rPr>
              <w:t xml:space="preserve">2</w:t>
            </w:r>
          </w:p>
          <w:p>
            <w:pPr>
              <w:pStyle w:val="TableText"/>
              <w:jc w:val="center"/>
            </w:pPr>
            <w:r>
              <w:rPr>
                <w:b/>
                <w:bCs/>
                <w:color w:val="5E1A8A"/>
                <w:sz w:val="15"/>
                <w:szCs w:val="15"/>
              </w:rPr>
              <w:t xml:space="preserve">Validation Required</w:t>
            </w:r>
          </w:p>
        </w:tc>
      </w:tr>
    </w:tbl>
    <w:p>
      <w:pPr>
        <w:spacing w:before="0" w:after="0" w:line="240" w:lineRule="auto"/>
        <w:rPr>
          <w:sz w:val="12"/>
          <w:szCs w:val="12"/>
        </w:rPr>
      </w:pPr>
    </w:p>
    <w:p>
      <w:pPr>
        <w:pStyle w:val="Heading2"/>
      </w:pPr>
      <w:bookmarkStart w:id="6" w:name="_TocMlat00006"/>
      <w:r>
        <w:t xml:space="preserve">Environment overview</w:t>
      </w:r>
      <w:bookmarkEnd w:id="6"/>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7607"/>
      </w:tblGrid>
      <w:tr>
        <w:trPr>
          <w:cantSplit/>
          <w:tblHeader/>
        </w:trPr>
        <w:tc>
          <w:tcPr>
            <w:tcW w:w="2145" w:type="dxa"/>
            <w:shd w:val="clear" w:color="auto" w:fill="1F3A5F"/>
            <w:vAlign w:val="bottom"/>
          </w:tcPr>
          <w:p>
            <w:pPr>
              <w:pStyle w:val="TableText"/>
              <w:keepNext/>
            </w:pPr>
            <w:r>
              <w:rPr>
                <w:b/>
                <w:bCs/>
                <w:color w:val="FFFFFF"/>
                <w:sz w:val="18"/>
                <w:szCs w:val="18"/>
              </w:rPr>
              <w:t xml:space="preserve">Area</w:t>
            </w:r>
          </w:p>
        </w:tc>
        <w:tc>
          <w:tcPr>
            <w:tcW w:w="7607" w:type="dxa"/>
            <w:shd w:val="clear" w:color="auto" w:fill="1F3A5F"/>
            <w:vAlign w:val="bottom"/>
          </w:tcPr>
          <w:p>
            <w:pPr>
              <w:pStyle w:val="TableText"/>
              <w:keepNext/>
            </w:pPr>
            <w:r>
              <w:rPr>
                <w:b/>
                <w:bCs/>
                <w:color w:val="FFFFFF"/>
                <w:sz w:val="18"/>
                <w:szCs w:val="18"/>
              </w:rPr>
              <w:t xml:space="preserve">Discovered facts</w:t>
            </w:r>
          </w:p>
        </w:tc>
      </w:tr>
      <w:tr>
        <w:trPr>
          <w:cantSplit/>
        </w:trPr>
        <w:tc>
          <w:tcPr>
            <w:tcW w:w="2145" w:type="dxa"/>
          </w:tcPr>
          <w:p>
            <w:pPr>
              <w:pStyle w:val="TableText"/>
            </w:pPr>
            <w:r>
              <w:rPr>
                <w:b/>
                <w:bCs/>
                <w:color w:val="1F3A5F"/>
                <w:sz w:val="18"/>
                <w:szCs w:val="18"/>
              </w:rPr>
              <w:t xml:space="preserve">Windows Server</w:t>
            </w:r>
          </w:p>
        </w:tc>
        <w:tc>
          <w:tcPr>
            <w:tcW w:w="7607" w:type="dxa"/>
          </w:tcPr>
          <w:p>
            <w:pPr>
              <w:pStyle w:val="TableText"/>
            </w:pPr>
            <w:r>
              <w:rPr>
                <w:sz w:val="18"/>
                <w:szCs w:val="18"/>
              </w:rPr>
              <w:t xml:space="preserve">10 servers — Windows Server 2022 Standard (4), Windows Server 2022 Datacenter (3), Windows Server 2019 Standard (2), Windows Server 2016 Standard (1)</w:t>
            </w:r>
            <w:r>
              <w:rPr>
                <w:color w:val="5B6475"/>
                <w:sz w:val="16"/>
                <w:szCs w:val="16"/>
              </w:rPr>
              <w:br/>
              <w:t xml:space="preserve">Physical: 2, virtual: 7, cloud: 1, domain controllers: 1, physical cores on physical servers: 80</w:t>
            </w:r>
          </w:p>
        </w:tc>
      </w:tr>
      <w:tr>
        <w:trPr>
          <w:cantSplit/>
        </w:trPr>
        <w:tc>
          <w:tcPr>
            <w:tcW w:w="2145" w:type="dxa"/>
            <w:shd w:val="clear" w:color="auto" w:fill="F7F9FB"/>
          </w:tcPr>
          <w:p>
            <w:pPr>
              <w:pStyle w:val="TableText"/>
            </w:pPr>
            <w:r>
              <w:rPr>
                <w:b/>
                <w:bCs/>
                <w:color w:val="1F3A5F"/>
                <w:sz w:val="18"/>
                <w:szCs w:val="18"/>
              </w:rPr>
              <w:t xml:space="preserve">Windows clients</w:t>
            </w:r>
          </w:p>
        </w:tc>
        <w:tc>
          <w:tcPr>
            <w:tcW w:w="7607" w:type="dxa"/>
            <w:shd w:val="clear" w:color="auto" w:fill="F7F9FB"/>
          </w:tcPr>
          <w:p>
            <w:pPr>
              <w:pStyle w:val="TableText"/>
            </w:pPr>
            <w:r>
              <w:rPr>
                <w:sz w:val="18"/>
                <w:szCs w:val="18"/>
              </w:rPr>
              <w:t xml:space="preserve">12 workstations — Windows 11 Pro (10), Windows 10 Pro (1), Windows 11 Enterprise (1)</w:t>
            </w:r>
          </w:p>
        </w:tc>
      </w:tr>
      <w:tr>
        <w:trPr>
          <w:cantSplit/>
        </w:trPr>
        <w:tc>
          <w:tcPr>
            <w:tcW w:w="2145" w:type="dxa"/>
          </w:tcPr>
          <w:p>
            <w:pPr>
              <w:pStyle w:val="TableText"/>
            </w:pPr>
            <w:r>
              <w:rPr>
                <w:b/>
                <w:bCs/>
                <w:color w:val="1F3A5F"/>
                <w:sz w:val="18"/>
                <w:szCs w:val="18"/>
              </w:rPr>
              <w:t xml:space="preserve">Virtualization</w:t>
            </w:r>
          </w:p>
        </w:tc>
        <w:tc>
          <w:tcPr>
            <w:tcW w:w="7607" w:type="dxa"/>
          </w:tcPr>
          <w:p>
            <w:pPr>
              <w:pStyle w:val="TableText"/>
            </w:pPr>
            <w:r>
              <w:rPr>
                <w:sz w:val="18"/>
                <w:szCs w:val="18"/>
              </w:rPr>
              <w:t xml:space="preserve">Hyper-V hosts: 2 (11 VMs); other virtualization hosts: 2 (8 guests) — VMware ESXi (2)</w:t>
            </w:r>
          </w:p>
        </w:tc>
      </w:tr>
      <w:tr>
        <w:trPr>
          <w:cantSplit/>
        </w:trPr>
        <w:tc>
          <w:tcPr>
            <w:tcW w:w="2145" w:type="dxa"/>
            <w:shd w:val="clear" w:color="auto" w:fill="F7F9FB"/>
          </w:tcPr>
          <w:p>
            <w:pPr>
              <w:pStyle w:val="TableText"/>
            </w:pPr>
            <w:r>
              <w:rPr>
                <w:b/>
                <w:bCs/>
                <w:color w:val="1F3A5F"/>
                <w:sz w:val="18"/>
                <w:szCs w:val="18"/>
              </w:rPr>
              <w:t xml:space="preserve">SQL Server</w:t>
            </w:r>
          </w:p>
        </w:tc>
        <w:tc>
          <w:tcPr>
            <w:tcW w:w="7607" w:type="dxa"/>
            <w:shd w:val="clear" w:color="auto" w:fill="F7F9FB"/>
          </w:tcPr>
          <w:p>
            <w:pPr>
              <w:pStyle w:val="TableText"/>
            </w:pPr>
            <w:r>
              <w:rPr>
                <w:sz w:val="18"/>
                <w:szCs w:val="18"/>
              </w:rPr>
              <w:t xml:space="preserve">6 instances/components — SQL Server 2022 Enterprise (2), SQL Server 2017 Standard (1), SQL Server 2019 Express (1), SQL Server 2019 Standard (1), SQL Server 2022 Developer (1)</w:t>
            </w:r>
          </w:p>
        </w:tc>
      </w:tr>
      <w:tr>
        <w:trPr>
          <w:cantSplit/>
        </w:trPr>
        <w:tc>
          <w:tcPr>
            <w:tcW w:w="2145" w:type="dxa"/>
          </w:tcPr>
          <w:p>
            <w:pPr>
              <w:pStyle w:val="TableText"/>
            </w:pPr>
            <w:r>
              <w:rPr>
                <w:b/>
                <w:bCs/>
                <w:color w:val="1F3A5F"/>
                <w:sz w:val="18"/>
                <w:szCs w:val="18"/>
              </w:rPr>
              <w:t xml:space="preserve">Office / Microsoft 365 Apps</w:t>
            </w:r>
          </w:p>
        </w:tc>
        <w:tc>
          <w:tcPr>
            <w:tcW w:w="7607" w:type="dxa"/>
          </w:tcPr>
          <w:p>
            <w:pPr>
              <w:pStyle w:val="TableText"/>
            </w:pPr>
            <w:r>
              <w:rPr>
                <w:sz w:val="18"/>
                <w:szCs w:val="18"/>
              </w:rPr>
              <w:t xml:space="preserve">14 installations — Microsoft 365 Apps (Apps for enterprise) (10), Microsoft Office Standard 2016 (1), Office Home &amp; Student 2021 (1), Office Professional Plus 2021 (1), Visio Professional 2021 (1)</w:t>
            </w:r>
          </w:p>
        </w:tc>
      </w:tr>
      <w:tr>
        <w:trPr>
          <w:cantSplit/>
        </w:trPr>
        <w:tc>
          <w:tcPr>
            <w:tcW w:w="2145" w:type="dxa"/>
            <w:shd w:val="clear" w:color="auto" w:fill="F7F9FB"/>
          </w:tcPr>
          <w:p>
            <w:pPr>
              <w:pStyle w:val="TableText"/>
            </w:pPr>
            <w:r>
              <w:rPr>
                <w:b/>
                <w:bCs/>
                <w:color w:val="1F3A5F"/>
                <w:sz w:val="18"/>
                <w:szCs w:val="18"/>
              </w:rPr>
              <w:t xml:space="preserve">Remote Desktop Services</w:t>
            </w:r>
          </w:p>
        </w:tc>
        <w:tc>
          <w:tcPr>
            <w:tcW w:w="7607" w:type="dxa"/>
            <w:shd w:val="clear" w:color="auto" w:fill="F7F9FB"/>
          </w:tcPr>
          <w:p>
            <w:pPr>
              <w:pStyle w:val="TableText"/>
            </w:pPr>
            <w:r>
              <w:rPr>
                <w:sz w:val="18"/>
                <w:szCs w:val="18"/>
              </w:rPr>
              <w:t xml:space="preserve">Session hosts: 1; license servers: 1 — licensing mode: Per User (1)</w:t>
            </w:r>
          </w:p>
        </w:tc>
      </w:tr>
      <w:tr>
        <w:trPr>
          <w:cantSplit/>
        </w:trPr>
        <w:tc>
          <w:tcPr>
            <w:tcW w:w="2145" w:type="dxa"/>
          </w:tcPr>
          <w:p>
            <w:pPr>
              <w:pStyle w:val="TableText"/>
            </w:pPr>
            <w:r>
              <w:rPr>
                <w:b/>
                <w:bCs/>
                <w:color w:val="1F3A5F"/>
                <w:sz w:val="18"/>
                <w:szCs w:val="18"/>
              </w:rPr>
              <w:t xml:space="preserve">Other server products</w:t>
            </w:r>
          </w:p>
        </w:tc>
        <w:tc>
          <w:tcPr>
            <w:tcW w:w="7607" w:type="dxa"/>
          </w:tcPr>
          <w:p>
            <w:pPr>
              <w:pStyle w:val="TableText"/>
            </w:pPr>
            <w:r>
              <w:rPr>
                <w:sz w:val="18"/>
                <w:szCs w:val="18"/>
              </w:rPr>
              <w:t xml:space="preserve">Microsoft Exchange Server 2019 Cumulative Update 14 (1), Visual Studio Professional 2022 (1)</w:t>
            </w:r>
          </w:p>
        </w:tc>
      </w:tr>
      <w:tr>
        <w:trPr>
          <w:cantSplit/>
        </w:trPr>
        <w:tc>
          <w:tcPr>
            <w:tcW w:w="2145" w:type="dxa"/>
            <w:shd w:val="clear" w:color="auto" w:fill="F7F9FB"/>
          </w:tcPr>
          <w:p>
            <w:pPr>
              <w:pStyle w:val="TableText"/>
            </w:pPr>
            <w:r>
              <w:rPr>
                <w:b/>
                <w:bCs/>
                <w:color w:val="1F3A5F"/>
                <w:sz w:val="18"/>
                <w:szCs w:val="18"/>
              </w:rPr>
              <w:t xml:space="preserve">Active Directory</w:t>
            </w:r>
          </w:p>
        </w:tc>
        <w:tc>
          <w:tcPr>
            <w:tcW w:w="7607" w:type="dxa"/>
            <w:shd w:val="clear" w:color="auto" w:fill="F7F9FB"/>
          </w:tcPr>
          <w:p>
            <w:pPr>
              <w:pStyle w:val="TableText"/>
            </w:pPr>
            <w:r>
              <w:rPr>
                <w:sz w:val="18"/>
                <w:szCs w:val="18"/>
              </w:rPr>
              <w:t xml:space="preserve">Domain demo.local (forest demo.local, Windows2016Domain); users enabled 182, active in 90 days 168; computers enabled 158 (servers 13, workstations 145); domain controllers 1</w:t>
            </w:r>
          </w:p>
        </w:tc>
      </w:tr>
      <w:tr>
        <w:trPr>
          <w:cantSplit/>
        </w:trPr>
        <w:tc>
          <w:tcPr>
            <w:tcW w:w="2145" w:type="dxa"/>
          </w:tcPr>
          <w:p>
            <w:pPr>
              <w:pStyle w:val="TableText"/>
            </w:pPr>
            <w:r>
              <w:rPr>
                <w:b/>
                <w:bCs/>
                <w:color w:val="1F3A5F"/>
                <w:sz w:val="18"/>
                <w:szCs w:val="18"/>
              </w:rPr>
              <w:t xml:space="preserve">Microsoft 365 / Entra ID</w:t>
            </w:r>
          </w:p>
        </w:tc>
        <w:tc>
          <w:tcPr>
            <w:tcW w:w="7607" w:type="dxa"/>
          </w:tcPr>
          <w:p>
            <w:pPr>
              <w:pStyle w:val="TableText"/>
            </w:pPr>
            <w:r>
              <w:rPr>
                <w:sz w:val="18"/>
                <w:szCs w:val="18"/>
              </w:rPr>
              <w:t xml:space="preserve">Tenant Demo Company (demo tenant); users 175 (licensed 165); subscribed SKUs 3; subscriptions 3; Intune managed devices 163</w:t>
            </w:r>
          </w:p>
        </w:tc>
      </w:tr>
      <w:tr>
        <w:trPr>
          <w:cantSplit/>
        </w:trPr>
        <w:tc>
          <w:tcPr>
            <w:tcW w:w="2145" w:type="dxa"/>
            <w:shd w:val="clear" w:color="auto" w:fill="F7F9FB"/>
          </w:tcPr>
          <w:p>
            <w:pPr>
              <w:pStyle w:val="TableText"/>
            </w:pPr>
            <w:r>
              <w:rPr>
                <w:b/>
                <w:bCs/>
                <w:color w:val="1F3A5F"/>
                <w:sz w:val="18"/>
                <w:szCs w:val="18"/>
              </w:rPr>
              <w:t xml:space="preserve">Customer license inventory</w:t>
            </w:r>
          </w:p>
        </w:tc>
        <w:tc>
          <w:tcPr>
            <w:tcW w:w="7607" w:type="dxa"/>
            <w:shd w:val="clear" w:color="auto" w:fill="F7F9FB"/>
          </w:tcPr>
          <w:p>
            <w:pPr>
              <w:pStyle w:val="TableText"/>
            </w:pPr>
            <w:r>
              <w:rPr>
                <w:sz w:val="18"/>
                <w:szCs w:val="18"/>
              </w:rPr>
              <w:t xml:space="preserve">11 license lines supplied — sources: Excel (11)</w:t>
            </w:r>
          </w:p>
        </w:tc>
      </w:tr>
    </w:tbl>
    <w:p>
      <w:pPr>
        <w:spacing w:before="0" w:after="0" w:line="240" w:lineRule="auto"/>
        <w:rPr>
          <w:sz w:val="12"/>
          <w:szCs w:val="12"/>
        </w:rPr>
      </w:pPr>
    </w:p>
    <w:p>
      <w:pPr>
        <w:pStyle w:val="Heading1"/>
        <w:pageBreakBefore/>
      </w:pPr>
      <w:bookmarkStart w:id="7" w:name="_TocMlat00007"/>
      <w:r>
        <w:t xml:space="preserve">Licensing charts</w:t>
      </w:r>
      <w:bookmarkEnd w:id="7"/>
    </w:p>
    <w:p>
      <w:pPr>
        <w:spacing w:after="160"/>
      </w:pPr>
      <w:r>
        <w:rPr>
          <w:color w:val="5B6475"/>
        </w:rPr>
        <w:t xml:space="preserve">Charts summarize the license positions calculated by the rules engine. Bars use one shared scale per chart; the colored dot shows the position status.</w:t>
      </w:r>
    </w:p>
    <w:p>
      <w:pPr>
        <w:pStyle w:val="Heading2"/>
      </w:pPr>
      <w:bookmarkStart w:id="8" w:name="_TocMlat00008"/>
      <w:r>
        <w:t xml:space="preserve">License coverage per position</w:t>
      </w:r>
      <w:bookmarkEnd w:id="8"/>
    </w:p>
    <w:p>
      <w:pPr>
        <w:pStyle w:val="Small"/>
      </w:pPr>
      <w:r>
        <w:t xml:space="preserve">Covered, potential gap and potentially unused license units per license position (value = covered/required).</w:t>
      </w:r>
    </w:p>
    <w:p>
      <w:pPr>
        <w:spacing w:before="60" w:after="120"/>
      </w:pPr>
      <w:r>
        <w:drawing>
          <wp:inline distT="0" distB="0" distL="0" distR="0">
            <wp:extent cx="6191746" cy="4659289"/>
            <wp:effectExtent l="0" t="0" r="0" b="0"/>
            <wp:docPr id="2" name="Picture 2" descr="License coverage per position"/>
            <wp:cNvGraphicFramePr>
              <a:graphicFrameLocks noChangeAspect="1"/>
            </wp:cNvGraphicFramePr>
            <a:graphic>
              <a:graphicData uri="http://schemas.openxmlformats.org/drawingml/2006/picture">
                <pic:pic>
                  <pic:nvPicPr>
                    <pic:cNvPr id="0" name="Picture 2.png"/>
                    <pic:cNvPicPr/>
                  </pic:nvPicPr>
                  <pic:blipFill>
                    <a:blip r:embed="rId101"/>
                    <a:stretch>
                      <a:fillRect/>
                    </a:stretch>
                  </pic:blipFill>
                  <pic:spPr>
                    <a:xfrm>
                      <a:off x="0" y="0"/>
                      <a:ext cx="6191746" cy="4659289"/>
                    </a:xfrm>
                    <a:prstGeom prst="rect">
                      <a:avLst/>
                    </a:prstGeom>
                  </pic:spPr>
                </pic:pic>
              </a:graphicData>
            </a:graphic>
          </wp:inline>
        </w:drawing>
      </w:r>
    </w:p>
    <w:p>
      <w:pPr>
        <w:pStyle w:val="Heading2"/>
      </w:pPr>
      <w:bookmarkStart w:id="9" w:name="_TocMlat00009"/>
      <w:r>
        <w:t xml:space="preserve">Potential gaps by product</w:t>
      </w:r>
      <w:bookmarkEnd w:id="9"/>
    </w:p>
    <w:p>
      <w:pPr>
        <w:pStyle w:val="Small"/>
      </w:pPr>
      <w:r>
        <w:t xml:space="preserve">Potential gap in license units, summed per product.</w:t>
      </w:r>
    </w:p>
    <w:p>
      <w:pPr>
        <w:spacing w:before="60" w:after="120"/>
      </w:pPr>
      <w:r>
        <w:drawing>
          <wp:inline distT="0" distB="0" distL="0" distR="0">
            <wp:extent cx="6191746" cy="1671771"/>
            <wp:effectExtent l="0" t="0" r="0" b="0"/>
            <wp:docPr id="3" name="Picture 3" descr="Potential gaps by product"/>
            <wp:cNvGraphicFramePr>
              <a:graphicFrameLocks noChangeAspect="1"/>
            </wp:cNvGraphicFramePr>
            <a:graphic>
              <a:graphicData uri="http://schemas.openxmlformats.org/drawingml/2006/picture">
                <pic:pic>
                  <pic:nvPicPr>
                    <pic:cNvPr id="0" name="Picture 3.png"/>
                    <pic:cNvPicPr/>
                  </pic:nvPicPr>
                  <pic:blipFill>
                    <a:blip r:embed="rId102"/>
                    <a:stretch>
                      <a:fillRect/>
                    </a:stretch>
                  </pic:blipFill>
                  <pic:spPr>
                    <a:xfrm>
                      <a:off x="0" y="0"/>
                      <a:ext cx="6191746" cy="1671771"/>
                    </a:xfrm>
                    <a:prstGeom prst="rect">
                      <a:avLst/>
                    </a:prstGeom>
                  </pic:spPr>
                </pic:pic>
              </a:graphicData>
            </a:graphic>
          </wp:inline>
        </w:drawing>
      </w:r>
    </w:p>
    <w:p>
      <w:pPr>
        <w:pStyle w:val="Heading2"/>
      </w:pPr>
      <w:bookmarkStart w:id="10" w:name="_TocMlat00010"/>
      <w:r>
        <w:t xml:space="preserve">License positions by status</w:t>
      </w:r>
      <w:bookmarkEnd w:id="10"/>
    </w:p>
    <w:p>
      <w:pPr>
        <w:spacing w:before="60" w:after="120"/>
      </w:pPr>
      <w:r>
        <w:drawing>
          <wp:inline distT="0" distB="0" distL="0" distR="0">
            <wp:extent cx="6191746" cy="1578895"/>
            <wp:effectExtent l="0" t="0" r="0" b="0"/>
            <wp:docPr id="4" name="Picture 4" descr="License positions by status"/>
            <wp:cNvGraphicFramePr>
              <a:graphicFrameLocks noChangeAspect="1"/>
            </wp:cNvGraphicFramePr>
            <a:graphic>
              <a:graphicData uri="http://schemas.openxmlformats.org/drawingml/2006/picture">
                <pic:pic>
                  <pic:nvPicPr>
                    <pic:cNvPr id="0" name="Picture 4.png"/>
                    <pic:cNvPicPr/>
                  </pic:nvPicPr>
                  <pic:blipFill>
                    <a:blip r:embed="rId103"/>
                    <a:stretch>
                      <a:fillRect/>
                    </a:stretch>
                  </pic:blipFill>
                  <pic:spPr>
                    <a:xfrm>
                      <a:off x="0" y="0"/>
                      <a:ext cx="6191746" cy="1578895"/>
                    </a:xfrm>
                    <a:prstGeom prst="rect">
                      <a:avLst/>
                    </a:prstGeom>
                  </pic:spPr>
                </pic:pic>
              </a:graphicData>
            </a:graphic>
          </wp:inline>
        </w:drawing>
      </w:r>
    </w:p>
    <w:p>
      <w:pPr>
        <w:pStyle w:val="Heading2"/>
      </w:pPr>
      <w:bookmarkStart w:id="11" w:name="_TocMlat00011"/>
      <w:r>
        <w:t xml:space="preserve">Microsoft 365 license utilization</w:t>
      </w:r>
      <w:bookmarkEnd w:id="11"/>
    </w:p>
    <w:p>
      <w:pPr>
        <w:pStyle w:val="Small"/>
      </w:pPr>
      <w:r>
        <w:t xml:space="preserve">Consumed (assigned) units as a share of enabled (purchased) units per SKU; grey track = enabled units.</w:t>
      </w:r>
    </w:p>
    <w:p>
      <w:pPr>
        <w:spacing w:before="60" w:after="120"/>
      </w:pPr>
      <w:r>
        <w:drawing>
          <wp:inline distT="0" distB="0" distL="0" distR="0">
            <wp:extent cx="6191746" cy="1037117"/>
            <wp:effectExtent l="0" t="0" r="0" b="0"/>
            <wp:docPr id="5" name="Picture 5" descr="Microsoft 365 license utilization"/>
            <wp:cNvGraphicFramePr>
              <a:graphicFrameLocks noChangeAspect="1"/>
            </wp:cNvGraphicFramePr>
            <a:graphic>
              <a:graphicData uri="http://schemas.openxmlformats.org/drawingml/2006/picture">
                <pic:pic>
                  <pic:nvPicPr>
                    <pic:cNvPr id="0" name="Picture 5.png"/>
                    <pic:cNvPicPr/>
                  </pic:nvPicPr>
                  <pic:blipFill>
                    <a:blip r:embed="rId104"/>
                    <a:stretch>
                      <a:fillRect/>
                    </a:stretch>
                  </pic:blipFill>
                  <pic:spPr>
                    <a:xfrm>
                      <a:off x="0" y="0"/>
                      <a:ext cx="6191746" cy="1037117"/>
                    </a:xfrm>
                    <a:prstGeom prst="rect">
                      <a:avLst/>
                    </a:prstGeom>
                  </pic:spPr>
                </pic:pic>
              </a:graphicData>
            </a:graphic>
          </wp:inline>
        </w:drawing>
      </w:r>
    </w:p>
    <w:p>
      <w:pPr>
        <w:pStyle w:val="Heading1"/>
        <w:pageBreakBefore/>
      </w:pPr>
      <w:bookmarkStart w:id="12" w:name="_TocMlat00012"/>
      <w:r>
        <w:t xml:space="preserve">Windows license state</w:t>
      </w:r>
      <w:bookmarkEnd w:id="12"/>
    </w:p>
    <w:p>
      <w:pPr>
        <w:spacing w:after="160"/>
      </w:pPr>
      <w:r>
        <w:rPr>
          <w:color w:val="5B6475"/>
        </w:rPr>
        <w:t xml:space="preserve">Whether a Windows product key is installed and whether Windows is activated, as reported by the Windows licensing service on every computer and virtual machine known to the assessment. Computers known only from Active Directory, virtualization hosts or Configuration Manager whose license state could not be collected are listed as Not verified.</w:t>
      </w:r>
    </w:p>
    <w:p>
      <w:pPr>
        <w:pStyle w:val="Small"/>
      </w:pPr>
      <w:r>
        <w:t xml:space="preserve">Activation states are technical facts reported by the Windows licensing service (or the absence of collected data). They are not a legal or contractual licensing determination. Only the last five characters of a product key are collected.</w:t>
      </w:r>
    </w:p>
    <w:tbl>
      <w:tblPr>
        <w:tblStyle w:val="MlatTable"/>
        <w:tblW w:w="9752" w:type="dxa"/>
        <w:tblCellSpacing w:w="70" w:type="dxa"/>
        <w:tblInd w:w="0" w:type="dxa"/>
        <w:tblBorders>
          <w:top w:val="nil"/>
          <w:left w:val="nil"/>
          <w:bottom w:val="nil"/>
          <w:right w:val="nil"/>
          <w:insideH w:val="nil"/>
          <w:insideV w:val="nil"/>
        </w:tblBorders>
        <w:tblLayout w:type="fixed"/>
        <w:tblCellMar>
          <w:top w:w="60" w:type="dxa"/>
          <w:left w:w="110" w:type="dxa"/>
          <w:bottom w:w="60" w:type="dxa"/>
          <w:right w:w="110" w:type="dxa"/>
        </w:tblCellMar>
        <w:tblLook w:val="04A0" w:firstRow="1" w:lastRow="0" w:firstColumn="0" w:lastColumn="0" w:noHBand="0" w:noVBand="1"/>
      </w:tblPr>
      <w:tblGrid>
        <w:gridCol w:w="2438"/>
        <w:gridCol w:w="2438"/>
        <w:gridCol w:w="2438"/>
        <w:gridCol w:w="2438"/>
      </w:tblGrid>
      <w:tr>
        <w:trPr>
          <w:cantSplit/>
        </w:trPr>
        <w:tc>
          <w:tcPr>
            <w:tcW w:w="2438" w:type="dxa"/>
            <w:tcBorders>
              <w:top w:val="single" w:sz="18" w:space="0" w:color="1F3A5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WINDOWS COMPUTERS</w:t>
            </w:r>
          </w:p>
          <w:p>
            <w:pPr>
              <w:pStyle w:val="TableText"/>
              <w:keepNext/>
              <w:spacing w:after="20"/>
            </w:pPr>
            <w:r>
              <w:rPr>
                <w:b/>
                <w:bCs/>
                <w:color w:val="1F3A5F"/>
                <w:sz w:val="32"/>
                <w:szCs w:val="32"/>
              </w:rPr>
              <w:t xml:space="preserve">29</w:t>
            </w:r>
          </w:p>
          <w:p>
            <w:pPr>
              <w:pStyle w:val="TableText"/>
              <w:keepNext/>
            </w:pPr>
            <w:r>
              <w:rPr>
                <w:color w:val="5B6475"/>
                <w:sz w:val="14"/>
                <w:szCs w:val="14"/>
              </w:rPr>
              <w:t xml:space="preserve">17 servers, 12 clients</w:t>
            </w:r>
          </w:p>
        </w:tc>
        <w:tc>
          <w:tcPr>
            <w:tcW w:w="2438" w:type="dxa"/>
            <w:tcBorders>
              <w:top w:val="single" w:sz="18" w:space="0" w:color="2E7D32"/>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ACTIVATED</w:t>
            </w:r>
          </w:p>
          <w:p>
            <w:pPr>
              <w:pStyle w:val="TableText"/>
              <w:keepNext/>
              <w:spacing w:after="20"/>
            </w:pPr>
            <w:r>
              <w:rPr>
                <w:b/>
                <w:bCs/>
                <w:color w:val="1F3A5F"/>
                <w:sz w:val="32"/>
                <w:szCs w:val="32"/>
              </w:rPr>
              <w:t xml:space="preserve">19</w:t>
            </w:r>
          </w:p>
          <w:p>
            <w:pPr>
              <w:pStyle w:val="TableText"/>
              <w:keepNext/>
            </w:pPr>
            <w:r>
              <w:rPr>
                <w:color w:val="5B6475"/>
                <w:sz w:val="14"/>
                <w:szCs w:val="14"/>
              </w:rPr>
              <w:t xml:space="preserve">66% of computers</w:t>
            </w:r>
          </w:p>
        </w:tc>
        <w:tc>
          <w:tcPr>
            <w:tcW w:w="2438" w:type="dxa"/>
            <w:tcBorders>
              <w:top w:val="single" w:sz="18" w:space="0" w:color="C62828"/>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NOT ACTIVATED</w:t>
            </w:r>
          </w:p>
          <w:p>
            <w:pPr>
              <w:pStyle w:val="TableText"/>
              <w:keepNext/>
              <w:spacing w:after="20"/>
            </w:pPr>
            <w:r>
              <w:rPr>
                <w:b/>
                <w:bCs/>
                <w:color w:val="C62828"/>
                <w:sz w:val="32"/>
                <w:szCs w:val="32"/>
              </w:rPr>
              <w:t xml:space="preserve">2</w:t>
            </w:r>
          </w:p>
          <w:p>
            <w:pPr>
              <w:pStyle w:val="TableText"/>
              <w:keepNext/>
            </w:pPr>
            <w:r>
              <w:rPr>
                <w:color w:val="5B6475"/>
                <w:sz w:val="14"/>
                <w:szCs w:val="14"/>
              </w:rPr>
              <w:t xml:space="preserve">key installed, not activated</w:t>
            </w:r>
          </w:p>
        </w:tc>
        <w:tc>
          <w:tcPr>
            <w:tcW w:w="2438" w:type="dxa"/>
            <w:tcBorders>
              <w:top w:val="single" w:sz="18" w:space="0" w:color="B7791F"/>
              <w:left w:val="single" w:sz="4" w:space="0" w:color="D9DEE7"/>
              <w:bottom w:val="single" w:sz="4" w:space="0" w:color="D9DEE7"/>
              <w:right w:val="single" w:sz="4" w:space="0" w:color="D9DEE7"/>
            </w:tcBorders>
          </w:tcPr>
          <w:p>
            <w:pPr>
              <w:pStyle w:val="TableText"/>
              <w:keepNext/>
              <w:spacing w:after="20"/>
            </w:pPr>
            <w:r>
              <w:rPr>
                <w:color w:val="5B6475"/>
                <w:sz w:val="14"/>
                <w:szCs w:val="14"/>
              </w:rPr>
              <w:t xml:space="preserve">NO PRODUCT KEY</w:t>
            </w:r>
          </w:p>
          <w:p>
            <w:pPr>
              <w:pStyle w:val="TableText"/>
              <w:keepNext/>
              <w:spacing w:after="20"/>
            </w:pPr>
            <w:r>
              <w:rPr>
                <w:b/>
                <w:bCs/>
                <w:color w:val="1F3A5F"/>
                <w:sz w:val="32"/>
                <w:szCs w:val="32"/>
              </w:rPr>
              <w:t xml:space="preserve">1</w:t>
            </w:r>
          </w:p>
          <w:p>
            <w:pPr>
              <w:pStyle w:val="TableText"/>
              <w:keepNext/>
            </w:pPr>
            <w:r>
              <w:rPr>
                <w:color w:val="5B6475"/>
                <w:sz w:val="14"/>
                <w:szCs w:val="14"/>
              </w:rPr>
              <w:t xml:space="preserve">no Windows key installed</w:t>
            </w:r>
          </w:p>
        </w:tc>
      </w:tr>
      <w:tr>
        <w:trPr>
          <w:cantSplit/>
        </w:trPr>
        <w:tc>
          <w:tcPr>
            <w:tcW w:w="2438" w:type="dxa"/>
            <w:tcBorders>
              <w:top w:val="single" w:sz="18" w:space="0" w:color="6A1B9A"/>
              <w:left w:val="single" w:sz="4" w:space="0" w:color="D9DEE7"/>
              <w:bottom w:val="single" w:sz="4" w:space="0" w:color="D9DEE7"/>
              <w:right w:val="single" w:sz="4" w:space="0" w:color="D9DEE7"/>
            </w:tcBorders>
          </w:tcPr>
          <w:p>
            <w:pPr>
              <w:pStyle w:val="TableText"/>
              <w:spacing w:after="20"/>
            </w:pPr>
            <w:r>
              <w:rPr>
                <w:color w:val="5B6475"/>
                <w:sz w:val="14"/>
                <w:szCs w:val="14"/>
              </w:rPr>
              <w:t xml:space="preserve">NOT VERIFIED</w:t>
            </w:r>
          </w:p>
          <w:p>
            <w:pPr>
              <w:pStyle w:val="TableText"/>
              <w:spacing w:after="20"/>
            </w:pPr>
            <w:r>
              <w:rPr>
                <w:b/>
                <w:bCs/>
                <w:color w:val="6A1B9A"/>
                <w:sz w:val="32"/>
                <w:szCs w:val="32"/>
              </w:rPr>
              <w:t xml:space="preserve">7</w:t>
            </w:r>
          </w:p>
          <w:p>
            <w:pPr>
              <w:pStyle w:val="TableText"/>
            </w:pPr>
            <w:r>
              <w:rPr>
                <w:color w:val="5B6475"/>
                <w:sz w:val="14"/>
                <w:szCs w:val="14"/>
              </w:rPr>
              <w:t xml:space="preserve">license state not collected</w:t>
            </w:r>
          </w:p>
        </w:tc>
        <w:tc>
          <w:tcPr>
            <w:tcW w:w="2438" w:type="dxa"/>
            <w:tcBorders>
              <w:top w:val="single" w:sz="18" w:space="0" w:color="1F3A5F"/>
              <w:left w:val="single" w:sz="4" w:space="0" w:color="D9DEE7"/>
              <w:bottom w:val="single" w:sz="4" w:space="0" w:color="D9DEE7"/>
              <w:right w:val="single" w:sz="4" w:space="0" w:color="D9DEE7"/>
            </w:tcBorders>
          </w:tcPr>
          <w:p>
            <w:pPr>
              <w:pStyle w:val="TableText"/>
              <w:spacing w:after="20"/>
            </w:pPr>
            <w:r>
              <w:rPr>
                <w:color w:val="5B6475"/>
                <w:sz w:val="14"/>
                <w:szCs w:val="14"/>
              </w:rPr>
              <w:t xml:space="preserve">EVALUATION EDITIONS</w:t>
            </w:r>
          </w:p>
          <w:p>
            <w:pPr>
              <w:pStyle w:val="TableText"/>
              <w:spacing w:after="20"/>
            </w:pPr>
            <w:r>
              <w:rPr>
                <w:b/>
                <w:bCs/>
                <w:color w:val="1F3A5F"/>
                <w:sz w:val="32"/>
                <w:szCs w:val="32"/>
              </w:rPr>
              <w:t xml:space="preserve">0</w:t>
            </w:r>
          </w:p>
          <w:p>
            <w:pPr>
              <w:pStyle w:val="TableText"/>
            </w:pPr>
            <w:r>
              <w:rPr>
                <w:color w:val="5B6475"/>
                <w:sz w:val="14"/>
                <w:szCs w:val="14"/>
              </w:rPr>
              <w:t xml:space="preserve">time-limited evaluation</w:t>
            </w:r>
          </w:p>
        </w:tc>
        <w:tc>
          <w:tcPr>
            <w:tcW w:w="2438" w:type="dxa"/>
            <w:tcBorders>
              <w:top w:val="single" w:sz="18" w:space="0" w:color="1F3A5F"/>
              <w:left w:val="single" w:sz="4" w:space="0" w:color="D9DEE7"/>
              <w:bottom w:val="single" w:sz="4" w:space="0" w:color="D9DEE7"/>
              <w:right w:val="single" w:sz="4" w:space="0" w:color="D9DEE7"/>
            </w:tcBorders>
          </w:tcPr>
          <w:p>
            <w:pPr>
              <w:pStyle w:val="TableText"/>
              <w:spacing w:after="20"/>
            </w:pPr>
            <w:r>
              <w:rPr>
                <w:color w:val="5B6475"/>
                <w:sz w:val="14"/>
                <w:szCs w:val="14"/>
              </w:rPr>
              <w:t xml:space="preserve">CLUSTERS</w:t>
            </w:r>
          </w:p>
          <w:p>
            <w:pPr>
              <w:pStyle w:val="TableText"/>
              <w:spacing w:after="20"/>
            </w:pPr>
            <w:r>
              <w:rPr>
                <w:b/>
                <w:bCs/>
                <w:color w:val="1F3A5F"/>
                <w:sz w:val="32"/>
                <w:szCs w:val="32"/>
              </w:rPr>
              <w:t xml:space="preserve">2</w:t>
            </w:r>
          </w:p>
          <w:p>
            <w:pPr>
              <w:pStyle w:val="TableText"/>
            </w:pPr>
            <w:r>
              <w:rPr>
                <w:color w:val="5B6475"/>
                <w:sz w:val="14"/>
                <w:szCs w:val="14"/>
              </w:rPr>
              <w:t xml:space="preserve">evaluated</w:t>
            </w:r>
          </w:p>
        </w:tc>
        <w:tc>
          <w:tcPr>
            <w:tcW w:w="2438" w:type="dxa"/>
            <w:tcBorders>
              <w:top w:val="single" w:sz="18" w:space="0" w:color="C62828"/>
              <w:left w:val="single" w:sz="4" w:space="0" w:color="D9DEE7"/>
              <w:bottom w:val="single" w:sz="4" w:space="0" w:color="D9DEE7"/>
              <w:right w:val="single" w:sz="4" w:space="0" w:color="D9DEE7"/>
            </w:tcBorders>
          </w:tcPr>
          <w:p>
            <w:pPr>
              <w:pStyle w:val="TableText"/>
              <w:spacing w:after="20"/>
            </w:pPr>
            <w:r>
              <w:rPr>
                <w:color w:val="5B6475"/>
                <w:sz w:val="14"/>
                <w:szCs w:val="14"/>
              </w:rPr>
              <w:t xml:space="preserve">CLUSTERS AT RISK</w:t>
            </w:r>
          </w:p>
          <w:p>
            <w:pPr>
              <w:pStyle w:val="TableText"/>
              <w:spacing w:after="20"/>
            </w:pPr>
            <w:r>
              <w:rPr>
                <w:b/>
                <w:bCs/>
                <w:color w:val="C62828"/>
                <w:sz w:val="32"/>
                <w:szCs w:val="32"/>
              </w:rPr>
              <w:t xml:space="preserve">2</w:t>
            </w:r>
          </w:p>
          <w:p>
            <w:pPr>
              <w:pStyle w:val="TableText"/>
            </w:pPr>
            <w:r>
              <w:rPr>
                <w:color w:val="5B6475"/>
                <w:sz w:val="14"/>
                <w:szCs w:val="14"/>
              </w:rPr>
              <w:t xml:space="preserve">potential gap / validation</w:t>
            </w:r>
          </w:p>
        </w:tc>
      </w:tr>
    </w:tbl>
    <w:p>
      <w:pPr>
        <w:spacing w:before="0" w:after="0" w:line="240" w:lineRule="auto"/>
        <w:rPr>
          <w:sz w:val="12"/>
          <w:szCs w:val="12"/>
        </w:rPr>
      </w:pPr>
    </w:p>
    <w:p>
      <w:pPr>
        <w:pStyle w:val="Heading2"/>
      </w:pPr>
      <w:bookmarkStart w:id="13" w:name="_TocMlat00013"/>
      <w:r>
        <w:t xml:space="preserve">Summary by state</w:t>
      </w:r>
      <w:bookmarkEnd w:id="13"/>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4876"/>
        <w:gridCol w:w="975"/>
        <w:gridCol w:w="975"/>
        <w:gridCol w:w="976"/>
      </w:tblGrid>
      <w:tr>
        <w:trPr>
          <w:cantSplit/>
          <w:tblHeader/>
        </w:trPr>
        <w:tc>
          <w:tcPr>
            <w:tcW w:w="1950" w:type="dxa"/>
            <w:shd w:val="clear" w:color="auto" w:fill="1F3A5F"/>
            <w:vAlign w:val="bottom"/>
          </w:tcPr>
          <w:p>
            <w:pPr>
              <w:pStyle w:val="TableText"/>
              <w:keepNext/>
            </w:pPr>
            <w:r>
              <w:rPr>
                <w:b/>
                <w:bCs/>
                <w:color w:val="FFFFFF"/>
                <w:sz w:val="17"/>
                <w:szCs w:val="17"/>
              </w:rPr>
              <w:t xml:space="preserve">State</w:t>
            </w:r>
          </w:p>
        </w:tc>
        <w:tc>
          <w:tcPr>
            <w:tcW w:w="4876" w:type="dxa"/>
            <w:shd w:val="clear" w:color="auto" w:fill="1F3A5F"/>
            <w:vAlign w:val="bottom"/>
          </w:tcPr>
          <w:p>
            <w:pPr>
              <w:pStyle w:val="TableText"/>
              <w:keepNext/>
            </w:pPr>
            <w:r>
              <w:rPr>
                <w:b/>
                <w:bCs/>
                <w:color w:val="FFFFFF"/>
                <w:sz w:val="17"/>
                <w:szCs w:val="17"/>
              </w:rPr>
              <w:t xml:space="preserve">Meaning</w:t>
            </w:r>
          </w:p>
        </w:tc>
        <w:tc>
          <w:tcPr>
            <w:tcW w:w="975" w:type="dxa"/>
            <w:shd w:val="clear" w:color="auto" w:fill="1F3A5F"/>
            <w:vAlign w:val="bottom"/>
          </w:tcPr>
          <w:p>
            <w:pPr>
              <w:pStyle w:val="TableText"/>
              <w:keepNext/>
              <w:jc w:val="right"/>
            </w:pPr>
            <w:r>
              <w:rPr>
                <w:b/>
                <w:bCs/>
                <w:color w:val="FFFFFF"/>
                <w:sz w:val="17"/>
                <w:szCs w:val="17"/>
              </w:rPr>
              <w:t xml:space="preserve">Servers</w:t>
            </w:r>
          </w:p>
        </w:tc>
        <w:tc>
          <w:tcPr>
            <w:tcW w:w="975" w:type="dxa"/>
            <w:shd w:val="clear" w:color="auto" w:fill="1F3A5F"/>
            <w:vAlign w:val="bottom"/>
          </w:tcPr>
          <w:p>
            <w:pPr>
              <w:pStyle w:val="TableText"/>
              <w:keepNext/>
              <w:jc w:val="right"/>
            </w:pPr>
            <w:r>
              <w:rPr>
                <w:b/>
                <w:bCs/>
                <w:color w:val="FFFFFF"/>
                <w:sz w:val="17"/>
                <w:szCs w:val="17"/>
              </w:rPr>
              <w:t xml:space="preserve">Clients</w:t>
            </w:r>
          </w:p>
        </w:tc>
        <w:tc>
          <w:tcPr>
            <w:tcW w:w="976" w:type="dxa"/>
            <w:shd w:val="clear" w:color="auto" w:fill="1F3A5F"/>
            <w:vAlign w:val="bottom"/>
          </w:tcPr>
          <w:p>
            <w:pPr>
              <w:pStyle w:val="TableText"/>
              <w:keepNext/>
              <w:jc w:val="right"/>
            </w:pPr>
            <w:r>
              <w:rPr>
                <w:b/>
                <w:bCs/>
                <w:color w:val="FFFFFF"/>
                <w:sz w:val="17"/>
                <w:szCs w:val="17"/>
              </w:rPr>
              <w:t xml:space="preserve">Total</w:t>
            </w:r>
          </w:p>
        </w:tc>
      </w:tr>
      <w:tr>
        <w:trPr>
          <w:cantSplit/>
        </w:trPr>
        <w:tc>
          <w:tcPr>
            <w:tcW w:w="1950" w:type="dxa"/>
            <w:shd w:val="clear" w:color="auto" w:fill="E3F2E5"/>
          </w:tcPr>
          <w:p>
            <w:pPr>
              <w:pStyle w:val="TableText"/>
              <w:keepNext/>
            </w:pPr>
            <w:r>
              <w:rPr>
                <w:b/>
                <w:bCs/>
                <w:color w:val="1E6B2A"/>
                <w:sz w:val="17"/>
                <w:szCs w:val="17"/>
              </w:rPr>
              <w:t xml:space="preserve">Activated</w:t>
            </w:r>
          </w:p>
        </w:tc>
        <w:tc>
          <w:tcPr>
            <w:tcW w:w="4876" w:type="dxa"/>
          </w:tcPr>
          <w:p>
            <w:pPr>
              <w:pStyle w:val="TableText"/>
              <w:keepNext/>
            </w:pPr>
            <w:r>
              <w:rPr>
                <w:sz w:val="15"/>
                <w:szCs w:val="15"/>
              </w:rPr>
              <w:t xml:space="preserve">A Windows product key is installed and Windows reports the license status Licensed (activated).</w:t>
            </w:r>
          </w:p>
        </w:tc>
        <w:tc>
          <w:tcPr>
            <w:tcW w:w="975" w:type="dxa"/>
          </w:tcPr>
          <w:p>
            <w:pPr>
              <w:pStyle w:val="TableText"/>
              <w:keepNext/>
              <w:jc w:val="right"/>
            </w:pPr>
            <w:r>
              <w:rPr>
                <w:sz w:val="17"/>
                <w:szCs w:val="17"/>
              </w:rPr>
              <w:t xml:space="preserve">8</w:t>
            </w:r>
          </w:p>
        </w:tc>
        <w:tc>
          <w:tcPr>
            <w:tcW w:w="975" w:type="dxa"/>
          </w:tcPr>
          <w:p>
            <w:pPr>
              <w:pStyle w:val="TableText"/>
              <w:keepNext/>
              <w:jc w:val="right"/>
            </w:pPr>
            <w:r>
              <w:rPr>
                <w:sz w:val="17"/>
                <w:szCs w:val="17"/>
              </w:rPr>
              <w:t xml:space="preserve">11</w:t>
            </w:r>
          </w:p>
        </w:tc>
        <w:tc>
          <w:tcPr>
            <w:tcW w:w="976" w:type="dxa"/>
          </w:tcPr>
          <w:p>
            <w:pPr>
              <w:pStyle w:val="TableText"/>
              <w:keepNext/>
              <w:jc w:val="right"/>
            </w:pPr>
            <w:r>
              <w:rPr>
                <w:b/>
                <w:bCs/>
                <w:sz w:val="17"/>
                <w:szCs w:val="17"/>
              </w:rPr>
              <w:t xml:space="preserve">19</w:t>
            </w:r>
          </w:p>
        </w:tc>
      </w:tr>
      <w:tr>
        <w:trPr>
          <w:cantSplit/>
        </w:trPr>
        <w:tc>
          <w:tcPr>
            <w:tcW w:w="1950" w:type="dxa"/>
            <w:shd w:val="clear" w:color="auto" w:fill="FCE4E4"/>
          </w:tcPr>
          <w:p>
            <w:pPr>
              <w:pStyle w:val="TableText"/>
              <w:keepNext/>
            </w:pPr>
            <w:r>
              <w:rPr>
                <w:b/>
                <w:bCs/>
                <w:color w:val="A61B1B"/>
                <w:sz w:val="17"/>
                <w:szCs w:val="17"/>
              </w:rPr>
              <w:t xml:space="preserve">Not activated</w:t>
            </w:r>
          </w:p>
        </w:tc>
        <w:tc>
          <w:tcPr>
            <w:tcW w:w="4876" w:type="dxa"/>
            <w:shd w:val="clear" w:color="auto" w:fill="F7F9FB"/>
          </w:tcPr>
          <w:p>
            <w:pPr>
              <w:pStyle w:val="TableText"/>
              <w:keepNext/>
            </w:pPr>
            <w:r>
              <w:rPr>
                <w:sz w:val="15"/>
                <w:szCs w:val="15"/>
              </w:rPr>
              <w:t xml:space="preserve">A product key is installed but Windows is not activated (grace period, notification mode or unlicensed). Activate it (KMS, MAK, AVMA, OEM or retail key) or validate how it is licensed.</w:t>
            </w:r>
          </w:p>
        </w:tc>
        <w:tc>
          <w:tcPr>
            <w:tcW w:w="975" w:type="dxa"/>
            <w:shd w:val="clear" w:color="auto" w:fill="F7F9FB"/>
          </w:tcPr>
          <w:p>
            <w:pPr>
              <w:pStyle w:val="TableText"/>
              <w:keepNext/>
              <w:jc w:val="right"/>
            </w:pPr>
            <w:r>
              <w:rPr>
                <w:sz w:val="17"/>
                <w:szCs w:val="17"/>
              </w:rPr>
              <w:t xml:space="preserve">1</w:t>
            </w:r>
          </w:p>
        </w:tc>
        <w:tc>
          <w:tcPr>
            <w:tcW w:w="975" w:type="dxa"/>
            <w:shd w:val="clear" w:color="auto" w:fill="F7F9FB"/>
          </w:tcPr>
          <w:p>
            <w:pPr>
              <w:pStyle w:val="TableText"/>
              <w:keepNext/>
              <w:jc w:val="right"/>
            </w:pPr>
            <w:r>
              <w:rPr>
                <w:sz w:val="17"/>
                <w:szCs w:val="17"/>
              </w:rPr>
              <w:t xml:space="preserve">1</w:t>
            </w:r>
          </w:p>
        </w:tc>
        <w:tc>
          <w:tcPr>
            <w:tcW w:w="976" w:type="dxa"/>
            <w:shd w:val="clear" w:color="auto" w:fill="F7F9FB"/>
          </w:tcPr>
          <w:p>
            <w:pPr>
              <w:pStyle w:val="TableText"/>
              <w:keepNext/>
              <w:jc w:val="right"/>
            </w:pPr>
            <w:r>
              <w:rPr>
                <w:b/>
                <w:bCs/>
                <w:sz w:val="17"/>
                <w:szCs w:val="17"/>
              </w:rPr>
              <w:t xml:space="preserve">2</w:t>
            </w:r>
          </w:p>
        </w:tc>
      </w:tr>
      <w:tr>
        <w:trPr>
          <w:cantSplit/>
        </w:trPr>
        <w:tc>
          <w:tcPr>
            <w:tcW w:w="1950" w:type="dxa"/>
            <w:shd w:val="clear" w:color="auto" w:fill="FCE4E4"/>
          </w:tcPr>
          <w:p>
            <w:pPr>
              <w:pStyle w:val="TableText"/>
              <w:keepNext/>
            </w:pPr>
            <w:r>
              <w:rPr>
                <w:b/>
                <w:bCs/>
                <w:color w:val="A61B1B"/>
                <w:sz w:val="17"/>
                <w:szCs w:val="17"/>
              </w:rPr>
              <w:t xml:space="preserve">Not genuine</w:t>
            </w:r>
          </w:p>
        </w:tc>
        <w:tc>
          <w:tcPr>
            <w:tcW w:w="4876" w:type="dxa"/>
          </w:tcPr>
          <w:p>
            <w:pPr>
              <w:pStyle w:val="TableText"/>
              <w:keepNext/>
            </w:pPr>
            <w:r>
              <w:rPr>
                <w:sz w:val="15"/>
                <w:szCs w:val="15"/>
              </w:rPr>
              <w:t xml:space="preserve">Windows reports a non-genuine state. Validation required.</w:t>
            </w:r>
          </w:p>
        </w:tc>
        <w:tc>
          <w:tcPr>
            <w:tcW w:w="975" w:type="dxa"/>
          </w:tcPr>
          <w:p>
            <w:pPr>
              <w:pStyle w:val="TableText"/>
              <w:keepNext/>
              <w:jc w:val="right"/>
            </w:pPr>
            <w:r>
              <w:rPr>
                <w:sz w:val="17"/>
                <w:szCs w:val="17"/>
              </w:rPr>
              <w:t xml:space="preserve">0</w:t>
            </w:r>
          </w:p>
        </w:tc>
        <w:tc>
          <w:tcPr>
            <w:tcW w:w="975" w:type="dxa"/>
          </w:tcPr>
          <w:p>
            <w:pPr>
              <w:pStyle w:val="TableText"/>
              <w:keepNext/>
              <w:jc w:val="right"/>
            </w:pPr>
            <w:r>
              <w:rPr>
                <w:sz w:val="17"/>
                <w:szCs w:val="17"/>
              </w:rPr>
              <w:t xml:space="preserve">0</w:t>
            </w:r>
          </w:p>
        </w:tc>
        <w:tc>
          <w:tcPr>
            <w:tcW w:w="976" w:type="dxa"/>
          </w:tcPr>
          <w:p>
            <w:pPr>
              <w:pStyle w:val="TableText"/>
              <w:keepNext/>
              <w:jc w:val="right"/>
            </w:pPr>
            <w:r>
              <w:rPr>
                <w:b/>
                <w:bCs/>
                <w:sz w:val="17"/>
                <w:szCs w:val="17"/>
              </w:rPr>
              <w:t xml:space="preserve">0</w:t>
            </w:r>
          </w:p>
        </w:tc>
      </w:tr>
      <w:tr>
        <w:trPr>
          <w:cantSplit/>
        </w:trPr>
        <w:tc>
          <w:tcPr>
            <w:tcW w:w="1950" w:type="dxa"/>
            <w:shd w:val="clear" w:color="auto" w:fill="FFF2CC"/>
          </w:tcPr>
          <w:p>
            <w:pPr>
              <w:pStyle w:val="TableText"/>
              <w:keepNext/>
            </w:pPr>
            <w:r>
              <w:rPr>
                <w:b/>
                <w:bCs/>
                <w:color w:val="7A5600"/>
                <w:sz w:val="17"/>
                <w:szCs w:val="17"/>
              </w:rPr>
              <w:t xml:space="preserve">No product key installed</w:t>
            </w:r>
          </w:p>
        </w:tc>
        <w:tc>
          <w:tcPr>
            <w:tcW w:w="4876" w:type="dxa"/>
            <w:shd w:val="clear" w:color="auto" w:fill="F7F9FB"/>
          </w:tcPr>
          <w:p>
            <w:pPr>
              <w:pStyle w:val="TableText"/>
              <w:keepNext/>
            </w:pPr>
            <w:r>
              <w:rPr>
                <w:sz w:val="15"/>
                <w:szCs w:val="15"/>
              </w:rPr>
              <w:t xml:space="preserve">The licensing service answered, but no Windows product key is installed.</w:t>
            </w:r>
          </w:p>
        </w:tc>
        <w:tc>
          <w:tcPr>
            <w:tcW w:w="975" w:type="dxa"/>
            <w:shd w:val="clear" w:color="auto" w:fill="F7F9FB"/>
          </w:tcPr>
          <w:p>
            <w:pPr>
              <w:pStyle w:val="TableText"/>
              <w:keepNext/>
              <w:jc w:val="right"/>
            </w:pPr>
            <w:r>
              <w:rPr>
                <w:sz w:val="17"/>
                <w:szCs w:val="17"/>
              </w:rPr>
              <w:t xml:space="preserve">1</w:t>
            </w:r>
          </w:p>
        </w:tc>
        <w:tc>
          <w:tcPr>
            <w:tcW w:w="975" w:type="dxa"/>
            <w:shd w:val="clear" w:color="auto" w:fill="F7F9FB"/>
          </w:tcPr>
          <w:p>
            <w:pPr>
              <w:pStyle w:val="TableText"/>
              <w:keepNext/>
              <w:jc w:val="right"/>
            </w:pPr>
            <w:r>
              <w:rPr>
                <w:sz w:val="17"/>
                <w:szCs w:val="17"/>
              </w:rPr>
              <w:t xml:space="preserve">0</w:t>
            </w:r>
          </w:p>
        </w:tc>
        <w:tc>
          <w:tcPr>
            <w:tcW w:w="976" w:type="dxa"/>
            <w:shd w:val="clear" w:color="auto" w:fill="F7F9FB"/>
          </w:tcPr>
          <w:p>
            <w:pPr>
              <w:pStyle w:val="TableText"/>
              <w:keepNext/>
              <w:jc w:val="right"/>
            </w:pPr>
            <w:r>
              <w:rPr>
                <w:b/>
                <w:bCs/>
                <w:sz w:val="17"/>
                <w:szCs w:val="17"/>
              </w:rPr>
              <w:t xml:space="preserve">1</w:t>
            </w:r>
          </w:p>
        </w:tc>
      </w:tr>
      <w:tr>
        <w:trPr>
          <w:cantSplit/>
        </w:trPr>
        <w:tc>
          <w:tcPr>
            <w:tcW w:w="1950" w:type="dxa"/>
            <w:shd w:val="clear" w:color="auto" w:fill="F0E4F7"/>
          </w:tcPr>
          <w:p>
            <w:pPr>
              <w:pStyle w:val="TableText"/>
              <w:keepNext/>
            </w:pPr>
            <w:r>
              <w:rPr>
                <w:b/>
                <w:bCs/>
                <w:color w:val="5E1A8A"/>
                <w:sz w:val="17"/>
                <w:szCs w:val="17"/>
              </w:rPr>
              <w:t xml:space="preserve">Not verified</w:t>
            </w:r>
          </w:p>
        </w:tc>
        <w:tc>
          <w:tcPr>
            <w:tcW w:w="4876" w:type="dxa"/>
          </w:tcPr>
          <w:p>
            <w:pPr>
              <w:pStyle w:val="TableText"/>
              <w:keepNext/>
            </w:pPr>
            <w:r>
              <w:rPr>
                <w:sz w:val="15"/>
                <w:szCs w:val="15"/>
              </w:rPr>
              <w:t xml:space="preserve">Known from another source (Active Directory, virtualization host, ConfigMgr) but the license state could not be collected. Validation required.</w:t>
            </w:r>
          </w:p>
        </w:tc>
        <w:tc>
          <w:tcPr>
            <w:tcW w:w="975" w:type="dxa"/>
          </w:tcPr>
          <w:p>
            <w:pPr>
              <w:pStyle w:val="TableText"/>
              <w:keepNext/>
              <w:jc w:val="right"/>
            </w:pPr>
            <w:r>
              <w:rPr>
                <w:sz w:val="17"/>
                <w:szCs w:val="17"/>
              </w:rPr>
              <w:t xml:space="preserve">7</w:t>
            </w:r>
          </w:p>
        </w:tc>
        <w:tc>
          <w:tcPr>
            <w:tcW w:w="975" w:type="dxa"/>
          </w:tcPr>
          <w:p>
            <w:pPr>
              <w:pStyle w:val="TableText"/>
              <w:keepNext/>
              <w:jc w:val="right"/>
            </w:pPr>
            <w:r>
              <w:rPr>
                <w:sz w:val="17"/>
                <w:szCs w:val="17"/>
              </w:rPr>
              <w:t xml:space="preserve">0</w:t>
            </w:r>
          </w:p>
        </w:tc>
        <w:tc>
          <w:tcPr>
            <w:tcW w:w="976" w:type="dxa"/>
          </w:tcPr>
          <w:p>
            <w:pPr>
              <w:pStyle w:val="TableText"/>
              <w:keepNext/>
              <w:jc w:val="right"/>
            </w:pPr>
            <w:r>
              <w:rPr>
                <w:b/>
                <w:bCs/>
                <w:sz w:val="17"/>
                <w:szCs w:val="17"/>
              </w:rPr>
              <w:t xml:space="preserve">7</w:t>
            </w:r>
          </w:p>
        </w:tc>
      </w:tr>
      <w:tr>
        <w:trPr>
          <w:cantSplit/>
        </w:trPr>
        <w:tc>
          <w:tcPr>
            <w:tcW w:w="6826" w:type="dxa"/>
            <w:gridSpan w:val="2"/>
            <w:shd w:val="clear" w:color="auto" w:fill="EEF2F7"/>
          </w:tcPr>
          <w:p>
            <w:pPr>
              <w:pStyle w:val="TableText"/>
            </w:pPr>
            <w:r>
              <w:rPr>
                <w:b/>
                <w:bCs/>
                <w:sz w:val="17"/>
                <w:szCs w:val="17"/>
              </w:rPr>
              <w:t xml:space="preserve">Total</w:t>
            </w:r>
          </w:p>
        </w:tc>
        <w:tc>
          <w:tcPr>
            <w:tcW w:w="975" w:type="dxa"/>
            <w:shd w:val="clear" w:color="auto" w:fill="EEF2F7"/>
          </w:tcPr>
          <w:p>
            <w:pPr>
              <w:pStyle w:val="TableText"/>
              <w:jc w:val="right"/>
            </w:pPr>
            <w:r>
              <w:rPr>
                <w:b/>
                <w:bCs/>
                <w:sz w:val="17"/>
                <w:szCs w:val="17"/>
              </w:rPr>
              <w:t xml:space="preserve">17</w:t>
            </w:r>
          </w:p>
        </w:tc>
        <w:tc>
          <w:tcPr>
            <w:tcW w:w="975" w:type="dxa"/>
            <w:shd w:val="clear" w:color="auto" w:fill="EEF2F7"/>
          </w:tcPr>
          <w:p>
            <w:pPr>
              <w:pStyle w:val="TableText"/>
              <w:jc w:val="right"/>
            </w:pPr>
            <w:r>
              <w:rPr>
                <w:b/>
                <w:bCs/>
                <w:sz w:val="17"/>
                <w:szCs w:val="17"/>
              </w:rPr>
              <w:t xml:space="preserve">12</w:t>
            </w:r>
          </w:p>
        </w:tc>
        <w:tc>
          <w:tcPr>
            <w:tcW w:w="976" w:type="dxa"/>
            <w:shd w:val="clear" w:color="auto" w:fill="EEF2F7"/>
          </w:tcPr>
          <w:p>
            <w:pPr>
              <w:pStyle w:val="TableText"/>
              <w:jc w:val="right"/>
            </w:pPr>
            <w:r>
              <w:rPr>
                <w:b/>
                <w:bCs/>
                <w:sz w:val="17"/>
                <w:szCs w:val="17"/>
              </w:rPr>
              <w:t xml:space="preserve">29</w:t>
            </w:r>
          </w:p>
        </w:tc>
      </w:tr>
    </w:tbl>
    <w:p>
      <w:pPr>
        <w:spacing w:before="0" w:after="0" w:line="240" w:lineRule="auto"/>
        <w:rPr>
          <w:sz w:val="12"/>
          <w:szCs w:val="12"/>
        </w:rPr>
      </w:pPr>
    </w:p>
    <w:p>
      <w:pPr>
        <w:pStyle w:val="Heading2"/>
      </w:pPr>
      <w:bookmarkStart w:id="14" w:name="_TocMlat00014"/>
      <w:r>
        <w:t xml:space="preserve">Computers not activated, without a product key or not verified</w:t>
      </w:r>
      <w:bookmarkEnd w:id="14"/>
    </w:p>
    <w:p>
      <w:r>
        <w:t xml:space="preserve">10 computers, most urgent state first. Activate Windows (KMS, MAK, AVMA, OEM or retail key), install a product key, or re-scan the computers marked </w:t>
      </w:r>
      <w:r>
        <w:rPr>
          <w:b/>
          <w:bCs/>
        </w:rPr>
        <w:t xml:space="preserve">Not verified</w:t>
      </w:r>
      <w:r>
        <w:t xml:space="preserve"> with suitable credentials so their license state can be collected.</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440"/>
        <w:gridCol w:w="1563"/>
        <w:gridCol w:w="1174"/>
        <w:gridCol w:w="813"/>
        <w:gridCol w:w="884"/>
        <w:gridCol w:w="1270"/>
        <w:gridCol w:w="848"/>
        <w:gridCol w:w="1760"/>
      </w:tblGrid>
      <w:tr>
        <w:trPr>
          <w:cantSplit/>
          <w:tblHeader/>
        </w:trPr>
        <w:tc>
          <w:tcPr>
            <w:tcW w:w="1440" w:type="dxa"/>
            <w:shd w:val="clear" w:color="auto" w:fill="1F3A5F"/>
            <w:vAlign w:val="bottom"/>
          </w:tcPr>
          <w:p>
            <w:pPr>
              <w:pStyle w:val="TableText"/>
              <w:keepNext/>
            </w:pPr>
            <w:r>
              <w:rPr>
                <w:b/>
                <w:bCs/>
                <w:color w:val="FFFFFF"/>
                <w:sz w:val="15"/>
                <w:szCs w:val="15"/>
              </w:rPr>
              <w:t xml:space="preserve">Computer</w:t>
            </w:r>
          </w:p>
        </w:tc>
        <w:tc>
          <w:tcPr>
            <w:tcW w:w="1563" w:type="dxa"/>
            <w:shd w:val="clear" w:color="auto" w:fill="1F3A5F"/>
            <w:vAlign w:val="bottom"/>
          </w:tcPr>
          <w:p>
            <w:pPr>
              <w:pStyle w:val="TableText"/>
              <w:keepNext/>
            </w:pPr>
            <w:r>
              <w:rPr>
                <w:b/>
                <w:bCs/>
                <w:color w:val="FFFFFF"/>
                <w:sz w:val="15"/>
                <w:szCs w:val="15"/>
              </w:rPr>
              <w:t xml:space="preserve">Operating system</w:t>
            </w:r>
          </w:p>
        </w:tc>
        <w:tc>
          <w:tcPr>
            <w:tcW w:w="1174" w:type="dxa"/>
            <w:shd w:val="clear" w:color="auto" w:fill="1F3A5F"/>
            <w:vAlign w:val="bottom"/>
          </w:tcPr>
          <w:p>
            <w:pPr>
              <w:pStyle w:val="TableText"/>
              <w:keepNext/>
            </w:pPr>
            <w:r>
              <w:rPr>
                <w:b/>
                <w:bCs/>
                <w:color w:val="FFFFFF"/>
                <w:sz w:val="15"/>
                <w:szCs w:val="15"/>
              </w:rPr>
              <w:t xml:space="preserve">State</w:t>
            </w:r>
          </w:p>
        </w:tc>
        <w:tc>
          <w:tcPr>
            <w:tcW w:w="813" w:type="dxa"/>
            <w:shd w:val="clear" w:color="auto" w:fill="1F3A5F"/>
            <w:vAlign w:val="bottom"/>
          </w:tcPr>
          <w:p>
            <w:pPr>
              <w:pStyle w:val="TableText"/>
              <w:keepNext/>
            </w:pPr>
            <w:r>
              <w:rPr>
                <w:b/>
                <w:bCs/>
                <w:color w:val="FFFFFF"/>
                <w:sz w:val="15"/>
                <w:szCs w:val="15"/>
              </w:rPr>
              <w:t xml:space="preserve">Key</w:t>
            </w:r>
          </w:p>
        </w:tc>
        <w:tc>
          <w:tcPr>
            <w:tcW w:w="884" w:type="dxa"/>
            <w:shd w:val="clear" w:color="auto" w:fill="1F3A5F"/>
            <w:vAlign w:val="bottom"/>
          </w:tcPr>
          <w:p>
            <w:pPr>
              <w:pStyle w:val="TableText"/>
              <w:keepNext/>
            </w:pPr>
            <w:r>
              <w:rPr>
                <w:b/>
                <w:bCs/>
                <w:color w:val="FFFFFF"/>
                <w:sz w:val="15"/>
                <w:szCs w:val="15"/>
              </w:rPr>
              <w:t xml:space="preserve">Activated</w:t>
            </w:r>
          </w:p>
        </w:tc>
        <w:tc>
          <w:tcPr>
            <w:tcW w:w="1270" w:type="dxa"/>
            <w:shd w:val="clear" w:color="auto" w:fill="1F3A5F"/>
            <w:vAlign w:val="bottom"/>
          </w:tcPr>
          <w:p>
            <w:pPr>
              <w:pStyle w:val="TableText"/>
              <w:keepNext/>
            </w:pPr>
            <w:r>
              <w:rPr>
                <w:b/>
                <w:bCs/>
                <w:color w:val="FFFFFF"/>
                <w:sz w:val="15"/>
                <w:szCs w:val="15"/>
              </w:rPr>
              <w:t xml:space="preserve">Channel / license status</w:t>
            </w:r>
          </w:p>
        </w:tc>
        <w:tc>
          <w:tcPr>
            <w:tcW w:w="848" w:type="dxa"/>
            <w:shd w:val="clear" w:color="auto" w:fill="1F3A5F"/>
            <w:vAlign w:val="bottom"/>
          </w:tcPr>
          <w:p>
            <w:pPr>
              <w:pStyle w:val="TableText"/>
              <w:keepNext/>
            </w:pPr>
            <w:r>
              <w:rPr>
                <w:b/>
                <w:bCs/>
                <w:color w:val="FFFFFF"/>
                <w:sz w:val="15"/>
                <w:szCs w:val="15"/>
              </w:rPr>
              <w:t xml:space="preserve">Product key</w:t>
            </w:r>
          </w:p>
        </w:tc>
        <w:tc>
          <w:tcPr>
            <w:tcW w:w="1760" w:type="dxa"/>
            <w:shd w:val="clear" w:color="auto" w:fill="1F3A5F"/>
            <w:vAlign w:val="bottom"/>
          </w:tcPr>
          <w:p>
            <w:pPr>
              <w:pStyle w:val="TableText"/>
              <w:keepNext/>
            </w:pPr>
            <w:r>
              <w:rPr>
                <w:b/>
                <w:bCs/>
                <w:color w:val="FFFFFF"/>
                <w:sz w:val="15"/>
                <w:szCs w:val="15"/>
              </w:rPr>
              <w:t xml:space="preserve">Note</w:t>
            </w:r>
          </w:p>
        </w:tc>
      </w:tr>
      <w:tr>
        <w:trPr>
          <w:cantSplit/>
        </w:trPr>
        <w:tc>
          <w:tcPr>
            <w:tcW w:w="1440" w:type="dxa"/>
          </w:tcPr>
          <w:p>
            <w:pPr>
              <w:pStyle w:val="TableText"/>
              <w:spacing w:after="40"/>
            </w:pPr>
            <w:r>
              <w:rPr>
                <w:b/>
                <w:bCs/>
                <w:sz w:val="15"/>
                <w:szCs w:val="15"/>
              </w:rPr>
              <w:t xml:space="preserve">APP01</w:t>
            </w:r>
          </w:p>
          <w:p>
            <w:pPr>
              <w:pStyle w:val="TableText"/>
            </w:pPr>
            <w:r>
              <w:rPr>
                <w:color w:val="5B6475"/>
                <w:sz w:val="14"/>
                <w:szCs w:val="14"/>
              </w:rPr>
              <w:t xml:space="preserve">Server (virtual) · Scanned (WMI)</w:t>
            </w:r>
          </w:p>
        </w:tc>
        <w:tc>
          <w:tcPr>
            <w:tcW w:w="1563" w:type="dxa"/>
          </w:tcPr>
          <w:p>
            <w:pPr>
              <w:pStyle w:val="TableText"/>
            </w:pPr>
            <w:r>
              <w:rPr>
                <w:sz w:val="15"/>
                <w:szCs w:val="15"/>
              </w:rPr>
              <w:t xml:space="preserve">Windows Server 2022 Standard</w:t>
            </w:r>
          </w:p>
        </w:tc>
        <w:tc>
          <w:tcPr>
            <w:tcW w:w="1174" w:type="dxa"/>
            <w:shd w:val="clear" w:color="auto" w:fill="FCE4E4"/>
          </w:tcPr>
          <w:p>
            <w:pPr>
              <w:pStyle w:val="TableText"/>
            </w:pPr>
            <w:r>
              <w:rPr>
                <w:b/>
                <w:bCs/>
                <w:color w:val="A61B1B"/>
                <w:sz w:val="15"/>
                <w:szCs w:val="15"/>
              </w:rPr>
              <w:t xml:space="preserve">Not activated</w:t>
            </w:r>
          </w:p>
        </w:tc>
        <w:tc>
          <w:tcPr>
            <w:tcW w:w="813" w:type="dxa"/>
          </w:tcPr>
          <w:p>
            <w:pPr>
              <w:pStyle w:val="TableText"/>
            </w:pPr>
            <w:r>
              <w:rPr>
                <w:sz w:val="15"/>
                <w:szCs w:val="15"/>
              </w:rPr>
              <w:t xml:space="preserve">Yes</w:t>
            </w:r>
          </w:p>
        </w:tc>
        <w:tc>
          <w:tcPr>
            <w:tcW w:w="884" w:type="dxa"/>
          </w:tcPr>
          <w:p>
            <w:pPr>
              <w:pStyle w:val="TableText"/>
            </w:pPr>
            <w:r>
              <w:rPr>
                <w:sz w:val="15"/>
                <w:szCs w:val="15"/>
              </w:rPr>
              <w:t xml:space="preserve">No</w:t>
            </w:r>
          </w:p>
        </w:tc>
        <w:tc>
          <w:tcPr>
            <w:tcW w:w="1270" w:type="dxa"/>
          </w:tcPr>
          <w:p>
            <w:pPr>
              <w:pStyle w:val="TableText"/>
              <w:spacing w:after="40"/>
            </w:pPr>
            <w:r>
              <w:rPr>
                <w:sz w:val="15"/>
                <w:szCs w:val="15"/>
              </w:rPr>
              <w:t xml:space="preserve">Volume (KMS)</w:t>
            </w:r>
          </w:p>
          <w:p>
            <w:pPr>
              <w:pStyle w:val="TableText"/>
            </w:pPr>
            <w:r>
              <w:rPr>
                <w:color w:val="5B6475"/>
                <w:sz w:val="14"/>
                <w:szCs w:val="14"/>
              </w:rPr>
              <w:t xml:space="preserve">Out-of-box grace, 18 grace days left</w:t>
            </w:r>
          </w:p>
        </w:tc>
        <w:tc>
          <w:tcPr>
            <w:tcW w:w="848" w:type="dxa"/>
          </w:tcPr>
          <w:p>
            <w:pPr>
              <w:pStyle w:val="TableText"/>
            </w:pPr>
            <w:r>
              <w:rPr>
                <w:sz w:val="15"/>
                <w:szCs w:val="15"/>
              </w:rPr>
              <w:t xml:space="preserve">*****-DEMO1</w:t>
            </w:r>
          </w:p>
        </w:tc>
        <w:tc>
          <w:tcPr>
            <w:tcW w:w="1760" w:type="dxa"/>
          </w:tcPr>
          <w:p>
            <w:pPr>
              <w:pStyle w:val="TableText"/>
            </w:pPr>
            <w:r>
              <w:rPr>
                <w:sz w:val="14"/>
                <w:szCs w:val="14"/>
              </w:rPr>
              <w:t xml:space="preserve">KMS client not activated - check that the KMS host (kms01.demo.local:1688) is reachable or use Active Directory-based activation.</w:t>
            </w:r>
          </w:p>
        </w:tc>
      </w:tr>
      <w:tr>
        <w:trPr>
          <w:cantSplit/>
        </w:trPr>
        <w:tc>
          <w:tcPr>
            <w:tcW w:w="1440" w:type="dxa"/>
            <w:shd w:val="clear" w:color="auto" w:fill="F7F9FB"/>
          </w:tcPr>
          <w:p>
            <w:pPr>
              <w:pStyle w:val="TableText"/>
              <w:spacing w:after="40"/>
            </w:pPr>
            <w:r>
              <w:rPr>
                <w:b/>
                <w:bCs/>
                <w:sz w:val="15"/>
                <w:szCs w:val="15"/>
              </w:rPr>
              <w:t xml:space="preserve">PC-005</w:t>
            </w:r>
          </w:p>
          <w:p>
            <w:pPr>
              <w:pStyle w:val="TableText"/>
            </w:pPr>
            <w:r>
              <w:rPr>
                <w:color w:val="5B6475"/>
                <w:sz w:val="14"/>
                <w:szCs w:val="14"/>
              </w:rPr>
              <w:t xml:space="preserve">Client · Scanned (WMI)</w:t>
            </w:r>
          </w:p>
        </w:tc>
        <w:tc>
          <w:tcPr>
            <w:tcW w:w="1563" w:type="dxa"/>
            <w:shd w:val="clear" w:color="auto" w:fill="F7F9FB"/>
          </w:tcPr>
          <w:p>
            <w:pPr>
              <w:pStyle w:val="TableText"/>
            </w:pPr>
            <w:r>
              <w:rPr>
                <w:sz w:val="15"/>
                <w:szCs w:val="15"/>
              </w:rPr>
              <w:t xml:space="preserve">Windows 11 Pro</w:t>
            </w:r>
          </w:p>
        </w:tc>
        <w:tc>
          <w:tcPr>
            <w:tcW w:w="1174" w:type="dxa"/>
            <w:shd w:val="clear" w:color="auto" w:fill="FCE4E4"/>
          </w:tcPr>
          <w:p>
            <w:pPr>
              <w:pStyle w:val="TableText"/>
            </w:pPr>
            <w:r>
              <w:rPr>
                <w:b/>
                <w:bCs/>
                <w:color w:val="A61B1B"/>
                <w:sz w:val="15"/>
                <w:szCs w:val="15"/>
              </w:rPr>
              <w:t xml:space="preserve">Not activated</w:t>
            </w:r>
          </w:p>
        </w:tc>
        <w:tc>
          <w:tcPr>
            <w:tcW w:w="813" w:type="dxa"/>
            <w:shd w:val="clear" w:color="auto" w:fill="F7F9FB"/>
          </w:tcPr>
          <w:p>
            <w:pPr>
              <w:pStyle w:val="TableText"/>
            </w:pPr>
            <w:r>
              <w:rPr>
                <w:sz w:val="15"/>
                <w:szCs w:val="15"/>
              </w:rPr>
              <w:t xml:space="preserve">Yes</w:t>
            </w:r>
          </w:p>
        </w:tc>
        <w:tc>
          <w:tcPr>
            <w:tcW w:w="884" w:type="dxa"/>
            <w:shd w:val="clear" w:color="auto" w:fill="F7F9FB"/>
          </w:tcPr>
          <w:p>
            <w:pPr>
              <w:pStyle w:val="TableText"/>
            </w:pPr>
            <w:r>
              <w:rPr>
                <w:sz w:val="15"/>
                <w:szCs w:val="15"/>
              </w:rPr>
              <w:t xml:space="preserve">No</w:t>
            </w:r>
          </w:p>
        </w:tc>
        <w:tc>
          <w:tcPr>
            <w:tcW w:w="1270" w:type="dxa"/>
            <w:shd w:val="clear" w:color="auto" w:fill="F7F9FB"/>
          </w:tcPr>
          <w:p>
            <w:pPr>
              <w:pStyle w:val="TableText"/>
              <w:spacing w:after="40"/>
            </w:pPr>
            <w:r>
              <w:rPr>
                <w:sz w:val="15"/>
                <w:szCs w:val="15"/>
              </w:rPr>
              <w:t xml:space="preserve">Retail</w:t>
            </w:r>
          </w:p>
          <w:p>
            <w:pPr>
              <w:pStyle w:val="TableText"/>
            </w:pPr>
            <w:r>
              <w:rPr>
                <w:color w:val="5B6475"/>
                <w:sz w:val="14"/>
                <w:szCs w:val="14"/>
              </w:rPr>
              <w:t xml:space="preserve">Notification, 0 grace days left</w:t>
            </w:r>
          </w:p>
        </w:tc>
        <w:tc>
          <w:tcPr>
            <w:tcW w:w="848" w:type="dxa"/>
            <w:shd w:val="clear" w:color="auto" w:fill="F7F9FB"/>
          </w:tcPr>
          <w:p>
            <w:pPr>
              <w:pStyle w:val="TableText"/>
            </w:pPr>
            <w:r>
              <w:rPr>
                <w:sz w:val="15"/>
                <w:szCs w:val="15"/>
              </w:rPr>
              <w:t xml:space="preserve">*****-DEMO2</w:t>
            </w:r>
          </w:p>
        </w:tc>
        <w:tc>
          <w:tcPr>
            <w:tcW w:w="1760" w:type="dxa"/>
            <w:shd w:val="clear" w:color="auto" w:fill="F7F9FB"/>
          </w:tcPr>
          <w:p>
            <w:pPr>
              <w:pStyle w:val="TableText"/>
            </w:pPr>
          </w:p>
        </w:tc>
      </w:tr>
      <w:tr>
        <w:trPr>
          <w:cantSplit/>
        </w:trPr>
        <w:tc>
          <w:tcPr>
            <w:tcW w:w="1440" w:type="dxa"/>
          </w:tcPr>
          <w:p>
            <w:pPr>
              <w:pStyle w:val="TableText"/>
              <w:spacing w:after="40"/>
            </w:pPr>
            <w:r>
              <w:rPr>
                <w:b/>
                <w:bCs/>
                <w:sz w:val="15"/>
                <w:szCs w:val="15"/>
              </w:rPr>
              <w:t xml:space="preserve">FS01</w:t>
            </w:r>
          </w:p>
          <w:p>
            <w:pPr>
              <w:pStyle w:val="TableText"/>
            </w:pPr>
            <w:r>
              <w:rPr>
                <w:color w:val="5B6475"/>
                <w:sz w:val="14"/>
                <w:szCs w:val="14"/>
              </w:rPr>
              <w:t xml:space="preserve">Server (virtual) · Scanned (WMI)</w:t>
            </w:r>
          </w:p>
        </w:tc>
        <w:tc>
          <w:tcPr>
            <w:tcW w:w="1563" w:type="dxa"/>
          </w:tcPr>
          <w:p>
            <w:pPr>
              <w:pStyle w:val="TableText"/>
            </w:pPr>
            <w:r>
              <w:rPr>
                <w:sz w:val="15"/>
                <w:szCs w:val="15"/>
              </w:rPr>
              <w:t xml:space="preserve">Windows Server 2016 Standard</w:t>
            </w:r>
          </w:p>
        </w:tc>
        <w:tc>
          <w:tcPr>
            <w:tcW w:w="1174" w:type="dxa"/>
            <w:shd w:val="clear" w:color="auto" w:fill="FFF2CC"/>
          </w:tcPr>
          <w:p>
            <w:pPr>
              <w:pStyle w:val="TableText"/>
            </w:pPr>
            <w:r>
              <w:rPr>
                <w:b/>
                <w:bCs/>
                <w:color w:val="7A5600"/>
                <w:sz w:val="15"/>
                <w:szCs w:val="15"/>
              </w:rPr>
              <w:t xml:space="preserve">No product key installed</w:t>
            </w:r>
          </w:p>
        </w:tc>
        <w:tc>
          <w:tcPr>
            <w:tcW w:w="813" w:type="dxa"/>
          </w:tcPr>
          <w:p>
            <w:pPr>
              <w:pStyle w:val="TableText"/>
            </w:pPr>
            <w:r>
              <w:rPr>
                <w:sz w:val="15"/>
                <w:szCs w:val="15"/>
              </w:rPr>
              <w:t xml:space="preserve">No</w:t>
            </w:r>
          </w:p>
        </w:tc>
        <w:tc>
          <w:tcPr>
            <w:tcW w:w="884" w:type="dxa"/>
          </w:tcPr>
          <w:p>
            <w:pPr>
              <w:pStyle w:val="TableText"/>
            </w:pPr>
            <w:r>
              <w:rPr>
                <w:sz w:val="15"/>
                <w:szCs w:val="15"/>
              </w:rPr>
              <w:t xml:space="preserve">No</w:t>
            </w:r>
          </w:p>
        </w:tc>
        <w:tc>
          <w:tcPr>
            <w:tcW w:w="1270" w:type="dxa"/>
          </w:tcPr>
          <w:p>
            <w:pPr>
              <w:pStyle w:val="TableText"/>
              <w:spacing w:after="40"/>
            </w:pPr>
            <w:r>
              <w:rPr>
                <w:sz w:val="15"/>
                <w:szCs w:val="15"/>
              </w:rPr>
              <w:t xml:space="preserve">-</w:t>
            </w:r>
          </w:p>
          <w:p>
            <w:pPr>
              <w:pStyle w:val="TableText"/>
            </w:pPr>
            <w:r>
              <w:rPr>
                <w:color w:val="5B6475"/>
                <w:sz w:val="14"/>
                <w:szCs w:val="14"/>
              </w:rPr>
              <w:t xml:space="preserve">No product key installed</w:t>
            </w:r>
          </w:p>
        </w:tc>
        <w:tc>
          <w:tcPr>
            <w:tcW w:w="848" w:type="dxa"/>
          </w:tcPr>
          <w:p>
            <w:pPr>
              <w:pStyle w:val="TableText"/>
            </w:pPr>
          </w:p>
        </w:tc>
        <w:tc>
          <w:tcPr>
            <w:tcW w:w="1760" w:type="dxa"/>
          </w:tcPr>
          <w:p>
            <w:pPr>
              <w:pStyle w:val="TableText"/>
            </w:pPr>
          </w:p>
        </w:tc>
      </w:tr>
      <w:tr>
        <w:trPr>
          <w:cantSplit/>
        </w:trPr>
        <w:tc>
          <w:tcPr>
            <w:tcW w:w="1440" w:type="dxa"/>
            <w:shd w:val="clear" w:color="auto" w:fill="F7F9FB"/>
          </w:tcPr>
          <w:p>
            <w:pPr>
              <w:pStyle w:val="TableText"/>
              <w:spacing w:after="40"/>
            </w:pPr>
            <w:r>
              <w:rPr>
                <w:b/>
                <w:bCs/>
                <w:sz w:val="15"/>
                <w:szCs w:val="15"/>
              </w:rPr>
              <w:t xml:space="preserve">APP02</w:t>
            </w:r>
          </w:p>
          <w:p>
            <w:pPr>
              <w:pStyle w:val="TableText"/>
            </w:pPr>
            <w:r>
              <w:rPr>
                <w:color w:val="5B6475"/>
                <w:sz w:val="14"/>
                <w:szCs w:val="14"/>
              </w:rPr>
              <w:t xml:space="preserve">Server (virtual) · Hyper-V host HV02 / Active Directory</w:t>
            </w:r>
          </w:p>
        </w:tc>
        <w:tc>
          <w:tcPr>
            <w:tcW w:w="1563" w:type="dxa"/>
            <w:shd w:val="clear" w:color="auto" w:fill="F7F9FB"/>
          </w:tcPr>
          <w:p>
            <w:pPr>
              <w:pStyle w:val="TableText"/>
            </w:pPr>
            <w:r>
              <w:rPr>
                <w:sz w:val="15"/>
                <w:szCs w:val="15"/>
              </w:rPr>
              <w:t xml:space="preserve">Windows Server 2019 Standard</w:t>
            </w:r>
          </w:p>
        </w:tc>
        <w:tc>
          <w:tcPr>
            <w:tcW w:w="1174" w:type="dxa"/>
            <w:shd w:val="clear" w:color="auto" w:fill="F0E4F7"/>
          </w:tcPr>
          <w:p>
            <w:pPr>
              <w:pStyle w:val="TableText"/>
            </w:pPr>
            <w:r>
              <w:rPr>
                <w:b/>
                <w:bCs/>
                <w:color w:val="5E1A8A"/>
                <w:sz w:val="15"/>
                <w:szCs w:val="15"/>
              </w:rPr>
              <w:t xml:space="preserve">Not verified</w:t>
            </w:r>
          </w:p>
        </w:tc>
        <w:tc>
          <w:tcPr>
            <w:tcW w:w="813" w:type="dxa"/>
            <w:shd w:val="clear" w:color="auto" w:fill="F7F9FB"/>
          </w:tcPr>
          <w:p>
            <w:pPr>
              <w:pStyle w:val="TableText"/>
            </w:pPr>
            <w:r>
              <w:rPr>
                <w:sz w:val="15"/>
                <w:szCs w:val="15"/>
              </w:rPr>
              <w:t xml:space="preserve">Unknown</w:t>
            </w:r>
          </w:p>
        </w:tc>
        <w:tc>
          <w:tcPr>
            <w:tcW w:w="884" w:type="dxa"/>
            <w:shd w:val="clear" w:color="auto" w:fill="F7F9FB"/>
          </w:tcPr>
          <w:p>
            <w:pPr>
              <w:pStyle w:val="TableText"/>
            </w:pPr>
            <w:r>
              <w:rPr>
                <w:sz w:val="15"/>
                <w:szCs w:val="15"/>
              </w:rPr>
              <w:t xml:space="preserve">Unknown</w:t>
            </w:r>
          </w:p>
        </w:tc>
        <w:tc>
          <w:tcPr>
            <w:tcW w:w="1270" w:type="dxa"/>
            <w:shd w:val="clear" w:color="auto" w:fill="F7F9FB"/>
          </w:tcPr>
          <w:p>
            <w:pPr>
              <w:pStyle w:val="TableText"/>
            </w:pPr>
            <w:r>
              <w:rPr>
                <w:sz w:val="15"/>
                <w:szCs w:val="15"/>
              </w:rPr>
              <w:t xml:space="preserve">-</w:t>
            </w:r>
          </w:p>
        </w:tc>
        <w:tc>
          <w:tcPr>
            <w:tcW w:w="848" w:type="dxa"/>
            <w:shd w:val="clear" w:color="auto" w:fill="F7F9FB"/>
          </w:tcPr>
          <w:p>
            <w:pPr>
              <w:pStyle w:val="TableText"/>
            </w:pPr>
          </w:p>
        </w:tc>
        <w:tc>
          <w:tcPr>
            <w:tcW w:w="1760" w:type="dxa"/>
            <w:shd w:val="clear" w:color="auto" w:fill="F7F9FB"/>
          </w:tcPr>
          <w:p>
            <w:pPr>
              <w:pStyle w:val="TableText"/>
            </w:pPr>
            <w:r>
              <w:rPr>
                <w:sz w:val="14"/>
                <w:szCs w:val="14"/>
              </w:rPr>
              <w:t xml:space="preserve">Scan failed: APP02 (10.10.20.23): access denied for the credential sets 'Domain admin (DEMO)' and 'DMZ local admin'. License state unknown.</w:t>
            </w:r>
          </w:p>
        </w:tc>
      </w:tr>
      <w:tr>
        <w:trPr>
          <w:cantSplit/>
        </w:trPr>
        <w:tc>
          <w:tcPr>
            <w:tcW w:w="1440" w:type="dxa"/>
          </w:tcPr>
          <w:p>
            <w:pPr>
              <w:pStyle w:val="TableText"/>
              <w:spacing w:after="40"/>
            </w:pPr>
            <w:r>
              <w:rPr>
                <w:b/>
                <w:bCs/>
                <w:sz w:val="15"/>
                <w:szCs w:val="15"/>
              </w:rPr>
              <w:t xml:space="preserve">PRINT01</w:t>
            </w:r>
          </w:p>
          <w:p>
            <w:pPr>
              <w:pStyle w:val="TableText"/>
            </w:pPr>
            <w:r>
              <w:rPr>
                <w:color w:val="5B6475"/>
                <w:sz w:val="14"/>
                <w:szCs w:val="14"/>
              </w:rPr>
              <w:t xml:space="preserve">Server (virtual) · VMware vCenter vcenter01 / Active Directory</w:t>
            </w:r>
          </w:p>
        </w:tc>
        <w:tc>
          <w:tcPr>
            <w:tcW w:w="1563" w:type="dxa"/>
          </w:tcPr>
          <w:p>
            <w:pPr>
              <w:pStyle w:val="TableText"/>
            </w:pPr>
            <w:r>
              <w:rPr>
                <w:sz w:val="15"/>
                <w:szCs w:val="15"/>
              </w:rPr>
              <w:t xml:space="preserve">Windows Server 2016 (64-bit)</w:t>
            </w:r>
          </w:p>
        </w:tc>
        <w:tc>
          <w:tcPr>
            <w:tcW w:w="1174" w:type="dxa"/>
            <w:shd w:val="clear" w:color="auto" w:fill="F0E4F7"/>
          </w:tcPr>
          <w:p>
            <w:pPr>
              <w:pStyle w:val="TableText"/>
            </w:pPr>
            <w:r>
              <w:rPr>
                <w:b/>
                <w:bCs/>
                <w:color w:val="5E1A8A"/>
                <w:sz w:val="15"/>
                <w:szCs w:val="15"/>
              </w:rPr>
              <w:t xml:space="preserve">Not verified</w:t>
            </w:r>
          </w:p>
        </w:tc>
        <w:tc>
          <w:tcPr>
            <w:tcW w:w="813" w:type="dxa"/>
          </w:tcPr>
          <w:p>
            <w:pPr>
              <w:pStyle w:val="TableText"/>
            </w:pPr>
            <w:r>
              <w:rPr>
                <w:sz w:val="15"/>
                <w:szCs w:val="15"/>
              </w:rPr>
              <w:t xml:space="preserve">Unknown</w:t>
            </w:r>
          </w:p>
        </w:tc>
        <w:tc>
          <w:tcPr>
            <w:tcW w:w="884" w:type="dxa"/>
          </w:tcPr>
          <w:p>
            <w:pPr>
              <w:pStyle w:val="TableText"/>
            </w:pPr>
            <w:r>
              <w:rPr>
                <w:sz w:val="15"/>
                <w:szCs w:val="15"/>
              </w:rPr>
              <w:t xml:space="preserve">Unknown</w:t>
            </w:r>
          </w:p>
        </w:tc>
        <w:tc>
          <w:tcPr>
            <w:tcW w:w="1270" w:type="dxa"/>
          </w:tcPr>
          <w:p>
            <w:pPr>
              <w:pStyle w:val="TableText"/>
            </w:pPr>
            <w:r>
              <w:rPr>
                <w:sz w:val="15"/>
                <w:szCs w:val="15"/>
              </w:rPr>
              <w:t xml:space="preserve">-</w:t>
            </w:r>
          </w:p>
        </w:tc>
        <w:tc>
          <w:tcPr>
            <w:tcW w:w="848" w:type="dxa"/>
          </w:tcPr>
          <w:p>
            <w:pPr>
              <w:pStyle w:val="TableText"/>
            </w:pPr>
          </w:p>
        </w:tc>
        <w:tc>
          <w:tcPr>
            <w:tcW w:w="1760" w:type="dxa"/>
          </w:tcPr>
          <w:p>
            <w:pPr>
              <w:pStyle w:val="TableText"/>
            </w:pPr>
            <w:r>
              <w:rPr>
                <w:sz w:val="14"/>
                <w:szCs w:val="14"/>
              </w:rPr>
              <w:t xml:space="preserve">Scan failed: PRINT01 (10.10.20.31) did not respond on TCP 135, 5985 or 5986. Check name resolution, the firewall and that the computer is online. License state unknown.</w:t>
            </w:r>
          </w:p>
        </w:tc>
      </w:tr>
      <w:tr>
        <w:trPr>
          <w:cantSplit/>
        </w:trPr>
        <w:tc>
          <w:tcPr>
            <w:tcW w:w="1440" w:type="dxa"/>
            <w:shd w:val="clear" w:color="auto" w:fill="F7F9FB"/>
          </w:tcPr>
          <w:p>
            <w:pPr>
              <w:pStyle w:val="TableText"/>
              <w:spacing w:after="40"/>
            </w:pPr>
            <w:r>
              <w:rPr>
                <w:b/>
                <w:bCs/>
                <w:sz w:val="15"/>
                <w:szCs w:val="15"/>
              </w:rPr>
              <w:t xml:space="preserve">TESTVM03</w:t>
            </w:r>
          </w:p>
          <w:p>
            <w:pPr>
              <w:pStyle w:val="TableText"/>
            </w:pPr>
            <w:r>
              <w:rPr>
                <w:color w:val="5B6475"/>
                <w:sz w:val="14"/>
                <w:szCs w:val="14"/>
              </w:rPr>
              <w:t xml:space="preserve">Server (virtual) · VMware vCenter vcenter01</w:t>
            </w:r>
          </w:p>
        </w:tc>
        <w:tc>
          <w:tcPr>
            <w:tcW w:w="1563" w:type="dxa"/>
            <w:shd w:val="clear" w:color="auto" w:fill="F7F9FB"/>
          </w:tcPr>
          <w:p>
            <w:pPr>
              <w:pStyle w:val="TableText"/>
            </w:pPr>
            <w:r>
              <w:rPr>
                <w:sz w:val="15"/>
                <w:szCs w:val="15"/>
              </w:rPr>
              <w:t xml:space="preserve">Unknown (guest OS not reported)</w:t>
            </w:r>
          </w:p>
        </w:tc>
        <w:tc>
          <w:tcPr>
            <w:tcW w:w="1174" w:type="dxa"/>
            <w:shd w:val="clear" w:color="auto" w:fill="F0E4F7"/>
          </w:tcPr>
          <w:p>
            <w:pPr>
              <w:pStyle w:val="TableText"/>
            </w:pPr>
            <w:r>
              <w:rPr>
                <w:b/>
                <w:bCs/>
                <w:color w:val="5E1A8A"/>
                <w:sz w:val="15"/>
                <w:szCs w:val="15"/>
              </w:rPr>
              <w:t xml:space="preserve">Not verified</w:t>
            </w:r>
          </w:p>
        </w:tc>
        <w:tc>
          <w:tcPr>
            <w:tcW w:w="813" w:type="dxa"/>
            <w:shd w:val="clear" w:color="auto" w:fill="F7F9FB"/>
          </w:tcPr>
          <w:p>
            <w:pPr>
              <w:pStyle w:val="TableText"/>
            </w:pPr>
            <w:r>
              <w:rPr>
                <w:sz w:val="15"/>
                <w:szCs w:val="15"/>
              </w:rPr>
              <w:t xml:space="preserve">Unknown</w:t>
            </w:r>
          </w:p>
        </w:tc>
        <w:tc>
          <w:tcPr>
            <w:tcW w:w="884" w:type="dxa"/>
            <w:shd w:val="clear" w:color="auto" w:fill="F7F9FB"/>
          </w:tcPr>
          <w:p>
            <w:pPr>
              <w:pStyle w:val="TableText"/>
            </w:pPr>
            <w:r>
              <w:rPr>
                <w:sz w:val="15"/>
                <w:szCs w:val="15"/>
              </w:rPr>
              <w:t xml:space="preserve">Unknown</w:t>
            </w:r>
          </w:p>
        </w:tc>
        <w:tc>
          <w:tcPr>
            <w:tcW w:w="1270" w:type="dxa"/>
            <w:shd w:val="clear" w:color="auto" w:fill="F7F9FB"/>
          </w:tcPr>
          <w:p>
            <w:pPr>
              <w:pStyle w:val="TableText"/>
            </w:pPr>
            <w:r>
              <w:rPr>
                <w:sz w:val="15"/>
                <w:szCs w:val="15"/>
              </w:rPr>
              <w:t xml:space="preserve">-</w:t>
            </w:r>
          </w:p>
        </w:tc>
        <w:tc>
          <w:tcPr>
            <w:tcW w:w="848" w:type="dxa"/>
            <w:shd w:val="clear" w:color="auto" w:fill="F7F9FB"/>
          </w:tcPr>
          <w:p>
            <w:pPr>
              <w:pStyle w:val="TableText"/>
            </w:pPr>
          </w:p>
        </w:tc>
        <w:tc>
          <w:tcPr>
            <w:tcW w:w="1760" w:type="dxa"/>
            <w:shd w:val="clear" w:color="auto" w:fill="F7F9FB"/>
          </w:tcPr>
          <w:p>
            <w:pPr>
              <w:pStyle w:val="TableText"/>
            </w:pPr>
            <w:r>
              <w:rPr>
                <w:sz w:val="14"/>
                <w:szCs w:val="14"/>
              </w:rPr>
              <w:t xml:space="preserve">Not scanned - license state unknown. Scan it (or enable 'Also scan the Windows VMs found on the hosts').</w:t>
            </w:r>
          </w:p>
        </w:tc>
      </w:tr>
      <w:tr>
        <w:trPr>
          <w:cantSplit/>
        </w:trPr>
        <w:tc>
          <w:tcPr>
            <w:tcW w:w="1440" w:type="dxa"/>
          </w:tcPr>
          <w:p>
            <w:pPr>
              <w:pStyle w:val="TableText"/>
              <w:spacing w:after="40"/>
            </w:pPr>
            <w:r>
              <w:rPr>
                <w:b/>
                <w:bCs/>
                <w:sz w:val="15"/>
                <w:szCs w:val="15"/>
              </w:rPr>
              <w:t xml:space="preserve">WEB01</w:t>
            </w:r>
          </w:p>
          <w:p>
            <w:pPr>
              <w:pStyle w:val="TableText"/>
            </w:pPr>
            <w:r>
              <w:rPr>
                <w:color w:val="5B6475"/>
                <w:sz w:val="14"/>
                <w:szCs w:val="14"/>
              </w:rPr>
              <w:t xml:space="preserve">Server (virtual) · Hyper-V host HV02 / Active Directory</w:t>
            </w:r>
          </w:p>
        </w:tc>
        <w:tc>
          <w:tcPr>
            <w:tcW w:w="1563" w:type="dxa"/>
          </w:tcPr>
          <w:p>
            <w:pPr>
              <w:pStyle w:val="TableText"/>
            </w:pPr>
            <w:r>
              <w:rPr>
                <w:sz w:val="15"/>
                <w:szCs w:val="15"/>
              </w:rPr>
              <w:t xml:space="preserve">Windows Server 2022 Datacenter</w:t>
            </w:r>
          </w:p>
        </w:tc>
        <w:tc>
          <w:tcPr>
            <w:tcW w:w="1174" w:type="dxa"/>
            <w:shd w:val="clear" w:color="auto" w:fill="F0E4F7"/>
          </w:tcPr>
          <w:p>
            <w:pPr>
              <w:pStyle w:val="TableText"/>
            </w:pPr>
            <w:r>
              <w:rPr>
                <w:b/>
                <w:bCs/>
                <w:color w:val="5E1A8A"/>
                <w:sz w:val="15"/>
                <w:szCs w:val="15"/>
              </w:rPr>
              <w:t xml:space="preserve">Not verified</w:t>
            </w:r>
          </w:p>
        </w:tc>
        <w:tc>
          <w:tcPr>
            <w:tcW w:w="813" w:type="dxa"/>
          </w:tcPr>
          <w:p>
            <w:pPr>
              <w:pStyle w:val="TableText"/>
            </w:pPr>
            <w:r>
              <w:rPr>
                <w:sz w:val="15"/>
                <w:szCs w:val="15"/>
              </w:rPr>
              <w:t xml:space="preserve">Unknown</w:t>
            </w:r>
          </w:p>
        </w:tc>
        <w:tc>
          <w:tcPr>
            <w:tcW w:w="884" w:type="dxa"/>
          </w:tcPr>
          <w:p>
            <w:pPr>
              <w:pStyle w:val="TableText"/>
            </w:pPr>
            <w:r>
              <w:rPr>
                <w:sz w:val="15"/>
                <w:szCs w:val="15"/>
              </w:rPr>
              <w:t xml:space="preserve">Unknown</w:t>
            </w:r>
          </w:p>
        </w:tc>
        <w:tc>
          <w:tcPr>
            <w:tcW w:w="1270" w:type="dxa"/>
          </w:tcPr>
          <w:p>
            <w:pPr>
              <w:pStyle w:val="TableText"/>
            </w:pPr>
            <w:r>
              <w:rPr>
                <w:sz w:val="15"/>
                <w:szCs w:val="15"/>
              </w:rPr>
              <w:t xml:space="preserve">-</w:t>
            </w:r>
          </w:p>
        </w:tc>
        <w:tc>
          <w:tcPr>
            <w:tcW w:w="848" w:type="dxa"/>
          </w:tcPr>
          <w:p>
            <w:pPr>
              <w:pStyle w:val="TableText"/>
            </w:pPr>
          </w:p>
        </w:tc>
        <w:tc>
          <w:tcPr>
            <w:tcW w:w="1760" w:type="dxa"/>
          </w:tcPr>
          <w:p>
            <w:pPr>
              <w:pStyle w:val="TableText"/>
            </w:pPr>
            <w:r>
              <w:rPr>
                <w:sz w:val="14"/>
                <w:szCs w:val="14"/>
              </w:rPr>
              <w:t xml:space="preserve">Not scanned - license state unknown. Scan it (or enable 'Also scan the Windows VMs found on the hosts').</w:t>
            </w:r>
          </w:p>
        </w:tc>
      </w:tr>
      <w:tr>
        <w:trPr>
          <w:cantSplit/>
        </w:trPr>
        <w:tc>
          <w:tcPr>
            <w:tcW w:w="1440" w:type="dxa"/>
            <w:shd w:val="clear" w:color="auto" w:fill="F7F9FB"/>
          </w:tcPr>
          <w:p>
            <w:pPr>
              <w:pStyle w:val="TableText"/>
              <w:spacing w:after="40"/>
            </w:pPr>
            <w:r>
              <w:rPr>
                <w:b/>
                <w:bCs/>
                <w:sz w:val="15"/>
                <w:szCs w:val="15"/>
              </w:rPr>
              <w:t xml:space="preserve">WEB02</w:t>
            </w:r>
          </w:p>
          <w:p>
            <w:pPr>
              <w:pStyle w:val="TableText"/>
            </w:pPr>
            <w:r>
              <w:rPr>
                <w:color w:val="5B6475"/>
                <w:sz w:val="14"/>
                <w:szCs w:val="14"/>
              </w:rPr>
              <w:t xml:space="preserve">Server (virtual) · Hyper-V host HV02 / Active Directory</w:t>
            </w:r>
          </w:p>
        </w:tc>
        <w:tc>
          <w:tcPr>
            <w:tcW w:w="1563" w:type="dxa"/>
            <w:shd w:val="clear" w:color="auto" w:fill="F7F9FB"/>
          </w:tcPr>
          <w:p>
            <w:pPr>
              <w:pStyle w:val="TableText"/>
            </w:pPr>
            <w:r>
              <w:rPr>
                <w:sz w:val="15"/>
                <w:szCs w:val="15"/>
              </w:rPr>
              <w:t xml:space="preserve">Windows Server 2022 Datacenter</w:t>
            </w:r>
          </w:p>
        </w:tc>
        <w:tc>
          <w:tcPr>
            <w:tcW w:w="1174" w:type="dxa"/>
            <w:shd w:val="clear" w:color="auto" w:fill="F0E4F7"/>
          </w:tcPr>
          <w:p>
            <w:pPr>
              <w:pStyle w:val="TableText"/>
            </w:pPr>
            <w:r>
              <w:rPr>
                <w:b/>
                <w:bCs/>
                <w:color w:val="5E1A8A"/>
                <w:sz w:val="15"/>
                <w:szCs w:val="15"/>
              </w:rPr>
              <w:t xml:space="preserve">Not verified</w:t>
            </w:r>
          </w:p>
        </w:tc>
        <w:tc>
          <w:tcPr>
            <w:tcW w:w="813" w:type="dxa"/>
            <w:shd w:val="clear" w:color="auto" w:fill="F7F9FB"/>
          </w:tcPr>
          <w:p>
            <w:pPr>
              <w:pStyle w:val="TableText"/>
            </w:pPr>
            <w:r>
              <w:rPr>
                <w:sz w:val="15"/>
                <w:szCs w:val="15"/>
              </w:rPr>
              <w:t xml:space="preserve">Unknown</w:t>
            </w:r>
          </w:p>
        </w:tc>
        <w:tc>
          <w:tcPr>
            <w:tcW w:w="884" w:type="dxa"/>
            <w:shd w:val="clear" w:color="auto" w:fill="F7F9FB"/>
          </w:tcPr>
          <w:p>
            <w:pPr>
              <w:pStyle w:val="TableText"/>
            </w:pPr>
            <w:r>
              <w:rPr>
                <w:sz w:val="15"/>
                <w:szCs w:val="15"/>
              </w:rPr>
              <w:t xml:space="preserve">Unknown</w:t>
            </w:r>
          </w:p>
        </w:tc>
        <w:tc>
          <w:tcPr>
            <w:tcW w:w="1270" w:type="dxa"/>
            <w:shd w:val="clear" w:color="auto" w:fill="F7F9FB"/>
          </w:tcPr>
          <w:p>
            <w:pPr>
              <w:pStyle w:val="TableText"/>
            </w:pPr>
            <w:r>
              <w:rPr>
                <w:sz w:val="15"/>
                <w:szCs w:val="15"/>
              </w:rPr>
              <w:t xml:space="preserve">-</w:t>
            </w:r>
          </w:p>
        </w:tc>
        <w:tc>
          <w:tcPr>
            <w:tcW w:w="848" w:type="dxa"/>
            <w:shd w:val="clear" w:color="auto" w:fill="F7F9FB"/>
          </w:tcPr>
          <w:p>
            <w:pPr>
              <w:pStyle w:val="TableText"/>
            </w:pPr>
          </w:p>
        </w:tc>
        <w:tc>
          <w:tcPr>
            <w:tcW w:w="1760" w:type="dxa"/>
            <w:shd w:val="clear" w:color="auto" w:fill="F7F9FB"/>
          </w:tcPr>
          <w:p>
            <w:pPr>
              <w:pStyle w:val="TableText"/>
            </w:pPr>
            <w:r>
              <w:rPr>
                <w:sz w:val="14"/>
                <w:szCs w:val="14"/>
              </w:rPr>
              <w:t xml:space="preserve">Not scanned - license state unknown. Scan it (or enable 'Also scan the Windows VMs found on the hosts').</w:t>
            </w:r>
          </w:p>
        </w:tc>
      </w:tr>
      <w:tr>
        <w:trPr>
          <w:cantSplit/>
        </w:trPr>
        <w:tc>
          <w:tcPr>
            <w:tcW w:w="1440" w:type="dxa"/>
          </w:tcPr>
          <w:p>
            <w:pPr>
              <w:pStyle w:val="TableText"/>
              <w:spacing w:after="40"/>
            </w:pPr>
            <w:r>
              <w:rPr>
                <w:b/>
                <w:bCs/>
                <w:sz w:val="15"/>
                <w:szCs w:val="15"/>
              </w:rPr>
              <w:t xml:space="preserve">WEBVM01</w:t>
            </w:r>
          </w:p>
          <w:p>
            <w:pPr>
              <w:pStyle w:val="TableText"/>
            </w:pPr>
            <w:r>
              <w:rPr>
                <w:color w:val="5B6475"/>
                <w:sz w:val="14"/>
                <w:szCs w:val="14"/>
              </w:rPr>
              <w:t xml:space="preserve">Server (virtual) · VMware vCenter vcenter01</w:t>
            </w:r>
          </w:p>
        </w:tc>
        <w:tc>
          <w:tcPr>
            <w:tcW w:w="1563" w:type="dxa"/>
          </w:tcPr>
          <w:p>
            <w:pPr>
              <w:pStyle w:val="TableText"/>
            </w:pPr>
            <w:r>
              <w:rPr>
                <w:sz w:val="15"/>
                <w:szCs w:val="15"/>
              </w:rPr>
              <w:t xml:space="preserve">Windows Server 2022 (64-bit)</w:t>
            </w:r>
          </w:p>
        </w:tc>
        <w:tc>
          <w:tcPr>
            <w:tcW w:w="1174" w:type="dxa"/>
            <w:shd w:val="clear" w:color="auto" w:fill="F0E4F7"/>
          </w:tcPr>
          <w:p>
            <w:pPr>
              <w:pStyle w:val="TableText"/>
            </w:pPr>
            <w:r>
              <w:rPr>
                <w:b/>
                <w:bCs/>
                <w:color w:val="5E1A8A"/>
                <w:sz w:val="15"/>
                <w:szCs w:val="15"/>
              </w:rPr>
              <w:t xml:space="preserve">Not verified</w:t>
            </w:r>
          </w:p>
        </w:tc>
        <w:tc>
          <w:tcPr>
            <w:tcW w:w="813" w:type="dxa"/>
          </w:tcPr>
          <w:p>
            <w:pPr>
              <w:pStyle w:val="TableText"/>
            </w:pPr>
            <w:r>
              <w:rPr>
                <w:sz w:val="15"/>
                <w:szCs w:val="15"/>
              </w:rPr>
              <w:t xml:space="preserve">Unknown</w:t>
            </w:r>
          </w:p>
        </w:tc>
        <w:tc>
          <w:tcPr>
            <w:tcW w:w="884" w:type="dxa"/>
          </w:tcPr>
          <w:p>
            <w:pPr>
              <w:pStyle w:val="TableText"/>
            </w:pPr>
            <w:r>
              <w:rPr>
                <w:sz w:val="15"/>
                <w:szCs w:val="15"/>
              </w:rPr>
              <w:t xml:space="preserve">Unknown</w:t>
            </w:r>
          </w:p>
        </w:tc>
        <w:tc>
          <w:tcPr>
            <w:tcW w:w="1270" w:type="dxa"/>
          </w:tcPr>
          <w:p>
            <w:pPr>
              <w:pStyle w:val="TableText"/>
            </w:pPr>
            <w:r>
              <w:rPr>
                <w:sz w:val="15"/>
                <w:szCs w:val="15"/>
              </w:rPr>
              <w:t xml:space="preserve">-</w:t>
            </w:r>
          </w:p>
        </w:tc>
        <w:tc>
          <w:tcPr>
            <w:tcW w:w="848" w:type="dxa"/>
          </w:tcPr>
          <w:p>
            <w:pPr>
              <w:pStyle w:val="TableText"/>
            </w:pPr>
          </w:p>
        </w:tc>
        <w:tc>
          <w:tcPr>
            <w:tcW w:w="1760" w:type="dxa"/>
          </w:tcPr>
          <w:p>
            <w:pPr>
              <w:pStyle w:val="TableText"/>
            </w:pPr>
            <w:r>
              <w:rPr>
                <w:sz w:val="14"/>
                <w:szCs w:val="14"/>
              </w:rPr>
              <w:t xml:space="preserve">Scan failed: WEBVM01 (10.10.20.41) did not respond on TCP 135, 5985 or 5986 (DMZ firewall). License state unknown.</w:t>
            </w:r>
          </w:p>
        </w:tc>
      </w:tr>
      <w:tr>
        <w:trPr>
          <w:cantSplit/>
        </w:trPr>
        <w:tc>
          <w:tcPr>
            <w:tcW w:w="1440" w:type="dxa"/>
            <w:shd w:val="clear" w:color="auto" w:fill="F7F9FB"/>
          </w:tcPr>
          <w:p>
            <w:pPr>
              <w:pStyle w:val="TableText"/>
              <w:spacing w:after="40"/>
            </w:pPr>
            <w:r>
              <w:rPr>
                <w:b/>
                <w:bCs/>
                <w:sz w:val="15"/>
                <w:szCs w:val="15"/>
              </w:rPr>
              <w:t xml:space="preserve">WEBVM02</w:t>
            </w:r>
          </w:p>
          <w:p>
            <w:pPr>
              <w:pStyle w:val="TableText"/>
            </w:pPr>
            <w:r>
              <w:rPr>
                <w:color w:val="5B6475"/>
                <w:sz w:val="14"/>
                <w:szCs w:val="14"/>
              </w:rPr>
              <w:t xml:space="preserve">Server (virtual) · VMware vCenter vcenter01</w:t>
            </w:r>
          </w:p>
        </w:tc>
        <w:tc>
          <w:tcPr>
            <w:tcW w:w="1563" w:type="dxa"/>
            <w:shd w:val="clear" w:color="auto" w:fill="F7F9FB"/>
          </w:tcPr>
          <w:p>
            <w:pPr>
              <w:pStyle w:val="TableText"/>
            </w:pPr>
            <w:r>
              <w:rPr>
                <w:sz w:val="15"/>
                <w:szCs w:val="15"/>
              </w:rPr>
              <w:t xml:space="preserve">Windows Server 2022 (64-bit)</w:t>
            </w:r>
          </w:p>
        </w:tc>
        <w:tc>
          <w:tcPr>
            <w:tcW w:w="1174" w:type="dxa"/>
            <w:shd w:val="clear" w:color="auto" w:fill="F0E4F7"/>
          </w:tcPr>
          <w:p>
            <w:pPr>
              <w:pStyle w:val="TableText"/>
            </w:pPr>
            <w:r>
              <w:rPr>
                <w:b/>
                <w:bCs/>
                <w:color w:val="5E1A8A"/>
                <w:sz w:val="15"/>
                <w:szCs w:val="15"/>
              </w:rPr>
              <w:t xml:space="preserve">Not verified</w:t>
            </w:r>
          </w:p>
        </w:tc>
        <w:tc>
          <w:tcPr>
            <w:tcW w:w="813" w:type="dxa"/>
            <w:shd w:val="clear" w:color="auto" w:fill="F7F9FB"/>
          </w:tcPr>
          <w:p>
            <w:pPr>
              <w:pStyle w:val="TableText"/>
            </w:pPr>
            <w:r>
              <w:rPr>
                <w:sz w:val="15"/>
                <w:szCs w:val="15"/>
              </w:rPr>
              <w:t xml:space="preserve">Unknown</w:t>
            </w:r>
          </w:p>
        </w:tc>
        <w:tc>
          <w:tcPr>
            <w:tcW w:w="884" w:type="dxa"/>
            <w:shd w:val="clear" w:color="auto" w:fill="F7F9FB"/>
          </w:tcPr>
          <w:p>
            <w:pPr>
              <w:pStyle w:val="TableText"/>
            </w:pPr>
            <w:r>
              <w:rPr>
                <w:sz w:val="15"/>
                <w:szCs w:val="15"/>
              </w:rPr>
              <w:t xml:space="preserve">Unknown</w:t>
            </w:r>
          </w:p>
        </w:tc>
        <w:tc>
          <w:tcPr>
            <w:tcW w:w="1270" w:type="dxa"/>
            <w:shd w:val="clear" w:color="auto" w:fill="F7F9FB"/>
          </w:tcPr>
          <w:p>
            <w:pPr>
              <w:pStyle w:val="TableText"/>
            </w:pPr>
            <w:r>
              <w:rPr>
                <w:sz w:val="15"/>
                <w:szCs w:val="15"/>
              </w:rPr>
              <w:t xml:space="preserve">-</w:t>
            </w:r>
          </w:p>
        </w:tc>
        <w:tc>
          <w:tcPr>
            <w:tcW w:w="848" w:type="dxa"/>
            <w:shd w:val="clear" w:color="auto" w:fill="F7F9FB"/>
          </w:tcPr>
          <w:p>
            <w:pPr>
              <w:pStyle w:val="TableText"/>
            </w:pPr>
          </w:p>
        </w:tc>
        <w:tc>
          <w:tcPr>
            <w:tcW w:w="1760" w:type="dxa"/>
            <w:shd w:val="clear" w:color="auto" w:fill="F7F9FB"/>
          </w:tcPr>
          <w:p>
            <w:pPr>
              <w:pStyle w:val="TableText"/>
            </w:pPr>
            <w:r>
              <w:rPr>
                <w:sz w:val="14"/>
                <w:szCs w:val="14"/>
              </w:rPr>
              <w:t xml:space="preserve">Not scanned - license state unknown. Scan it (or enable 'Also scan the Windows VMs found on the hosts').</w:t>
            </w:r>
          </w:p>
        </w:tc>
      </w:tr>
    </w:tbl>
    <w:p>
      <w:pPr>
        <w:spacing w:before="0" w:after="0" w:line="240" w:lineRule="auto"/>
        <w:rPr>
          <w:sz w:val="12"/>
          <w:szCs w:val="12"/>
        </w:rPr>
      </w:pPr>
    </w:p>
    <w:p>
      <w:pPr>
        <w:pStyle w:val="Small"/>
      </w:pPr>
      <w:r>
        <w:t xml:space="preserve">KMS host, firmware OEM key, host / cluster and the credential used for each computer are listed in the Windows License State sheet of AssessmentReport.xlsx.</w:t>
      </w:r>
    </w:p>
    <w:p>
      <w:pPr>
        <w:pStyle w:val="Heading1"/>
      </w:pPr>
      <w:bookmarkStart w:id="15" w:name="_TocMlat00015"/>
      <w:r>
        <w:t xml:space="preserve">Cluster licensing</w:t>
      </w:r>
      <w:bookmarkEnd w:id="15"/>
    </w:p>
    <w:p>
      <w:pPr>
        <w:spacing w:after="160"/>
      </w:pPr>
      <w:r>
        <w:rPr>
          <w:color w:val="5B6475"/>
        </w:rPr>
        <w:t xml:space="preserve">Each cluster is evaluated as one licensing unit: Windows Server core licenses for every node, nodes that are not activated or could not be inventoried, and - for Windows Server Standard - the virtual machines that can move between the nodes (VM mobility: every node must be licensed for all Windows Server VMs that can run on it; Datacenter covers unlimited VMs on each licensed node).</w:t>
      </w:r>
    </w:p>
    <w:p>
      <w:r>
        <w:t xml:space="preserve">2 clusters evaluated; </w:t>
      </w:r>
      <w:r>
        <w:rPr>
          <w:b/>
          <w:bCs/>
          <w:color w:val="C62828"/>
        </w:rPr>
        <w:t xml:space="preserve">2 clusters with a potential licensing gap or requiring validation.</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354"/>
        <w:gridCol w:w="1257"/>
        <w:gridCol w:w="640"/>
        <w:gridCol w:w="884"/>
        <w:gridCol w:w="1259"/>
        <w:gridCol w:w="679"/>
        <w:gridCol w:w="876"/>
        <w:gridCol w:w="1162"/>
        <w:gridCol w:w="1641"/>
      </w:tblGrid>
      <w:tr>
        <w:trPr>
          <w:cantSplit/>
          <w:tblHeader/>
        </w:trPr>
        <w:tc>
          <w:tcPr>
            <w:tcW w:w="1354" w:type="dxa"/>
            <w:shd w:val="clear" w:color="auto" w:fill="1F3A5F"/>
            <w:vAlign w:val="bottom"/>
          </w:tcPr>
          <w:p>
            <w:pPr>
              <w:pStyle w:val="TableText"/>
              <w:keepNext/>
            </w:pPr>
            <w:r>
              <w:rPr>
                <w:b/>
                <w:bCs/>
                <w:color w:val="FFFFFF"/>
                <w:sz w:val="15"/>
                <w:szCs w:val="15"/>
              </w:rPr>
              <w:t xml:space="preserve">Cluster</w:t>
            </w:r>
          </w:p>
        </w:tc>
        <w:tc>
          <w:tcPr>
            <w:tcW w:w="1257" w:type="dxa"/>
            <w:shd w:val="clear" w:color="auto" w:fill="1F3A5F"/>
            <w:vAlign w:val="bottom"/>
          </w:tcPr>
          <w:p>
            <w:pPr>
              <w:pStyle w:val="TableText"/>
              <w:keepNext/>
            </w:pPr>
            <w:r>
              <w:rPr>
                <w:b/>
                <w:bCs/>
                <w:color w:val="FFFFFF"/>
                <w:sz w:val="15"/>
                <w:szCs w:val="15"/>
              </w:rPr>
              <w:t xml:space="preserve">Platform</w:t>
            </w:r>
          </w:p>
        </w:tc>
        <w:tc>
          <w:tcPr>
            <w:tcW w:w="640" w:type="dxa"/>
            <w:shd w:val="clear" w:color="auto" w:fill="1F3A5F"/>
            <w:vAlign w:val="bottom"/>
          </w:tcPr>
          <w:p>
            <w:pPr>
              <w:pStyle w:val="TableText"/>
              <w:keepNext/>
              <w:jc w:val="right"/>
            </w:pPr>
            <w:r>
              <w:rPr>
                <w:b/>
                <w:bCs/>
                <w:color w:val="FFFFFF"/>
                <w:sz w:val="15"/>
                <w:szCs w:val="15"/>
              </w:rPr>
              <w:t xml:space="preserve">Nodes</w:t>
            </w:r>
          </w:p>
        </w:tc>
        <w:tc>
          <w:tcPr>
            <w:tcW w:w="884" w:type="dxa"/>
            <w:shd w:val="clear" w:color="auto" w:fill="1F3A5F"/>
            <w:vAlign w:val="bottom"/>
          </w:tcPr>
          <w:p>
            <w:pPr>
              <w:pStyle w:val="TableText"/>
              <w:keepNext/>
            </w:pPr>
            <w:r>
              <w:rPr>
                <w:b/>
                <w:bCs/>
                <w:color w:val="FFFFFF"/>
                <w:sz w:val="15"/>
                <w:szCs w:val="15"/>
              </w:rPr>
              <w:t xml:space="preserve">Activated</w:t>
            </w:r>
          </w:p>
        </w:tc>
        <w:tc>
          <w:tcPr>
            <w:tcW w:w="1259" w:type="dxa"/>
            <w:shd w:val="clear" w:color="auto" w:fill="1F3A5F"/>
            <w:vAlign w:val="bottom"/>
          </w:tcPr>
          <w:p>
            <w:pPr>
              <w:pStyle w:val="TableText"/>
              <w:keepNext/>
            </w:pPr>
            <w:r>
              <w:rPr>
                <w:b/>
                <w:bCs/>
                <w:color w:val="FFFFFF"/>
                <w:sz w:val="15"/>
                <w:szCs w:val="15"/>
              </w:rPr>
              <w:t xml:space="preserve">Editions</w:t>
            </w:r>
          </w:p>
        </w:tc>
        <w:tc>
          <w:tcPr>
            <w:tcW w:w="679" w:type="dxa"/>
            <w:shd w:val="clear" w:color="auto" w:fill="1F3A5F"/>
            <w:vAlign w:val="bottom"/>
          </w:tcPr>
          <w:p>
            <w:pPr>
              <w:pStyle w:val="TableText"/>
              <w:keepNext/>
              <w:jc w:val="right"/>
            </w:pPr>
            <w:r>
              <w:rPr>
                <w:b/>
                <w:bCs/>
                <w:color w:val="FFFFFF"/>
                <w:sz w:val="15"/>
                <w:szCs w:val="15"/>
              </w:rPr>
              <w:t xml:space="preserve">WS VMs</w:t>
            </w:r>
          </w:p>
        </w:tc>
        <w:tc>
          <w:tcPr>
            <w:tcW w:w="876" w:type="dxa"/>
            <w:shd w:val="clear" w:color="auto" w:fill="1F3A5F"/>
            <w:vAlign w:val="bottom"/>
          </w:tcPr>
          <w:p>
            <w:pPr>
              <w:pStyle w:val="TableText"/>
              <w:keepNext/>
              <w:jc w:val="right"/>
            </w:pPr>
            <w:r>
              <w:rPr>
                <w:b/>
                <w:bCs/>
                <w:color w:val="FFFFFF"/>
                <w:sz w:val="15"/>
                <w:szCs w:val="15"/>
              </w:rPr>
              <w:t xml:space="preserve">Required cores</w:t>
            </w:r>
          </w:p>
        </w:tc>
        <w:tc>
          <w:tcPr>
            <w:tcW w:w="1162" w:type="dxa"/>
            <w:shd w:val="clear" w:color="auto" w:fill="1F3A5F"/>
            <w:vAlign w:val="bottom"/>
          </w:tcPr>
          <w:p>
            <w:pPr>
              <w:pStyle w:val="TableText"/>
              <w:keepNext/>
            </w:pPr>
            <w:r>
              <w:rPr>
                <w:b/>
                <w:bCs/>
                <w:color w:val="FFFFFF"/>
                <w:sz w:val="15"/>
                <w:szCs w:val="15"/>
              </w:rPr>
              <w:t xml:space="preserve">Status</w:t>
            </w:r>
          </w:p>
        </w:tc>
        <w:tc>
          <w:tcPr>
            <w:tcW w:w="1641" w:type="dxa"/>
            <w:shd w:val="clear" w:color="auto" w:fill="1F3A5F"/>
            <w:vAlign w:val="bottom"/>
          </w:tcPr>
          <w:p>
            <w:pPr>
              <w:pStyle w:val="TableText"/>
              <w:keepNext/>
            </w:pPr>
            <w:r>
              <w:rPr>
                <w:b/>
                <w:bCs/>
                <w:color w:val="FFFFFF"/>
                <w:sz w:val="15"/>
                <w:szCs w:val="15"/>
              </w:rPr>
              <w:t xml:space="preserve">Summary</w:t>
            </w:r>
          </w:p>
        </w:tc>
      </w:tr>
      <w:tr>
        <w:trPr>
          <w:cantSplit/>
        </w:trPr>
        <w:tc>
          <w:tcPr>
            <w:tcW w:w="1354" w:type="dxa"/>
          </w:tcPr>
          <w:p>
            <w:pPr>
              <w:pStyle w:val="TableText"/>
            </w:pPr>
            <w:r>
              <w:rPr>
                <w:b/>
                <w:bCs/>
                <w:sz w:val="15"/>
                <w:szCs w:val="15"/>
              </w:rPr>
              <w:t xml:space="preserve">HVCLU01</w:t>
            </w:r>
          </w:p>
        </w:tc>
        <w:tc>
          <w:tcPr>
            <w:tcW w:w="1257" w:type="dxa"/>
          </w:tcPr>
          <w:p>
            <w:pPr>
              <w:pStyle w:val="TableText"/>
            </w:pPr>
            <w:r>
              <w:rPr>
                <w:sz w:val="15"/>
                <w:szCs w:val="15"/>
              </w:rPr>
              <w:t xml:space="preserve">Windows Server failover cluster (Hyper-V)</w:t>
            </w:r>
          </w:p>
        </w:tc>
        <w:tc>
          <w:tcPr>
            <w:tcW w:w="640" w:type="dxa"/>
          </w:tcPr>
          <w:p>
            <w:pPr>
              <w:pStyle w:val="TableText"/>
              <w:jc w:val="right"/>
            </w:pPr>
            <w:r>
              <w:rPr>
                <w:sz w:val="15"/>
                <w:szCs w:val="15"/>
              </w:rPr>
              <w:t xml:space="preserve">2</w:t>
            </w:r>
          </w:p>
        </w:tc>
        <w:tc>
          <w:tcPr>
            <w:tcW w:w="884" w:type="dxa"/>
          </w:tcPr>
          <w:p>
            <w:pPr>
              <w:pStyle w:val="TableText"/>
            </w:pPr>
            <w:r>
              <w:rPr>
                <w:sz w:val="15"/>
                <w:szCs w:val="15"/>
              </w:rPr>
              <w:t xml:space="preserve">2 of 2</w:t>
            </w:r>
          </w:p>
        </w:tc>
        <w:tc>
          <w:tcPr>
            <w:tcW w:w="1259" w:type="dxa"/>
          </w:tcPr>
          <w:p>
            <w:pPr>
              <w:pStyle w:val="TableText"/>
            </w:pPr>
            <w:r>
              <w:rPr>
                <w:sz w:val="15"/>
                <w:szCs w:val="15"/>
              </w:rPr>
              <w:t xml:space="preserve">Datacenter x2</w:t>
            </w:r>
          </w:p>
        </w:tc>
        <w:tc>
          <w:tcPr>
            <w:tcW w:w="679" w:type="dxa"/>
          </w:tcPr>
          <w:p>
            <w:pPr>
              <w:pStyle w:val="TableText"/>
              <w:jc w:val="right"/>
            </w:pPr>
            <w:r>
              <w:rPr>
                <w:sz w:val="15"/>
                <w:szCs w:val="15"/>
              </w:rPr>
              <w:t xml:space="preserve">9</w:t>
            </w:r>
          </w:p>
        </w:tc>
        <w:tc>
          <w:tcPr>
            <w:tcW w:w="876" w:type="dxa"/>
          </w:tcPr>
          <w:p>
            <w:pPr>
              <w:pStyle w:val="TableText"/>
              <w:jc w:val="right"/>
            </w:pPr>
            <w:r>
              <w:rPr>
                <w:sz w:val="15"/>
                <w:szCs w:val="15"/>
              </w:rPr>
              <w:t xml:space="preserve">80</w:t>
            </w:r>
          </w:p>
        </w:tc>
        <w:tc>
          <w:tcPr>
            <w:tcW w:w="1162" w:type="dxa"/>
            <w:shd w:val="clear" w:color="auto" w:fill="FCE4E4"/>
          </w:tcPr>
          <w:p>
            <w:pPr>
              <w:pStyle w:val="TableText"/>
            </w:pPr>
            <w:r>
              <w:rPr>
                <w:b/>
                <w:bCs/>
                <w:color w:val="A61B1B"/>
                <w:sz w:val="15"/>
                <w:szCs w:val="15"/>
              </w:rPr>
              <w:t xml:space="preserve">Potential Gap</w:t>
            </w:r>
          </w:p>
        </w:tc>
        <w:tc>
          <w:tcPr>
            <w:tcW w:w="1641" w:type="dxa"/>
          </w:tcPr>
          <w:p>
            <w:pPr>
              <w:pStyle w:val="TableText"/>
            </w:pPr>
            <w:r>
              <w:rPr>
                <w:sz w:val="14"/>
                <w:szCs w:val="14"/>
              </w:rPr>
              <w:t xml:space="preserve">Potential licensing gap: organization-wide shortfall of 32 Datacenter core licenses; this cluster requires 80 Datacenter core licenses.</w:t>
            </w:r>
          </w:p>
        </w:tc>
      </w:tr>
      <w:tr>
        <w:trPr>
          <w:cantSplit/>
        </w:trPr>
        <w:tc>
          <w:tcPr>
            <w:tcW w:w="1354" w:type="dxa"/>
            <w:shd w:val="clear" w:color="auto" w:fill="F7F9FB"/>
          </w:tcPr>
          <w:p>
            <w:pPr>
              <w:pStyle w:val="TableText"/>
            </w:pPr>
            <w:r>
              <w:rPr>
                <w:b/>
                <w:bCs/>
                <w:sz w:val="15"/>
                <w:szCs w:val="15"/>
              </w:rPr>
              <w:t xml:space="preserve">VMW-CLU01</w:t>
            </w:r>
          </w:p>
        </w:tc>
        <w:tc>
          <w:tcPr>
            <w:tcW w:w="1257" w:type="dxa"/>
            <w:shd w:val="clear" w:color="auto" w:fill="F7F9FB"/>
          </w:tcPr>
          <w:p>
            <w:pPr>
              <w:pStyle w:val="TableText"/>
            </w:pPr>
            <w:r>
              <w:rPr>
                <w:sz w:val="15"/>
                <w:szCs w:val="15"/>
              </w:rPr>
              <w:t xml:space="preserve">VMware vSphere</w:t>
            </w:r>
          </w:p>
        </w:tc>
        <w:tc>
          <w:tcPr>
            <w:tcW w:w="640" w:type="dxa"/>
            <w:shd w:val="clear" w:color="auto" w:fill="F7F9FB"/>
          </w:tcPr>
          <w:p>
            <w:pPr>
              <w:pStyle w:val="TableText"/>
              <w:jc w:val="right"/>
            </w:pPr>
            <w:r>
              <w:rPr>
                <w:sz w:val="15"/>
                <w:szCs w:val="15"/>
              </w:rPr>
              <w:t xml:space="preserve">2</w:t>
            </w:r>
          </w:p>
        </w:tc>
        <w:tc>
          <w:tcPr>
            <w:tcW w:w="884" w:type="dxa"/>
            <w:shd w:val="clear" w:color="auto" w:fill="F7F9FB"/>
          </w:tcPr>
          <w:p>
            <w:pPr>
              <w:pStyle w:val="TableText"/>
            </w:pPr>
            <w:r>
              <w:rPr>
                <w:sz w:val="15"/>
                <w:szCs w:val="15"/>
              </w:rPr>
              <w:t xml:space="preserve">n/a</w:t>
            </w:r>
          </w:p>
        </w:tc>
        <w:tc>
          <w:tcPr>
            <w:tcW w:w="1259" w:type="dxa"/>
            <w:shd w:val="clear" w:color="auto" w:fill="F7F9FB"/>
          </w:tcPr>
          <w:p>
            <w:pPr>
              <w:pStyle w:val="TableText"/>
            </w:pPr>
            <w:r>
              <w:rPr>
                <w:sz w:val="15"/>
                <w:szCs w:val="15"/>
              </w:rPr>
              <w:t xml:space="preserve">Standard x2</w:t>
            </w:r>
          </w:p>
        </w:tc>
        <w:tc>
          <w:tcPr>
            <w:tcW w:w="679" w:type="dxa"/>
            <w:shd w:val="clear" w:color="auto" w:fill="F7F9FB"/>
          </w:tcPr>
          <w:p>
            <w:pPr>
              <w:pStyle w:val="TableText"/>
              <w:jc w:val="right"/>
            </w:pPr>
            <w:r>
              <w:rPr>
                <w:sz w:val="15"/>
                <w:szCs w:val="15"/>
              </w:rPr>
              <w:t xml:space="preserve">4</w:t>
            </w:r>
          </w:p>
        </w:tc>
        <w:tc>
          <w:tcPr>
            <w:tcW w:w="876" w:type="dxa"/>
            <w:shd w:val="clear" w:color="auto" w:fill="F7F9FB"/>
          </w:tcPr>
          <w:p>
            <w:pPr>
              <w:pStyle w:val="TableText"/>
              <w:jc w:val="right"/>
            </w:pPr>
            <w:r>
              <w:rPr>
                <w:sz w:val="15"/>
                <w:szCs w:val="15"/>
              </w:rPr>
              <w:t xml:space="preserve">112</w:t>
            </w:r>
          </w:p>
        </w:tc>
        <w:tc>
          <w:tcPr>
            <w:tcW w:w="1162" w:type="dxa"/>
            <w:shd w:val="clear" w:color="auto" w:fill="FCE4E4"/>
          </w:tcPr>
          <w:p>
            <w:pPr>
              <w:pStyle w:val="TableText"/>
            </w:pPr>
            <w:r>
              <w:rPr>
                <w:b/>
                <w:bCs/>
                <w:color w:val="A61B1B"/>
                <w:sz w:val="15"/>
                <w:szCs w:val="15"/>
              </w:rPr>
              <w:t xml:space="preserve">Potential Gap</w:t>
            </w:r>
          </w:p>
        </w:tc>
        <w:tc>
          <w:tcPr>
            <w:tcW w:w="1641" w:type="dxa"/>
            <w:shd w:val="clear" w:color="auto" w:fill="F7F9FB"/>
          </w:tcPr>
          <w:p>
            <w:pPr>
              <w:pStyle w:val="TableText"/>
            </w:pPr>
            <w:r>
              <w:rPr>
                <w:sz w:val="14"/>
                <w:szCs w:val="14"/>
              </w:rPr>
              <w:t xml:space="preserve">Potential licensing gap: organization-wide shortfall of 112 Standard core licenses; this cluster requires 112 Standard core licenses.</w:t>
            </w:r>
          </w:p>
        </w:tc>
      </w:tr>
    </w:tbl>
    <w:p>
      <w:pPr>
        <w:spacing w:before="0" w:after="0" w:line="240" w:lineRule="auto"/>
        <w:rPr>
          <w:sz w:val="12"/>
          <w:szCs w:val="12"/>
        </w:rPr>
      </w:pPr>
    </w:p>
    <w:p>
      <w:pPr>
        <w:pStyle w:val="Heading2"/>
      </w:pPr>
      <w:bookmarkStart w:id="16" w:name="_TocMlat00016"/>
      <w:r>
        <w:t xml:space="preserve">Cluster details</w:t>
      </w:r>
      <w:bookmarkEnd w:id="16"/>
    </w:p>
    <w:p>
      <w:pPr>
        <w:keepNext/>
        <w:spacing w:before="120" w:after="60"/>
      </w:pPr>
      <w:r>
        <w:rPr>
          <w:b/>
          <w:bCs/>
          <w:color w:val="1F3A5F"/>
          <w:sz w:val="21"/>
          <w:szCs w:val="21"/>
        </w:rPr>
        <w:t xml:space="preserve">HVCLU01</w:t>
      </w:r>
      <w:r>
        <w:t xml:space="preserve">  </w:t>
      </w:r>
      <w:r>
        <w:rPr>
          <w:b/>
          <w:bCs/>
          <w:color w:val="A61B1B"/>
          <w:sz w:val="17"/>
          <w:szCs w:val="17"/>
          <w:shd w:val="clear" w:color="auto" w:fill="FCE4E4"/>
        </w:rPr>
        <w:t xml:space="preserve"> Potential Gap </w:t>
      </w:r>
      <w:r>
        <w:rPr>
          <w:color w:val="5B6475"/>
        </w:rPr>
        <w:t xml:space="preserve">   Windows Server failover cluster (Hyper-V)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535"/>
        <w:gridCol w:w="7217"/>
      </w:tblGrid>
      <w:tr>
        <w:trPr>
          <w:cantSplit/>
        </w:trPr>
        <w:tc>
          <w:tcPr>
            <w:tcW w:w="2535" w:type="dxa"/>
          </w:tcPr>
          <w:p>
            <w:pPr>
              <w:pStyle w:val="TableText"/>
            </w:pPr>
            <w:r>
              <w:rPr>
                <w:color w:val="5B6475"/>
                <w:sz w:val="17"/>
                <w:szCs w:val="17"/>
              </w:rPr>
              <w:t xml:space="preserve">Summary</w:t>
            </w:r>
          </w:p>
        </w:tc>
        <w:tc>
          <w:tcPr>
            <w:tcW w:w="7217" w:type="dxa"/>
          </w:tcPr>
          <w:p>
            <w:pPr>
              <w:pStyle w:val="TableText"/>
            </w:pPr>
            <w:r>
              <w:rPr>
                <w:sz w:val="17"/>
                <w:szCs w:val="17"/>
              </w:rPr>
              <w:t xml:space="preserve">Potential licensing gap: organization-wide shortfall of 32 Datacenter core licenses; this cluster requires 80 Datacenter core licenses.</w:t>
            </w:r>
          </w:p>
        </w:tc>
      </w:tr>
      <w:tr>
        <w:trPr>
          <w:cantSplit/>
        </w:trPr>
        <w:tc>
          <w:tcPr>
            <w:tcW w:w="2535" w:type="dxa"/>
          </w:tcPr>
          <w:p>
            <w:pPr>
              <w:pStyle w:val="TableText"/>
            </w:pPr>
            <w:r>
              <w:rPr>
                <w:color w:val="5B6475"/>
                <w:sz w:val="17"/>
                <w:szCs w:val="17"/>
              </w:rPr>
              <w:t xml:space="preserve">Nodes (2)</w:t>
            </w:r>
          </w:p>
        </w:tc>
        <w:tc>
          <w:tcPr>
            <w:tcW w:w="7217" w:type="dxa"/>
          </w:tcPr>
          <w:p>
            <w:pPr>
              <w:pStyle w:val="TableText"/>
            </w:pPr>
            <w:r>
              <w:rPr>
                <w:sz w:val="17"/>
                <w:szCs w:val="17"/>
              </w:rPr>
              <w:t xml:space="preserve">HV01, HV02</w:t>
            </w:r>
          </w:p>
        </w:tc>
      </w:tr>
      <w:tr>
        <w:trPr>
          <w:cantSplit/>
        </w:trPr>
        <w:tc>
          <w:tcPr>
            <w:tcW w:w="2535" w:type="dxa"/>
          </w:tcPr>
          <w:p>
            <w:pPr>
              <w:pStyle w:val="TableText"/>
            </w:pPr>
            <w:r>
              <w:rPr>
                <w:color w:val="5B6475"/>
                <w:sz w:val="17"/>
                <w:szCs w:val="17"/>
              </w:rPr>
              <w:t xml:space="preserve">Nodes not activated</w:t>
            </w:r>
          </w:p>
        </w:tc>
        <w:tc>
          <w:tcPr>
            <w:tcW w:w="7217" w:type="dxa"/>
          </w:tcPr>
          <w:p>
            <w:pPr>
              <w:pStyle w:val="TableText"/>
            </w:pPr>
            <w:r>
              <w:rPr>
                <w:sz w:val="17"/>
                <w:szCs w:val="17"/>
              </w:rPr>
              <w:t xml:space="preserve">None</w:t>
            </w:r>
          </w:p>
        </w:tc>
      </w:tr>
      <w:tr>
        <w:trPr>
          <w:cantSplit/>
        </w:trPr>
        <w:tc>
          <w:tcPr>
            <w:tcW w:w="2535" w:type="dxa"/>
          </w:tcPr>
          <w:p>
            <w:pPr>
              <w:pStyle w:val="TableText"/>
            </w:pPr>
            <w:r>
              <w:rPr>
                <w:color w:val="5B6475"/>
                <w:sz w:val="17"/>
                <w:szCs w:val="17"/>
              </w:rPr>
              <w:t xml:space="preserve">Nodes not verified</w:t>
            </w:r>
          </w:p>
        </w:tc>
        <w:tc>
          <w:tcPr>
            <w:tcW w:w="7217" w:type="dxa"/>
          </w:tcPr>
          <w:p>
            <w:pPr>
              <w:pStyle w:val="TableText"/>
            </w:pPr>
            <w:r>
              <w:rPr>
                <w:sz w:val="17"/>
                <w:szCs w:val="17"/>
              </w:rPr>
              <w:t xml:space="preserve">None</w:t>
            </w:r>
          </w:p>
        </w:tc>
      </w:tr>
      <w:tr>
        <w:trPr>
          <w:cantSplit/>
        </w:trPr>
        <w:tc>
          <w:tcPr>
            <w:tcW w:w="2535" w:type="dxa"/>
          </w:tcPr>
          <w:p>
            <w:pPr>
              <w:pStyle w:val="TableText"/>
            </w:pPr>
            <w:r>
              <w:rPr>
                <w:color w:val="5B6475"/>
                <w:sz w:val="17"/>
                <w:szCs w:val="17"/>
              </w:rPr>
              <w:t xml:space="preserve">Licensing</w:t>
            </w:r>
          </w:p>
        </w:tc>
        <w:tc>
          <w:tcPr>
            <w:tcW w:w="7217" w:type="dxa"/>
          </w:tcPr>
          <w:p>
            <w:pPr>
              <w:pStyle w:val="TableText"/>
            </w:pPr>
            <w:r>
              <w:rPr>
                <w:sz w:val="17"/>
                <w:szCs w:val="17"/>
              </w:rPr>
              <w:t xml:space="preserve">VM mobility · required edition Datacenter · 80 core licenses · 80 physical cores · 9 Windows Server VMs</w:t>
            </w:r>
          </w:p>
        </w:tc>
      </w:tr>
    </w:tbl>
    <w:p>
      <w:pPr>
        <w:spacing w:before="0" w:after="0" w:line="240" w:lineRule="auto"/>
        <w:rPr>
          <w:sz w:val="12"/>
          <w:szCs w:val="12"/>
        </w:rPr>
      </w:pPr>
    </w:p>
    <w:p>
      <w:pPr>
        <w:pStyle w:val="ListBullet"/>
        <w:numPr>
          <w:ilvl w:val="0"/>
          <w:numId w:val="1"/>
        </w:numPr>
      </w:pPr>
      <w:r>
        <w:rPr>
          <w:sz w:val="17"/>
          <w:szCs w:val="17"/>
        </w:rPr>
        <w:t xml:space="preserve">Windows Server failover cluster (Hyper-V) with 2 nodes: HV01, HV02 (2 inventoried, 80 physical cores).</w:t>
      </w:r>
    </w:p>
    <w:p>
      <w:pPr>
        <w:pStyle w:val="ListBullet"/>
        <w:numPr>
          <w:ilvl w:val="0"/>
          <w:numId w:val="1"/>
        </w:numPr>
      </w:pPr>
      <w:r>
        <w:rPr>
          <w:sz w:val="17"/>
          <w:szCs w:val="17"/>
        </w:rPr>
        <w:t xml:space="preserve">Windows license state of the nodes: 2 activated.</w:t>
      </w:r>
    </w:p>
    <w:p>
      <w:pPr>
        <w:pStyle w:val="ListBullet"/>
        <w:numPr>
          <w:ilvl w:val="0"/>
          <w:numId w:val="1"/>
        </w:numPr>
      </w:pPr>
      <w:r>
        <w:rPr>
          <w:sz w:val="17"/>
          <w:szCs w:val="17"/>
        </w:rPr>
        <w:t xml:space="preserve">9 Windows Server VMs can run on the cluster (HV01 5, HV02 4 placed).</w:t>
      </w:r>
    </w:p>
    <w:p>
      <w:pPr>
        <w:pStyle w:val="ListBullet"/>
        <w:numPr>
          <w:ilvl w:val="0"/>
          <w:numId w:val="1"/>
        </w:numPr>
      </w:pPr>
      <w:r>
        <w:rPr>
          <w:sz w:val="17"/>
          <w:szCs w:val="17"/>
        </w:rPr>
        <w:t xml:space="preserve">Licensing mode: VM mobility - each Windows Server Standard node is licensed for all Windows Server VMs that can move to it.</w:t>
      </w:r>
    </w:p>
    <w:p>
      <w:pPr>
        <w:pStyle w:val="ListBullet"/>
        <w:numPr>
          <w:ilvl w:val="0"/>
          <w:numId w:val="1"/>
        </w:numPr>
      </w:pPr>
      <w:r>
        <w:rPr>
          <w:sz w:val="17"/>
          <w:szCs w:val="17"/>
        </w:rPr>
        <w:t xml:space="preserve">Windows Server core licenses required for the nodes: 80 (HV01 32 Datacenter, HV02 48 Datacenter).</w:t>
      </w:r>
    </w:p>
    <w:p>
      <w:pPr>
        <w:pStyle w:val="ListBullet"/>
        <w:numPr>
          <w:ilvl w:val="0"/>
          <w:numId w:val="1"/>
        </w:numPr>
      </w:pPr>
      <w:r>
        <w:rPr>
          <w:sz w:val="17"/>
          <w:szCs w:val="17"/>
        </w:rPr>
        <w:t xml:space="preserve">Node editions: HV01 Datacenter, HV02 Datacenter.</w:t>
      </w:r>
    </w:p>
    <w:p>
      <w:pPr>
        <w:pStyle w:val="ListBullet"/>
        <w:numPr>
          <w:ilvl w:val="0"/>
          <w:numId w:val="1"/>
        </w:numPr>
      </w:pPr>
      <w:r>
        <w:rPr>
          <w:sz w:val="17"/>
          <w:szCs w:val="17"/>
        </w:rPr>
        <w:t xml:space="preserve">Organization-wide position Windows Server Datacenter core license: required 80, covered 48, potential gap 32.</w:t>
      </w:r>
    </w:p>
    <w:p>
      <w:pPr>
        <w:pStyle w:val="ListBullet"/>
        <w:numPr>
          <w:ilvl w:val="0"/>
          <w:numId w:val="1"/>
        </w:numPr>
      </w:pPr>
      <w:r>
        <w:rPr>
          <w:sz w:val="17"/>
          <w:szCs w:val="17"/>
        </w:rPr>
        <w:t xml:space="preserve">Node requirements not covered after allocating the license inventory: HV01 32 Datacenter.</w:t>
      </w:r>
    </w:p>
    <w:p>
      <w:pPr>
        <w:shd w:val="clear" w:color="auto" w:fill="F5F7FA"/>
        <w:spacing w:after="200"/>
      </w:pPr>
      <w:r>
        <w:rPr>
          <w:sz w:val="16"/>
          <w:szCs w:val="16"/>
        </w:rPr>
        <w:t xml:space="preserve">Rule </w:t>
      </w:r>
      <w:r>
        <w:rPr>
          <w:b/>
          <w:bCs/>
          <w:sz w:val="16"/>
          <w:szCs w:val="16"/>
        </w:rPr>
        <w:t xml:space="preserve">RULE-CLUSTER-031</w:t>
      </w:r>
      <w:r>
        <w:rPr>
          <w:sz w:val="16"/>
          <w:szCs w:val="16"/>
        </w:rPr>
        <w:t xml:space="preserve"> v1.0 — Windows Server licensing in clusters (VM mobility) · Last reviewed: 2026-10-02</w:t>
      </w:r>
      <w:r>
        <w:rPr>
          <w:sz w:val="16"/>
          <w:szCs w:val="16"/>
        </w:rPr>
        <w:t xml:space="preserve"> · Source: </w:t>
      </w:r>
      <w:hyperlink r:id="rId105" w:history="1">
        <w:r>
          <w:rPr>
            <w:rStyle w:val="Hyperlink"/>
            <w:sz w:val="16"/>
            <w:szCs w:val="16"/>
          </w:rPr>
          <w:t xml:space="preserve">Microsoft Product Terms - Windows Server (Standard, Datacenter, Essentials); license assignment and reassignment (Universal License Terms)</w:t>
        </w:r>
      </w:hyperlink>
      <w:r>
        <w:rPr>
          <w:color w:val="5B6475"/>
          <w:sz w:val="15"/>
          <w:szCs w:val="15"/>
        </w:rPr>
        <w:t xml:space="preserve"> (https://www.microsoft.com/licensing/terms/)</w:t>
      </w:r>
    </w:p>
    <w:p>
      <w:pPr>
        <w:keepNext/>
        <w:spacing w:before="120" w:after="60"/>
      </w:pPr>
      <w:r>
        <w:rPr>
          <w:b/>
          <w:bCs/>
          <w:color w:val="1F3A5F"/>
          <w:sz w:val="21"/>
          <w:szCs w:val="21"/>
        </w:rPr>
        <w:t xml:space="preserve">VMW-CLU01</w:t>
      </w:r>
      <w:r>
        <w:t xml:space="preserve">  </w:t>
      </w:r>
      <w:r>
        <w:rPr>
          <w:b/>
          <w:bCs/>
          <w:color w:val="A61B1B"/>
          <w:sz w:val="17"/>
          <w:szCs w:val="17"/>
          <w:shd w:val="clear" w:color="auto" w:fill="FCE4E4"/>
        </w:rPr>
        <w:t xml:space="preserve"> Potential Gap </w:t>
      </w:r>
      <w:r>
        <w:rPr>
          <w:color w:val="5B6475"/>
        </w:rPr>
        <w:t xml:space="preserve">   VMware vSphere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535"/>
        <w:gridCol w:w="7217"/>
      </w:tblGrid>
      <w:tr>
        <w:trPr>
          <w:cantSplit/>
        </w:trPr>
        <w:tc>
          <w:tcPr>
            <w:tcW w:w="2535" w:type="dxa"/>
          </w:tcPr>
          <w:p>
            <w:pPr>
              <w:pStyle w:val="TableText"/>
            </w:pPr>
            <w:r>
              <w:rPr>
                <w:color w:val="5B6475"/>
                <w:sz w:val="17"/>
                <w:szCs w:val="17"/>
              </w:rPr>
              <w:t xml:space="preserve">Summary</w:t>
            </w:r>
          </w:p>
        </w:tc>
        <w:tc>
          <w:tcPr>
            <w:tcW w:w="7217" w:type="dxa"/>
          </w:tcPr>
          <w:p>
            <w:pPr>
              <w:pStyle w:val="TableText"/>
            </w:pPr>
            <w:r>
              <w:rPr>
                <w:sz w:val="17"/>
                <w:szCs w:val="17"/>
              </w:rPr>
              <w:t xml:space="preserve">Potential licensing gap: organization-wide shortfall of 112 Standard core licenses; this cluster requires 112 Standard core licenses.</w:t>
            </w:r>
          </w:p>
        </w:tc>
      </w:tr>
      <w:tr>
        <w:trPr>
          <w:cantSplit/>
        </w:trPr>
        <w:tc>
          <w:tcPr>
            <w:tcW w:w="2535" w:type="dxa"/>
          </w:tcPr>
          <w:p>
            <w:pPr>
              <w:pStyle w:val="TableText"/>
            </w:pPr>
            <w:r>
              <w:rPr>
                <w:color w:val="5B6475"/>
                <w:sz w:val="17"/>
                <w:szCs w:val="17"/>
              </w:rPr>
              <w:t xml:space="preserve">Nodes (2)</w:t>
            </w:r>
          </w:p>
        </w:tc>
        <w:tc>
          <w:tcPr>
            <w:tcW w:w="7217" w:type="dxa"/>
          </w:tcPr>
          <w:p>
            <w:pPr>
              <w:pStyle w:val="TableText"/>
            </w:pPr>
            <w:r>
              <w:rPr>
                <w:sz w:val="17"/>
                <w:szCs w:val="17"/>
              </w:rPr>
              <w:t xml:space="preserve">ESX01, ESX02</w:t>
            </w:r>
          </w:p>
        </w:tc>
      </w:tr>
      <w:tr>
        <w:trPr>
          <w:cantSplit/>
        </w:trPr>
        <w:tc>
          <w:tcPr>
            <w:tcW w:w="2535" w:type="dxa"/>
          </w:tcPr>
          <w:p>
            <w:pPr>
              <w:pStyle w:val="TableText"/>
            </w:pPr>
            <w:r>
              <w:rPr>
                <w:color w:val="5B6475"/>
                <w:sz w:val="17"/>
                <w:szCs w:val="17"/>
              </w:rPr>
              <w:t xml:space="preserve">Nodes not activated</w:t>
            </w:r>
          </w:p>
        </w:tc>
        <w:tc>
          <w:tcPr>
            <w:tcW w:w="7217" w:type="dxa"/>
          </w:tcPr>
          <w:p>
            <w:pPr>
              <w:pStyle w:val="TableText"/>
            </w:pPr>
            <w:r>
              <w:rPr>
                <w:sz w:val="17"/>
                <w:szCs w:val="17"/>
              </w:rPr>
              <w:t xml:space="preserve">None</w:t>
            </w:r>
          </w:p>
        </w:tc>
      </w:tr>
      <w:tr>
        <w:trPr>
          <w:cantSplit/>
        </w:trPr>
        <w:tc>
          <w:tcPr>
            <w:tcW w:w="2535" w:type="dxa"/>
          </w:tcPr>
          <w:p>
            <w:pPr>
              <w:pStyle w:val="TableText"/>
            </w:pPr>
            <w:r>
              <w:rPr>
                <w:color w:val="5B6475"/>
                <w:sz w:val="17"/>
                <w:szCs w:val="17"/>
              </w:rPr>
              <w:t xml:space="preserve">Nodes not verified</w:t>
            </w:r>
          </w:p>
        </w:tc>
        <w:tc>
          <w:tcPr>
            <w:tcW w:w="7217" w:type="dxa"/>
          </w:tcPr>
          <w:p>
            <w:pPr>
              <w:pStyle w:val="TableText"/>
            </w:pPr>
            <w:r>
              <w:rPr>
                <w:sz w:val="17"/>
                <w:szCs w:val="17"/>
              </w:rPr>
              <w:t xml:space="preserve">None</w:t>
            </w:r>
          </w:p>
        </w:tc>
      </w:tr>
      <w:tr>
        <w:trPr>
          <w:cantSplit/>
        </w:trPr>
        <w:tc>
          <w:tcPr>
            <w:tcW w:w="2535" w:type="dxa"/>
          </w:tcPr>
          <w:p>
            <w:pPr>
              <w:pStyle w:val="TableText"/>
            </w:pPr>
            <w:r>
              <w:rPr>
                <w:color w:val="5B6475"/>
                <w:sz w:val="17"/>
                <w:szCs w:val="17"/>
              </w:rPr>
              <w:t xml:space="preserve">Licensing</w:t>
            </w:r>
          </w:p>
        </w:tc>
        <w:tc>
          <w:tcPr>
            <w:tcW w:w="7217" w:type="dxa"/>
          </w:tcPr>
          <w:p>
            <w:pPr>
              <w:pStyle w:val="TableText"/>
            </w:pPr>
            <w:r>
              <w:rPr>
                <w:sz w:val="17"/>
                <w:szCs w:val="17"/>
              </w:rPr>
              <w:t xml:space="preserve">VM mobility · required edition Standard · 112 core licenses · 56 physical cores · 4 Windows Server VMs</w:t>
            </w:r>
          </w:p>
        </w:tc>
      </w:tr>
    </w:tbl>
    <w:p>
      <w:pPr>
        <w:spacing w:before="0" w:after="0" w:line="240" w:lineRule="auto"/>
        <w:rPr>
          <w:sz w:val="12"/>
          <w:szCs w:val="12"/>
        </w:rPr>
      </w:pPr>
    </w:p>
    <w:p>
      <w:pPr>
        <w:pStyle w:val="ListBullet"/>
        <w:numPr>
          <w:ilvl w:val="0"/>
          <w:numId w:val="1"/>
        </w:numPr>
      </w:pPr>
      <w:r>
        <w:rPr>
          <w:sz w:val="17"/>
          <w:szCs w:val="17"/>
        </w:rPr>
        <w:t xml:space="preserve">VMware vSphere with 2 nodes: ESX01, ESX02 (2 inventoried, 56 physical cores).</w:t>
      </w:r>
    </w:p>
    <w:p>
      <w:pPr>
        <w:pStyle w:val="ListBullet"/>
        <w:numPr>
          <w:ilvl w:val="0"/>
          <w:numId w:val="1"/>
        </w:numPr>
      </w:pPr>
      <w:r>
        <w:rPr>
          <w:sz w:val="17"/>
          <w:szCs w:val="17"/>
        </w:rPr>
        <w:t xml:space="preserve">4 Windows Server VMs can run on the cluster (ESX01 2, ESX02 2 placed).</w:t>
      </w:r>
    </w:p>
    <w:p>
      <w:pPr>
        <w:pStyle w:val="ListBullet"/>
        <w:numPr>
          <w:ilvl w:val="0"/>
          <w:numId w:val="1"/>
        </w:numPr>
      </w:pPr>
      <w:r>
        <w:rPr>
          <w:sz w:val="17"/>
          <w:szCs w:val="17"/>
        </w:rPr>
        <w:t xml:space="preserve">Licensing mode: VM mobility - each Windows Server Standard node is licensed for all Windows Server VMs that can move to it.</w:t>
      </w:r>
    </w:p>
    <w:p>
      <w:pPr>
        <w:pStyle w:val="ListBullet"/>
        <w:numPr>
          <w:ilvl w:val="0"/>
          <w:numId w:val="1"/>
        </w:numPr>
      </w:pPr>
      <w:r>
        <w:rPr>
          <w:sz w:val="17"/>
          <w:szCs w:val="17"/>
        </w:rPr>
        <w:t xml:space="preserve">Windows Server core licenses required for the nodes: 112 (ESX01 80 Standard, ESX02 32 Standard).</w:t>
      </w:r>
    </w:p>
    <w:p>
      <w:pPr>
        <w:pStyle w:val="ListBullet"/>
        <w:numPr>
          <w:ilvl w:val="0"/>
          <w:numId w:val="1"/>
        </w:numPr>
      </w:pPr>
      <w:r>
        <w:rPr>
          <w:sz w:val="17"/>
          <w:szCs w:val="17"/>
        </w:rPr>
        <w:t xml:space="preserve">Node editions: ESX01 Standard, ESX02 Standard.</w:t>
      </w:r>
    </w:p>
    <w:p>
      <w:pPr>
        <w:pStyle w:val="ListBullet"/>
        <w:numPr>
          <w:ilvl w:val="0"/>
          <w:numId w:val="1"/>
        </w:numPr>
      </w:pPr>
      <w:r>
        <w:rPr>
          <w:sz w:val="17"/>
          <w:szCs w:val="17"/>
        </w:rPr>
        <w:t xml:space="preserve">VM mobility adds 56 Windows Server Standard core licenses (ESX01 +40, ESX02 +16); Datacenter would avoid this.</w:t>
      </w:r>
    </w:p>
    <w:p>
      <w:pPr>
        <w:pStyle w:val="ListBullet"/>
        <w:numPr>
          <w:ilvl w:val="0"/>
          <w:numId w:val="1"/>
        </w:numPr>
      </w:pPr>
      <w:r>
        <w:rPr>
          <w:sz w:val="17"/>
          <w:szCs w:val="17"/>
        </w:rPr>
        <w:t xml:space="preserve">Organization-wide position Windows Server Standard core license: required 112, covered 0, potential gap 112.</w:t>
      </w:r>
    </w:p>
    <w:p>
      <w:pPr>
        <w:pStyle w:val="ListBullet"/>
        <w:numPr>
          <w:ilvl w:val="0"/>
          <w:numId w:val="1"/>
        </w:numPr>
      </w:pPr>
      <w:r>
        <w:rPr>
          <w:sz w:val="17"/>
          <w:szCs w:val="17"/>
        </w:rPr>
        <w:t xml:space="preserve">Node requirements not covered after allocating the license inventory: ESX01 80 Standard, ESX02 32 Standard.</w:t>
      </w:r>
    </w:p>
    <w:p>
      <w:pPr>
        <w:shd w:val="clear" w:color="auto" w:fill="F5F7FA"/>
        <w:spacing w:after="200"/>
      </w:pPr>
      <w:r>
        <w:rPr>
          <w:sz w:val="16"/>
          <w:szCs w:val="16"/>
        </w:rPr>
        <w:t xml:space="preserve">Rule </w:t>
      </w:r>
      <w:r>
        <w:rPr>
          <w:b/>
          <w:bCs/>
          <w:sz w:val="16"/>
          <w:szCs w:val="16"/>
        </w:rPr>
        <w:t xml:space="preserve">RULE-CLUSTER-031</w:t>
      </w:r>
      <w:r>
        <w:rPr>
          <w:sz w:val="16"/>
          <w:szCs w:val="16"/>
        </w:rPr>
        <w:t xml:space="preserve"> v1.0 — Windows Server licensing in clusters (VM mobility) · Last reviewed: 2026-10-02</w:t>
      </w:r>
      <w:r>
        <w:rPr>
          <w:sz w:val="16"/>
          <w:szCs w:val="16"/>
        </w:rPr>
        <w:t xml:space="preserve"> · Source: </w:t>
      </w:r>
      <w:hyperlink r:id="rId106" w:history="1">
        <w:r>
          <w:rPr>
            <w:rStyle w:val="Hyperlink"/>
            <w:sz w:val="16"/>
            <w:szCs w:val="16"/>
          </w:rPr>
          <w:t xml:space="preserve">Microsoft Product Terms - Windows Server (Standard, Datacenter, Essentials); license assignment and reassignment (Universal License Terms)</w:t>
        </w:r>
      </w:hyperlink>
      <w:r>
        <w:rPr>
          <w:color w:val="5B6475"/>
          <w:sz w:val="15"/>
          <w:szCs w:val="15"/>
        </w:rPr>
        <w:t xml:space="preserve"> (https://www.microsoft.com/licensing/terms/)</w:t>
      </w:r>
    </w:p>
    <w:p>
      <w:pPr>
        <w:spacing w:before="0" w:after="0" w:line="20" w:lineRule="exact"/>
        <w:rPr>
          <w:sz w:val="2"/>
          <w:szCs w:val="2"/>
        </w:rPr>
        <w:sectPr>
          <w:headerReference w:type="default" r:id="rIdHdr1"/>
          <w:headerReference w:type="first" r:id="rIdHdr2"/>
          <w:footerReference w:type="default" r:id="rIdFtr1"/>
          <w:footerReference w:type="first" r:id="rIdFtr2"/>
          <w:pgSz w:w="11906" w:h="16838"/>
          <w:pgMar w:top="1304" w:right="1077" w:bottom="1191" w:left="1077" w:header="567" w:footer="510" w:gutter="0"/>
          <w:cols w:space="708"/>
          <w:titlePg/>
          <w:docGrid w:linePitch="360"/>
        </w:sectPr>
      </w:pPr>
    </w:p>
    <w:p>
      <w:pPr>
        <w:pStyle w:val="Heading1"/>
      </w:pPr>
      <w:bookmarkStart w:id="17" w:name="_TocMlat00017"/>
      <w:r>
        <w:t xml:space="preserve">Current licensing position</w:t>
      </w:r>
      <w:bookmarkEnd w:id="17"/>
    </w:p>
    <w:p>
      <w:pPr>
        <w:spacing w:after="160"/>
      </w:pPr>
      <w:r>
        <w:rPr>
          <w:color w:val="5B6475"/>
        </w:rPr>
        <w:t xml:space="preserve">Required = discovered requirement under the rules in this tool; Purchased = license inventory supplied by the customer; Assigned = assignment count where known; Available = purchased licenses not yet allocated to a requirement.</w:t>
      </w:r>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460"/>
        <w:gridCol w:w="2907"/>
        <w:gridCol w:w="934"/>
        <w:gridCol w:w="1051"/>
        <w:gridCol w:w="938"/>
        <w:gridCol w:w="1000"/>
        <w:gridCol w:w="796"/>
        <w:gridCol w:w="1461"/>
        <w:gridCol w:w="1100"/>
        <w:gridCol w:w="3037"/>
      </w:tblGrid>
      <w:tr>
        <w:trPr>
          <w:cantSplit/>
          <w:tblHeader/>
        </w:trPr>
        <w:tc>
          <w:tcPr>
            <w:tcW w:w="1460" w:type="dxa"/>
            <w:shd w:val="clear" w:color="auto" w:fill="1F3A5F"/>
            <w:vAlign w:val="bottom"/>
          </w:tcPr>
          <w:p>
            <w:pPr>
              <w:pStyle w:val="TableText"/>
              <w:keepNext/>
            </w:pPr>
            <w:r>
              <w:rPr>
                <w:b/>
                <w:bCs/>
                <w:color w:val="FFFFFF"/>
                <w:sz w:val="17"/>
                <w:szCs w:val="17"/>
              </w:rPr>
              <w:t xml:space="preserve">Product</w:t>
            </w:r>
          </w:p>
        </w:tc>
        <w:tc>
          <w:tcPr>
            <w:tcW w:w="2907" w:type="dxa"/>
            <w:shd w:val="clear" w:color="auto" w:fill="1F3A5F"/>
            <w:vAlign w:val="bottom"/>
          </w:tcPr>
          <w:p>
            <w:pPr>
              <w:pStyle w:val="TableText"/>
              <w:keepNext/>
            </w:pPr>
            <w:r>
              <w:rPr>
                <w:b/>
                <w:bCs/>
                <w:color w:val="FFFFFF"/>
                <w:sz w:val="17"/>
                <w:szCs w:val="17"/>
              </w:rPr>
              <w:t xml:space="preserve">License</w:t>
            </w:r>
          </w:p>
        </w:tc>
        <w:tc>
          <w:tcPr>
            <w:tcW w:w="934" w:type="dxa"/>
            <w:shd w:val="clear" w:color="auto" w:fill="1F3A5F"/>
            <w:vAlign w:val="bottom"/>
          </w:tcPr>
          <w:p>
            <w:pPr>
              <w:pStyle w:val="TableText"/>
              <w:keepNext/>
              <w:jc w:val="right"/>
            </w:pPr>
            <w:r>
              <w:rPr>
                <w:b/>
                <w:bCs/>
                <w:color w:val="FFFFFF"/>
                <w:sz w:val="17"/>
                <w:szCs w:val="17"/>
              </w:rPr>
              <w:t xml:space="preserve">Required</w:t>
            </w:r>
          </w:p>
        </w:tc>
        <w:tc>
          <w:tcPr>
            <w:tcW w:w="1051" w:type="dxa"/>
            <w:shd w:val="clear" w:color="auto" w:fill="1F3A5F"/>
            <w:vAlign w:val="bottom"/>
          </w:tcPr>
          <w:p>
            <w:pPr>
              <w:pStyle w:val="TableText"/>
              <w:keepNext/>
              <w:jc w:val="right"/>
            </w:pPr>
            <w:r>
              <w:rPr>
                <w:b/>
                <w:bCs/>
                <w:color w:val="FFFFFF"/>
                <w:sz w:val="17"/>
                <w:szCs w:val="17"/>
              </w:rPr>
              <w:t xml:space="preserve">Purchased</w:t>
            </w:r>
          </w:p>
        </w:tc>
        <w:tc>
          <w:tcPr>
            <w:tcW w:w="938" w:type="dxa"/>
            <w:shd w:val="clear" w:color="auto" w:fill="1F3A5F"/>
            <w:vAlign w:val="bottom"/>
          </w:tcPr>
          <w:p>
            <w:pPr>
              <w:pStyle w:val="TableText"/>
              <w:keepNext/>
              <w:jc w:val="right"/>
            </w:pPr>
            <w:r>
              <w:rPr>
                <w:b/>
                <w:bCs/>
                <w:color w:val="FFFFFF"/>
                <w:sz w:val="17"/>
                <w:szCs w:val="17"/>
              </w:rPr>
              <w:t xml:space="preserve">Assigned</w:t>
            </w:r>
          </w:p>
        </w:tc>
        <w:tc>
          <w:tcPr>
            <w:tcW w:w="1000" w:type="dxa"/>
            <w:shd w:val="clear" w:color="auto" w:fill="1F3A5F"/>
            <w:vAlign w:val="bottom"/>
          </w:tcPr>
          <w:p>
            <w:pPr>
              <w:pStyle w:val="TableText"/>
              <w:keepNext/>
              <w:jc w:val="right"/>
            </w:pPr>
            <w:r>
              <w:rPr>
                <w:b/>
                <w:bCs/>
                <w:color w:val="FFFFFF"/>
                <w:sz w:val="17"/>
                <w:szCs w:val="17"/>
              </w:rPr>
              <w:t xml:space="preserve">Available</w:t>
            </w:r>
          </w:p>
        </w:tc>
        <w:tc>
          <w:tcPr>
            <w:tcW w:w="796" w:type="dxa"/>
            <w:shd w:val="clear" w:color="auto" w:fill="1F3A5F"/>
            <w:vAlign w:val="bottom"/>
          </w:tcPr>
          <w:p>
            <w:pPr>
              <w:pStyle w:val="TableText"/>
              <w:keepNext/>
              <w:jc w:val="right"/>
            </w:pPr>
            <w:r>
              <w:rPr>
                <w:b/>
                <w:bCs/>
                <w:color w:val="FFFFFF"/>
                <w:sz w:val="17"/>
                <w:szCs w:val="17"/>
              </w:rPr>
              <w:t xml:space="preserve">Gap</w:t>
            </w:r>
          </w:p>
        </w:tc>
        <w:tc>
          <w:tcPr>
            <w:tcW w:w="1461" w:type="dxa"/>
            <w:shd w:val="clear" w:color="auto" w:fill="1F3A5F"/>
            <w:vAlign w:val="bottom"/>
          </w:tcPr>
          <w:p>
            <w:pPr>
              <w:pStyle w:val="TableText"/>
              <w:keepNext/>
            </w:pPr>
            <w:r>
              <w:rPr>
                <w:b/>
                <w:bCs/>
                <w:color w:val="FFFFFF"/>
                <w:sz w:val="17"/>
                <w:szCs w:val="17"/>
              </w:rPr>
              <w:t xml:space="preserve">Status</w:t>
            </w:r>
          </w:p>
        </w:tc>
        <w:tc>
          <w:tcPr>
            <w:tcW w:w="1100" w:type="dxa"/>
            <w:shd w:val="clear" w:color="auto" w:fill="1F3A5F"/>
            <w:vAlign w:val="bottom"/>
          </w:tcPr>
          <w:p>
            <w:pPr>
              <w:pStyle w:val="TableText"/>
              <w:keepNext/>
            </w:pPr>
            <w:r>
              <w:rPr>
                <w:b/>
                <w:bCs/>
                <w:color w:val="FFFFFF"/>
                <w:sz w:val="17"/>
                <w:szCs w:val="17"/>
              </w:rPr>
              <w:t xml:space="preserve">Confidence</w:t>
            </w:r>
          </w:p>
        </w:tc>
        <w:tc>
          <w:tcPr>
            <w:tcW w:w="3037" w:type="dxa"/>
            <w:shd w:val="clear" w:color="auto" w:fill="1F3A5F"/>
            <w:vAlign w:val="bottom"/>
          </w:tcPr>
          <w:p>
            <w:pPr>
              <w:pStyle w:val="TableText"/>
              <w:keepNext/>
            </w:pPr>
            <w:r>
              <w:rPr>
                <w:b/>
                <w:bCs/>
                <w:color w:val="FFFFFF"/>
                <w:sz w:val="17"/>
                <w:szCs w:val="17"/>
              </w:rPr>
              <w:t xml:space="preserve">Evidence (targets)</w:t>
            </w:r>
          </w:p>
        </w:tc>
      </w:tr>
      <w:tr>
        <w:trPr>
          <w:cantSplit/>
        </w:trPr>
        <w:tc>
          <w:tcPr>
            <w:tcW w:w="1460" w:type="dxa"/>
          </w:tcPr>
          <w:p>
            <w:pPr>
              <w:pStyle w:val="TableText"/>
            </w:pPr>
            <w:r>
              <w:rPr>
                <w:color w:val="5B6475"/>
                <w:sz w:val="17"/>
                <w:szCs w:val="17"/>
              </w:rPr>
              <w:t xml:space="preserve">Exchange Server</w:t>
            </w:r>
          </w:p>
        </w:tc>
        <w:tc>
          <w:tcPr>
            <w:tcW w:w="2907" w:type="dxa"/>
          </w:tcPr>
          <w:p>
            <w:pPr>
              <w:pStyle w:val="TableText"/>
            </w:pPr>
            <w:r>
              <w:rPr>
                <w:b/>
                <w:bCs/>
                <w:sz w:val="17"/>
                <w:szCs w:val="17"/>
              </w:rPr>
              <w:t xml:space="preserve">Exchange Server Standard (Server)</w:t>
            </w:r>
          </w:p>
        </w:tc>
        <w:tc>
          <w:tcPr>
            <w:tcW w:w="934" w:type="dxa"/>
          </w:tcPr>
          <w:p>
            <w:pPr>
              <w:pStyle w:val="TableText"/>
              <w:jc w:val="right"/>
            </w:pPr>
            <w:r>
              <w:rPr>
                <w:sz w:val="17"/>
                <w:szCs w:val="17"/>
              </w:rPr>
              <w:t xml:space="preserve">1</w:t>
            </w:r>
          </w:p>
        </w:tc>
        <w:tc>
          <w:tcPr>
            <w:tcW w:w="1051" w:type="dxa"/>
          </w:tcPr>
          <w:p>
            <w:pPr>
              <w:pStyle w:val="TableText"/>
              <w:jc w:val="right"/>
            </w:pPr>
            <w:r>
              <w:rPr>
                <w:sz w:val="17"/>
                <w:szCs w:val="17"/>
              </w:rPr>
              <w:t xml:space="preserve">1</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tcPr>
          <w:p>
            <w:pPr>
              <w:pStyle w:val="TableText"/>
            </w:pPr>
            <w:r>
              <w:rPr>
                <w:sz w:val="17"/>
                <w:szCs w:val="17"/>
              </w:rPr>
              <w:t xml:space="preserve">Low</w:t>
            </w:r>
          </w:p>
        </w:tc>
        <w:tc>
          <w:tcPr>
            <w:tcW w:w="3037" w:type="dxa"/>
          </w:tcPr>
          <w:p>
            <w:pPr>
              <w:pStyle w:val="TableText"/>
            </w:pPr>
            <w:r>
              <w:rPr>
                <w:sz w:val="15"/>
                <w:szCs w:val="15"/>
              </w:rPr>
              <w:t xml:space="preserve">EXCH01</w:t>
            </w:r>
          </w:p>
        </w:tc>
      </w:tr>
      <w:tr>
        <w:trPr>
          <w:cantSplit/>
        </w:trPr>
        <w:tc>
          <w:tcPr>
            <w:tcW w:w="1460" w:type="dxa"/>
            <w:shd w:val="clear" w:color="auto" w:fill="F7F9FB"/>
          </w:tcPr>
          <w:p>
            <w:pPr>
              <w:pStyle w:val="TableText"/>
            </w:pPr>
            <w:r>
              <w:rPr>
                <w:color w:val="5B6475"/>
                <w:sz w:val="17"/>
                <w:szCs w:val="17"/>
              </w:rPr>
              <w:t xml:space="preserve">Exchange Server</w:t>
            </w:r>
          </w:p>
        </w:tc>
        <w:tc>
          <w:tcPr>
            <w:tcW w:w="2907" w:type="dxa"/>
            <w:shd w:val="clear" w:color="auto" w:fill="F7F9FB"/>
          </w:tcPr>
          <w:p>
            <w:pPr>
              <w:pStyle w:val="TableText"/>
            </w:pPr>
            <w:r>
              <w:rPr>
                <w:b/>
                <w:bCs/>
                <w:sz w:val="17"/>
                <w:szCs w:val="17"/>
              </w:rPr>
              <w:t xml:space="preserve">Exchange Server Standard CAL (User)</w:t>
            </w:r>
          </w:p>
        </w:tc>
        <w:tc>
          <w:tcPr>
            <w:tcW w:w="934" w:type="dxa"/>
            <w:shd w:val="clear" w:color="auto" w:fill="F7F9FB"/>
          </w:tcPr>
          <w:p>
            <w:pPr>
              <w:pStyle w:val="TableText"/>
              <w:jc w:val="right"/>
            </w:pPr>
            <w:r>
              <w:rPr>
                <w:sz w:val="17"/>
                <w:szCs w:val="17"/>
              </w:rPr>
              <w:t xml:space="preserve">168</w:t>
            </w:r>
          </w:p>
        </w:tc>
        <w:tc>
          <w:tcPr>
            <w:tcW w:w="1051" w:type="dxa"/>
            <w:shd w:val="clear" w:color="auto" w:fill="F7F9FB"/>
          </w:tcPr>
          <w:p>
            <w:pPr>
              <w:pStyle w:val="TableText"/>
              <w:jc w:val="right"/>
            </w:pPr>
            <w:r>
              <w:rPr>
                <w:sz w:val="17"/>
                <w:szCs w:val="17"/>
              </w:rPr>
              <w:t xml:space="preserve">270</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102</w:t>
            </w:r>
          </w:p>
        </w:tc>
        <w:tc>
          <w:tcPr>
            <w:tcW w:w="796" w:type="dxa"/>
            <w:shd w:val="clear" w:color="auto" w:fill="F7F9FB"/>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shd w:val="clear" w:color="auto" w:fill="F7F9FB"/>
          </w:tcPr>
          <w:p>
            <w:pPr>
              <w:pStyle w:val="TableText"/>
            </w:pPr>
            <w:r>
              <w:rPr>
                <w:sz w:val="17"/>
                <w:szCs w:val="17"/>
              </w:rPr>
              <w:t xml:space="preserve">Low</w:t>
            </w:r>
          </w:p>
        </w:tc>
        <w:tc>
          <w:tcPr>
            <w:tcW w:w="3037" w:type="dxa"/>
            <w:shd w:val="clear" w:color="auto" w:fill="F7F9FB"/>
          </w:tcPr>
          <w:p>
            <w:pPr>
              <w:pStyle w:val="TableText"/>
            </w:pPr>
            <w:r>
              <w:rPr>
                <w:sz w:val="15"/>
                <w:szCs w:val="15"/>
              </w:rPr>
              <w:t xml:space="preserve">Organization</w:t>
            </w:r>
          </w:p>
        </w:tc>
      </w:tr>
      <w:tr>
        <w:trPr>
          <w:cantSplit/>
        </w:trPr>
        <w:tc>
          <w:tcPr>
            <w:tcW w:w="1460" w:type="dxa"/>
          </w:tcPr>
          <w:p>
            <w:pPr>
              <w:pStyle w:val="TableText"/>
            </w:pPr>
            <w:r>
              <w:rPr>
                <w:color w:val="5B6475"/>
                <w:sz w:val="17"/>
                <w:szCs w:val="17"/>
              </w:rPr>
              <w:t xml:space="preserve">Microsoft 365</w:t>
            </w:r>
          </w:p>
        </w:tc>
        <w:tc>
          <w:tcPr>
            <w:tcW w:w="2907" w:type="dxa"/>
          </w:tcPr>
          <w:p>
            <w:pPr>
              <w:pStyle w:val="TableText"/>
            </w:pPr>
            <w:r>
              <w:rPr>
                <w:b/>
                <w:bCs/>
                <w:sz w:val="17"/>
                <w:szCs w:val="17"/>
              </w:rPr>
              <w:t xml:space="preserve">Microsoft 365 Apps desktop rights (User)</w:t>
            </w:r>
          </w:p>
        </w:tc>
        <w:tc>
          <w:tcPr>
            <w:tcW w:w="934" w:type="dxa"/>
          </w:tcPr>
          <w:p>
            <w:pPr>
              <w:pStyle w:val="TableText"/>
              <w:jc w:val="right"/>
            </w:pPr>
            <w:r>
              <w:rPr>
                <w:sz w:val="17"/>
                <w:szCs w:val="17"/>
              </w:rPr>
              <w:t xml:space="preserve">10</w:t>
            </w:r>
          </w:p>
        </w:tc>
        <w:tc>
          <w:tcPr>
            <w:tcW w:w="1051" w:type="dxa"/>
          </w:tcPr>
          <w:p>
            <w:pPr>
              <w:pStyle w:val="TableText"/>
              <w:jc w:val="right"/>
            </w:pPr>
            <w:r>
              <w:rPr>
                <w:sz w:val="17"/>
                <w:szCs w:val="17"/>
              </w:rPr>
              <w:t xml:space="preserve">180</w:t>
            </w:r>
          </w:p>
        </w:tc>
        <w:tc>
          <w:tcPr>
            <w:tcW w:w="938" w:type="dxa"/>
          </w:tcPr>
          <w:p>
            <w:pPr>
              <w:pStyle w:val="TableText"/>
              <w:jc w:val="right"/>
            </w:pPr>
            <w:r>
              <w:rPr>
                <w:sz w:val="17"/>
                <w:szCs w:val="17"/>
              </w:rPr>
              <w:t xml:space="preserve">165</w:t>
            </w:r>
          </w:p>
        </w:tc>
        <w:tc>
          <w:tcPr>
            <w:tcW w:w="1000" w:type="dxa"/>
          </w:tcPr>
          <w:p>
            <w:pPr>
              <w:pStyle w:val="TableText"/>
              <w:jc w:val="right"/>
            </w:pPr>
            <w:r>
              <w:rPr>
                <w:sz w:val="17"/>
                <w:szCs w:val="17"/>
              </w:rPr>
              <w:t xml:space="preserve">15</w:t>
            </w:r>
          </w:p>
        </w:tc>
        <w:tc>
          <w:tcPr>
            <w:tcW w:w="796" w:type="dxa"/>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Organization</w:t>
            </w:r>
          </w:p>
        </w:tc>
      </w:tr>
      <w:tr>
        <w:trPr>
          <w:cantSplit/>
        </w:trPr>
        <w:tc>
          <w:tcPr>
            <w:tcW w:w="1460" w:type="dxa"/>
            <w:shd w:val="clear" w:color="auto" w:fill="F7F9FB"/>
          </w:tcPr>
          <w:p>
            <w:pPr>
              <w:pStyle w:val="TableText"/>
            </w:pPr>
            <w:r>
              <w:rPr>
                <w:color w:val="5B6475"/>
                <w:sz w:val="17"/>
                <w:szCs w:val="17"/>
              </w:rPr>
              <w:t xml:space="preserve">Microsoft Entra ID</w:t>
            </w:r>
          </w:p>
        </w:tc>
        <w:tc>
          <w:tcPr>
            <w:tcW w:w="2907" w:type="dxa"/>
            <w:shd w:val="clear" w:color="auto" w:fill="F7F9FB"/>
          </w:tcPr>
          <w:p>
            <w:pPr>
              <w:pStyle w:val="TableText"/>
            </w:pPr>
            <w:r>
              <w:rPr>
                <w:b/>
                <w:bCs/>
                <w:sz w:val="17"/>
                <w:szCs w:val="17"/>
              </w:rPr>
              <w:t xml:space="preserve">Microsoft Entra ID P1 (User)</w:t>
            </w:r>
          </w:p>
        </w:tc>
        <w:tc>
          <w:tcPr>
            <w:tcW w:w="934" w:type="dxa"/>
            <w:shd w:val="clear" w:color="auto" w:fill="F7F9FB"/>
          </w:tcPr>
          <w:p>
            <w:pPr>
              <w:pStyle w:val="TableText"/>
              <w:jc w:val="right"/>
            </w:pPr>
            <w:r>
              <w:rPr>
                <w:sz w:val="17"/>
                <w:szCs w:val="17"/>
              </w:rPr>
              <w:t xml:space="preserve">168</w:t>
            </w:r>
          </w:p>
        </w:tc>
        <w:tc>
          <w:tcPr>
            <w:tcW w:w="1051" w:type="dxa"/>
            <w:shd w:val="clear" w:color="auto" w:fill="F7F9FB"/>
          </w:tcPr>
          <w:p>
            <w:pPr>
              <w:pStyle w:val="TableText"/>
              <w:jc w:val="right"/>
            </w:pPr>
            <w:r>
              <w:rPr>
                <w:sz w:val="17"/>
                <w:szCs w:val="17"/>
              </w:rPr>
              <w:t xml:space="preserve">150</w:t>
            </w:r>
          </w:p>
        </w:tc>
        <w:tc>
          <w:tcPr>
            <w:tcW w:w="938" w:type="dxa"/>
            <w:shd w:val="clear" w:color="auto" w:fill="F7F9FB"/>
          </w:tcPr>
          <w:p>
            <w:pPr>
              <w:pStyle w:val="TableText"/>
              <w:jc w:val="right"/>
            </w:pPr>
            <w:r>
              <w:rPr>
                <w:sz w:val="17"/>
                <w:szCs w:val="17"/>
              </w:rPr>
              <w:t xml:space="preserve">141</w:t>
            </w:r>
          </w:p>
        </w:tc>
        <w:tc>
          <w:tcPr>
            <w:tcW w:w="1000" w:type="dxa"/>
            <w:shd w:val="clear" w:color="auto" w:fill="F7F9FB"/>
          </w:tcPr>
          <w:p>
            <w:pPr>
              <w:pStyle w:val="TableText"/>
              <w:jc w:val="right"/>
            </w:pPr>
            <w:r>
              <w:rPr>
                <w:sz w:val="17"/>
                <w:szCs w:val="17"/>
              </w:rPr>
              <w:t xml:space="preserve">9</w:t>
            </w:r>
          </w:p>
        </w:tc>
        <w:tc>
          <w:tcPr>
            <w:tcW w:w="796" w:type="dxa"/>
            <w:shd w:val="clear" w:color="auto" w:fill="F7F9FB"/>
          </w:tcPr>
          <w:p>
            <w:pPr>
              <w:pStyle w:val="TableText"/>
              <w:jc w:val="right"/>
            </w:pPr>
            <w:r>
              <w:rPr>
                <w:b/>
                <w:bCs/>
                <w:color w:val="C62828"/>
                <w:sz w:val="17"/>
                <w:szCs w:val="17"/>
              </w:rPr>
              <w:t xml:space="preserve">18</w:t>
            </w:r>
          </w:p>
        </w:tc>
        <w:tc>
          <w:tcPr>
            <w:tcW w:w="1461" w:type="dxa"/>
            <w:shd w:val="clear" w:color="auto" w:fill="FFF2CC"/>
          </w:tcPr>
          <w:p>
            <w:pPr>
              <w:pStyle w:val="TableText"/>
            </w:pPr>
            <w:r>
              <w:rPr>
                <w:b/>
                <w:bCs/>
                <w:color w:val="7A5600"/>
                <w:sz w:val="17"/>
                <w:szCs w:val="17"/>
              </w:rPr>
              <w:t xml:space="preserve">Partially Covered</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Demo Company (demo tenant)</w:t>
            </w:r>
          </w:p>
        </w:tc>
      </w:tr>
      <w:tr>
        <w:trPr>
          <w:cantSplit/>
        </w:trPr>
        <w:tc>
          <w:tcPr>
            <w:tcW w:w="1460" w:type="dxa"/>
          </w:tcPr>
          <w:p>
            <w:pPr>
              <w:pStyle w:val="TableText"/>
            </w:pPr>
            <w:r>
              <w:rPr>
                <w:color w:val="5B6475"/>
                <w:sz w:val="17"/>
                <w:szCs w:val="17"/>
              </w:rPr>
              <w:t xml:space="preserve">Microsoft Entra ID</w:t>
            </w:r>
          </w:p>
        </w:tc>
        <w:tc>
          <w:tcPr>
            <w:tcW w:w="2907" w:type="dxa"/>
          </w:tcPr>
          <w:p>
            <w:pPr>
              <w:pStyle w:val="TableText"/>
            </w:pPr>
            <w:r>
              <w:rPr>
                <w:b/>
                <w:bCs/>
                <w:sz w:val="17"/>
                <w:szCs w:val="17"/>
              </w:rPr>
              <w:t xml:space="preserve">Microsoft Entra ID P2 (User)</w:t>
            </w:r>
          </w:p>
        </w:tc>
        <w:tc>
          <w:tcPr>
            <w:tcW w:w="934" w:type="dxa"/>
          </w:tcPr>
          <w:p>
            <w:pPr>
              <w:pStyle w:val="TableText"/>
              <w:jc w:val="right"/>
            </w:pPr>
            <w:r>
              <w:rPr>
                <w:sz w:val="17"/>
                <w:szCs w:val="17"/>
              </w:rPr>
              <w:t xml:space="preserve">5</w:t>
            </w:r>
          </w:p>
        </w:tc>
        <w:tc>
          <w:tcPr>
            <w:tcW w:w="1051" w:type="dxa"/>
          </w:tcPr>
          <w:p>
            <w:pPr>
              <w:pStyle w:val="TableText"/>
              <w:jc w:val="right"/>
            </w:pPr>
            <w:r>
              <w:rPr>
                <w:sz w:val="17"/>
                <w:szCs w:val="17"/>
              </w:rPr>
              <w:t xml:space="preserve">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b/>
                <w:bCs/>
                <w:color w:val="C62828"/>
                <w:sz w:val="17"/>
                <w:szCs w:val="17"/>
              </w:rPr>
              <w:t xml:space="preserve">5</w:t>
            </w:r>
          </w:p>
        </w:tc>
        <w:tc>
          <w:tcPr>
            <w:tcW w:w="1461" w:type="dxa"/>
            <w:shd w:val="clear" w:color="auto" w:fill="FCE4E4"/>
          </w:tcPr>
          <w:p>
            <w:pPr>
              <w:pStyle w:val="TableText"/>
            </w:pPr>
            <w:r>
              <w:rPr>
                <w:b/>
                <w:bCs/>
                <w:color w:val="A61B1B"/>
                <w:sz w:val="17"/>
                <w:szCs w:val="17"/>
              </w:rPr>
              <w:t xml:space="preserve">Potential Gap</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Demo Company (demo tenant)</w:t>
            </w:r>
          </w:p>
        </w:tc>
      </w:tr>
      <w:tr>
        <w:trPr>
          <w:cantSplit/>
        </w:trPr>
        <w:tc>
          <w:tcPr>
            <w:tcW w:w="1460" w:type="dxa"/>
            <w:shd w:val="clear" w:color="auto" w:fill="F7F9FB"/>
          </w:tcPr>
          <w:p>
            <w:pPr>
              <w:pStyle w:val="TableText"/>
            </w:pPr>
            <w:r>
              <w:rPr>
                <w:color w:val="5B6475"/>
                <w:sz w:val="17"/>
                <w:szCs w:val="17"/>
              </w:rPr>
              <w:t xml:space="preserve">Microsoft Intune</w:t>
            </w:r>
          </w:p>
        </w:tc>
        <w:tc>
          <w:tcPr>
            <w:tcW w:w="2907" w:type="dxa"/>
            <w:shd w:val="clear" w:color="auto" w:fill="F7F9FB"/>
          </w:tcPr>
          <w:p>
            <w:pPr>
              <w:pStyle w:val="TableText"/>
            </w:pPr>
            <w:r>
              <w:rPr>
                <w:b/>
                <w:bCs/>
                <w:sz w:val="17"/>
                <w:szCs w:val="17"/>
              </w:rPr>
              <w:t xml:space="preserve">Microsoft Intune Plan 1 (User)</w:t>
            </w:r>
          </w:p>
        </w:tc>
        <w:tc>
          <w:tcPr>
            <w:tcW w:w="934" w:type="dxa"/>
            <w:shd w:val="clear" w:color="auto" w:fill="F7F9FB"/>
          </w:tcPr>
          <w:p>
            <w:pPr>
              <w:pStyle w:val="TableText"/>
              <w:jc w:val="right"/>
            </w:pPr>
            <w:r>
              <w:rPr>
                <w:sz w:val="17"/>
                <w:szCs w:val="17"/>
              </w:rPr>
              <w:t xml:space="preserve">150</w:t>
            </w:r>
          </w:p>
        </w:tc>
        <w:tc>
          <w:tcPr>
            <w:tcW w:w="1051" w:type="dxa"/>
            <w:shd w:val="clear" w:color="auto" w:fill="F7F9FB"/>
          </w:tcPr>
          <w:p>
            <w:pPr>
              <w:pStyle w:val="TableText"/>
              <w:jc w:val="right"/>
            </w:pPr>
            <w:r>
              <w:rPr>
                <w:sz w:val="17"/>
                <w:szCs w:val="17"/>
              </w:rPr>
              <w:t xml:space="preserve">150</w:t>
            </w:r>
          </w:p>
        </w:tc>
        <w:tc>
          <w:tcPr>
            <w:tcW w:w="938" w:type="dxa"/>
            <w:shd w:val="clear" w:color="auto" w:fill="F7F9FB"/>
          </w:tcPr>
          <w:p>
            <w:pPr>
              <w:pStyle w:val="TableText"/>
              <w:jc w:val="right"/>
            </w:pPr>
            <w:r>
              <w:rPr>
                <w:sz w:val="17"/>
                <w:szCs w:val="17"/>
              </w:rPr>
              <w:t xml:space="preserve">141</w:t>
            </w:r>
          </w:p>
        </w:tc>
        <w:tc>
          <w:tcPr>
            <w:tcW w:w="1000" w:type="dxa"/>
            <w:shd w:val="clear" w:color="auto" w:fill="F7F9FB"/>
          </w:tcPr>
          <w:p>
            <w:pPr>
              <w:pStyle w:val="TableText"/>
              <w:jc w:val="right"/>
            </w:pPr>
            <w:r>
              <w:rPr>
                <w:sz w:val="17"/>
                <w:szCs w:val="17"/>
              </w:rPr>
              <w:t xml:space="preserve">9</w:t>
            </w:r>
          </w:p>
        </w:tc>
        <w:tc>
          <w:tcPr>
            <w:tcW w:w="796" w:type="dxa"/>
            <w:shd w:val="clear" w:color="auto" w:fill="F7F9FB"/>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shd w:val="clear" w:color="auto" w:fill="F7F9FB"/>
          </w:tcPr>
          <w:p>
            <w:pPr>
              <w:pStyle w:val="TableText"/>
            </w:pPr>
            <w:r>
              <w:rPr>
                <w:sz w:val="17"/>
                <w:szCs w:val="17"/>
              </w:rPr>
              <w:t xml:space="preserve">High</w:t>
            </w:r>
          </w:p>
        </w:tc>
        <w:tc>
          <w:tcPr>
            <w:tcW w:w="3037" w:type="dxa"/>
            <w:shd w:val="clear" w:color="auto" w:fill="F7F9FB"/>
          </w:tcPr>
          <w:p>
            <w:pPr>
              <w:pStyle w:val="TableText"/>
            </w:pPr>
            <w:r>
              <w:rPr>
                <w:sz w:val="15"/>
                <w:szCs w:val="15"/>
              </w:rPr>
              <w:t xml:space="preserve">Demo Company (demo tenant)</w:t>
            </w:r>
          </w:p>
        </w:tc>
      </w:tr>
      <w:tr>
        <w:trPr>
          <w:cantSplit/>
        </w:trPr>
        <w:tc>
          <w:tcPr>
            <w:tcW w:w="1460" w:type="dxa"/>
          </w:tcPr>
          <w:p>
            <w:pPr>
              <w:pStyle w:val="TableText"/>
            </w:pPr>
            <w:r>
              <w:rPr>
                <w:color w:val="5B6475"/>
                <w:sz w:val="17"/>
                <w:szCs w:val="17"/>
              </w:rPr>
              <w:t xml:space="preserve">Office</w:t>
            </w:r>
          </w:p>
        </w:tc>
        <w:tc>
          <w:tcPr>
            <w:tcW w:w="2907" w:type="dxa"/>
          </w:tcPr>
          <w:p>
            <w:pPr>
              <w:pStyle w:val="TableText"/>
            </w:pPr>
            <w:r>
              <w:rPr>
                <w:b/>
                <w:bCs/>
                <w:sz w:val="17"/>
                <w:szCs w:val="17"/>
              </w:rPr>
              <w:t xml:space="preserve">Office Home &amp; Business (Device)</w:t>
            </w:r>
          </w:p>
        </w:tc>
        <w:tc>
          <w:tcPr>
            <w:tcW w:w="934" w:type="dxa"/>
          </w:tcPr>
          <w:p>
            <w:pPr>
              <w:pStyle w:val="TableText"/>
              <w:jc w:val="right"/>
            </w:pPr>
            <w:r>
              <w:rPr>
                <w:sz w:val="17"/>
                <w:szCs w:val="17"/>
              </w:rPr>
              <w:t xml:space="preserve">1</w:t>
            </w:r>
          </w:p>
        </w:tc>
        <w:tc>
          <w:tcPr>
            <w:tcW w:w="1051" w:type="dxa"/>
          </w:tcPr>
          <w:p>
            <w:pPr>
              <w:pStyle w:val="TableText"/>
              <w:jc w:val="right"/>
            </w:pPr>
            <w:r>
              <w:rPr>
                <w:sz w:val="17"/>
                <w:szCs w:val="17"/>
              </w:rPr>
              <w:t xml:space="preserve">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b/>
                <w:bCs/>
                <w:color w:val="C62828"/>
                <w:sz w:val="17"/>
                <w:szCs w:val="17"/>
              </w:rPr>
              <w:t xml:space="preserve">1</w:t>
            </w:r>
          </w:p>
        </w:tc>
        <w:tc>
          <w:tcPr>
            <w:tcW w:w="1461" w:type="dxa"/>
            <w:shd w:val="clear" w:color="auto" w:fill="F0E4F7"/>
          </w:tcPr>
          <w:p>
            <w:pPr>
              <w:pStyle w:val="TableText"/>
            </w:pPr>
            <w:r>
              <w:rPr>
                <w:b/>
                <w:bCs/>
                <w:color w:val="5E1A8A"/>
                <w:sz w:val="17"/>
                <w:szCs w:val="17"/>
              </w:rPr>
              <w:t xml:space="preserve">Validation Required</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PC-007</w:t>
            </w:r>
          </w:p>
        </w:tc>
      </w:tr>
      <w:tr>
        <w:trPr>
          <w:cantSplit/>
        </w:trPr>
        <w:tc>
          <w:tcPr>
            <w:tcW w:w="1460" w:type="dxa"/>
            <w:shd w:val="clear" w:color="auto" w:fill="F7F9FB"/>
          </w:tcPr>
          <w:p>
            <w:pPr>
              <w:pStyle w:val="TableText"/>
            </w:pPr>
            <w:r>
              <w:rPr>
                <w:color w:val="5B6475"/>
                <w:sz w:val="17"/>
                <w:szCs w:val="17"/>
              </w:rPr>
              <w:t xml:space="preserve">Office</w:t>
            </w:r>
          </w:p>
        </w:tc>
        <w:tc>
          <w:tcPr>
            <w:tcW w:w="2907" w:type="dxa"/>
            <w:shd w:val="clear" w:color="auto" w:fill="F7F9FB"/>
          </w:tcPr>
          <w:p>
            <w:pPr>
              <w:pStyle w:val="TableText"/>
            </w:pPr>
            <w:r>
              <w:rPr>
                <w:b/>
                <w:bCs/>
                <w:sz w:val="17"/>
                <w:szCs w:val="17"/>
              </w:rPr>
              <w:t xml:space="preserve">Office Professional Plus / LTSC Professional Plus (Device)</w:t>
            </w:r>
          </w:p>
        </w:tc>
        <w:tc>
          <w:tcPr>
            <w:tcW w:w="934" w:type="dxa"/>
            <w:shd w:val="clear" w:color="auto" w:fill="F7F9FB"/>
          </w:tcPr>
          <w:p>
            <w:pPr>
              <w:pStyle w:val="TableText"/>
              <w:jc w:val="right"/>
            </w:pPr>
            <w:r>
              <w:rPr>
                <w:sz w:val="17"/>
                <w:szCs w:val="17"/>
              </w:rPr>
              <w:t xml:space="preserve">42</w:t>
            </w:r>
          </w:p>
        </w:tc>
        <w:tc>
          <w:tcPr>
            <w:tcW w:w="1051" w:type="dxa"/>
            <w:shd w:val="clear" w:color="auto" w:fill="F7F9FB"/>
          </w:tcPr>
          <w:p>
            <w:pPr>
              <w:pStyle w:val="TableText"/>
              <w:jc w:val="right"/>
            </w:pPr>
            <w:r>
              <w:rPr>
                <w:sz w:val="17"/>
                <w:szCs w:val="17"/>
              </w:rPr>
              <w:t xml:space="preserve">5</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0</w:t>
            </w:r>
          </w:p>
        </w:tc>
        <w:tc>
          <w:tcPr>
            <w:tcW w:w="796" w:type="dxa"/>
            <w:shd w:val="clear" w:color="auto" w:fill="F7F9FB"/>
          </w:tcPr>
          <w:p>
            <w:pPr>
              <w:pStyle w:val="TableText"/>
              <w:jc w:val="right"/>
            </w:pPr>
            <w:r>
              <w:rPr>
                <w:b/>
                <w:bCs/>
                <w:color w:val="C62828"/>
                <w:sz w:val="17"/>
                <w:szCs w:val="17"/>
              </w:rPr>
              <w:t xml:space="preserve">37</w:t>
            </w:r>
          </w:p>
        </w:tc>
        <w:tc>
          <w:tcPr>
            <w:tcW w:w="1461" w:type="dxa"/>
            <w:shd w:val="clear" w:color="auto" w:fill="F0E4F7"/>
          </w:tcPr>
          <w:p>
            <w:pPr>
              <w:pStyle w:val="TableText"/>
            </w:pPr>
            <w:r>
              <w:rPr>
                <w:b/>
                <w:bCs/>
                <w:color w:val="5E1A8A"/>
                <w:sz w:val="17"/>
                <w:szCs w:val="17"/>
              </w:rPr>
              <w:t xml:space="preserve">Validation Required</w:t>
            </w:r>
          </w:p>
        </w:tc>
        <w:tc>
          <w:tcPr>
            <w:tcW w:w="1100" w:type="dxa"/>
            <w:shd w:val="clear" w:color="auto" w:fill="F7F9FB"/>
          </w:tcPr>
          <w:p>
            <w:pPr>
              <w:pStyle w:val="TableText"/>
            </w:pPr>
            <w:r>
              <w:rPr>
                <w:sz w:val="17"/>
                <w:szCs w:val="17"/>
              </w:rPr>
              <w:t xml:space="preserve">Low</w:t>
            </w:r>
          </w:p>
        </w:tc>
        <w:tc>
          <w:tcPr>
            <w:tcW w:w="3037" w:type="dxa"/>
            <w:shd w:val="clear" w:color="auto" w:fill="F7F9FB"/>
          </w:tcPr>
          <w:p>
            <w:pPr>
              <w:pStyle w:val="TableText"/>
            </w:pPr>
            <w:r>
              <w:rPr>
                <w:sz w:val="15"/>
                <w:szCs w:val="15"/>
              </w:rPr>
              <w:t xml:space="preserve">RDS01</w:t>
            </w:r>
          </w:p>
        </w:tc>
      </w:tr>
      <w:tr>
        <w:trPr>
          <w:cantSplit/>
        </w:trPr>
        <w:tc>
          <w:tcPr>
            <w:tcW w:w="1460" w:type="dxa"/>
          </w:tcPr>
          <w:p>
            <w:pPr>
              <w:pStyle w:val="TableText"/>
            </w:pPr>
            <w:r>
              <w:rPr>
                <w:color w:val="5B6475"/>
                <w:sz w:val="17"/>
                <w:szCs w:val="17"/>
              </w:rPr>
              <w:t xml:space="preserve">Office</w:t>
            </w:r>
          </w:p>
        </w:tc>
        <w:tc>
          <w:tcPr>
            <w:tcW w:w="2907" w:type="dxa"/>
          </w:tcPr>
          <w:p>
            <w:pPr>
              <w:pStyle w:val="TableText"/>
            </w:pPr>
            <w:r>
              <w:rPr>
                <w:b/>
                <w:bCs/>
                <w:sz w:val="17"/>
                <w:szCs w:val="17"/>
              </w:rPr>
              <w:t xml:space="preserve">Office Standard / LTSC Standard (Device)</w:t>
            </w:r>
          </w:p>
        </w:tc>
        <w:tc>
          <w:tcPr>
            <w:tcW w:w="934" w:type="dxa"/>
          </w:tcPr>
          <w:p>
            <w:pPr>
              <w:pStyle w:val="TableText"/>
              <w:jc w:val="right"/>
            </w:pPr>
            <w:r>
              <w:rPr>
                <w:sz w:val="17"/>
                <w:szCs w:val="17"/>
              </w:rPr>
              <w:t xml:space="preserve">1</w:t>
            </w:r>
          </w:p>
        </w:tc>
        <w:tc>
          <w:tcPr>
            <w:tcW w:w="1051" w:type="dxa"/>
          </w:tcPr>
          <w:p>
            <w:pPr>
              <w:pStyle w:val="TableText"/>
              <w:jc w:val="right"/>
            </w:pPr>
            <w:r>
              <w:rPr>
                <w:sz w:val="17"/>
                <w:szCs w:val="17"/>
              </w:rPr>
              <w:t xml:space="preserve">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b/>
                <w:bCs/>
                <w:color w:val="C62828"/>
                <w:sz w:val="17"/>
                <w:szCs w:val="17"/>
              </w:rPr>
              <w:t xml:space="preserve">1</w:t>
            </w:r>
          </w:p>
        </w:tc>
        <w:tc>
          <w:tcPr>
            <w:tcW w:w="1461" w:type="dxa"/>
            <w:shd w:val="clear" w:color="auto" w:fill="FCE4E4"/>
          </w:tcPr>
          <w:p>
            <w:pPr>
              <w:pStyle w:val="TableText"/>
            </w:pPr>
            <w:r>
              <w:rPr>
                <w:b/>
                <w:bCs/>
                <w:color w:val="A61B1B"/>
                <w:sz w:val="17"/>
                <w:szCs w:val="17"/>
              </w:rPr>
              <w:t xml:space="preserve">Potential Gap</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PC-012</w:t>
            </w:r>
          </w:p>
        </w:tc>
      </w:tr>
      <w:tr>
        <w:trPr>
          <w:cantSplit/>
        </w:trPr>
        <w:tc>
          <w:tcPr>
            <w:tcW w:w="1460" w:type="dxa"/>
            <w:shd w:val="clear" w:color="auto" w:fill="F7F9FB"/>
          </w:tcPr>
          <w:p>
            <w:pPr>
              <w:pStyle w:val="TableText"/>
            </w:pPr>
            <w:r>
              <w:rPr>
                <w:color w:val="5B6475"/>
                <w:sz w:val="17"/>
                <w:szCs w:val="17"/>
              </w:rPr>
              <w:t xml:space="preserve">Remote Desktop Services</w:t>
            </w:r>
          </w:p>
        </w:tc>
        <w:tc>
          <w:tcPr>
            <w:tcW w:w="2907" w:type="dxa"/>
            <w:shd w:val="clear" w:color="auto" w:fill="F7F9FB"/>
          </w:tcPr>
          <w:p>
            <w:pPr>
              <w:pStyle w:val="TableText"/>
            </w:pPr>
            <w:r>
              <w:rPr>
                <w:b/>
                <w:bCs/>
                <w:sz w:val="17"/>
                <w:szCs w:val="17"/>
              </w:rPr>
              <w:t xml:space="preserve">Remote Desktop Services CAL (User)</w:t>
            </w:r>
          </w:p>
        </w:tc>
        <w:tc>
          <w:tcPr>
            <w:tcW w:w="934" w:type="dxa"/>
            <w:shd w:val="clear" w:color="auto" w:fill="F7F9FB"/>
          </w:tcPr>
          <w:p>
            <w:pPr>
              <w:pStyle w:val="TableText"/>
              <w:jc w:val="right"/>
            </w:pPr>
            <w:r>
              <w:rPr>
                <w:sz w:val="17"/>
                <w:szCs w:val="17"/>
              </w:rPr>
              <w:t xml:space="preserve">42</w:t>
            </w:r>
          </w:p>
        </w:tc>
        <w:tc>
          <w:tcPr>
            <w:tcW w:w="1051" w:type="dxa"/>
            <w:shd w:val="clear" w:color="auto" w:fill="F7F9FB"/>
          </w:tcPr>
          <w:p>
            <w:pPr>
              <w:pStyle w:val="TableText"/>
              <w:jc w:val="right"/>
            </w:pPr>
            <w:r>
              <w:rPr>
                <w:sz w:val="17"/>
                <w:szCs w:val="17"/>
              </w:rPr>
              <w:t xml:space="preserve">25</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25</w:t>
            </w:r>
          </w:p>
        </w:tc>
        <w:tc>
          <w:tcPr>
            <w:tcW w:w="796" w:type="dxa"/>
            <w:shd w:val="clear" w:color="auto" w:fill="F7F9FB"/>
          </w:tcPr>
          <w:p>
            <w:pPr>
              <w:pStyle w:val="TableText"/>
              <w:jc w:val="right"/>
            </w:pPr>
            <w:r>
              <w:rPr>
                <w:b/>
                <w:bCs/>
                <w:color w:val="C62828"/>
                <w:sz w:val="17"/>
                <w:szCs w:val="17"/>
              </w:rPr>
              <w:t xml:space="preserve">42</w:t>
            </w:r>
          </w:p>
        </w:tc>
        <w:tc>
          <w:tcPr>
            <w:tcW w:w="1461" w:type="dxa"/>
            <w:shd w:val="clear" w:color="auto" w:fill="FCE4E4"/>
          </w:tcPr>
          <w:p>
            <w:pPr>
              <w:pStyle w:val="TableText"/>
            </w:pPr>
            <w:r>
              <w:rPr>
                <w:b/>
                <w:bCs/>
                <w:color w:val="A61B1B"/>
                <w:sz w:val="17"/>
                <w:szCs w:val="17"/>
              </w:rPr>
              <w:t xml:space="preserve">Potential Gap</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Organization</w:t>
            </w:r>
          </w:p>
        </w:tc>
      </w:tr>
      <w:tr>
        <w:trPr>
          <w:cantSplit/>
        </w:trPr>
        <w:tc>
          <w:tcPr>
            <w:tcW w:w="1460" w:type="dxa"/>
          </w:tcPr>
          <w:p>
            <w:pPr>
              <w:pStyle w:val="TableText"/>
            </w:pPr>
            <w:r>
              <w:rPr>
                <w:color w:val="5B6475"/>
                <w:sz w:val="17"/>
                <w:szCs w:val="17"/>
              </w:rPr>
              <w:t xml:space="preserve">SQL Server</w:t>
            </w:r>
          </w:p>
        </w:tc>
        <w:tc>
          <w:tcPr>
            <w:tcW w:w="2907" w:type="dxa"/>
          </w:tcPr>
          <w:p>
            <w:pPr>
              <w:pStyle w:val="TableText"/>
            </w:pPr>
            <w:r>
              <w:rPr>
                <w:b/>
                <w:bCs/>
                <w:sz w:val="17"/>
                <w:szCs w:val="17"/>
              </w:rPr>
              <w:t xml:space="preserve">SQL Server Enterprise core license</w:t>
            </w:r>
          </w:p>
        </w:tc>
        <w:tc>
          <w:tcPr>
            <w:tcW w:w="934" w:type="dxa"/>
          </w:tcPr>
          <w:p>
            <w:pPr>
              <w:pStyle w:val="TableText"/>
              <w:jc w:val="right"/>
            </w:pPr>
            <w:r>
              <w:rPr>
                <w:sz w:val="17"/>
                <w:szCs w:val="17"/>
              </w:rPr>
              <w:t xml:space="preserve">8</w:t>
            </w:r>
          </w:p>
        </w:tc>
        <w:tc>
          <w:tcPr>
            <w:tcW w:w="1051" w:type="dxa"/>
          </w:tcPr>
          <w:p>
            <w:pPr>
              <w:pStyle w:val="TableText"/>
              <w:jc w:val="right"/>
            </w:pPr>
            <w:r>
              <w:rPr>
                <w:sz w:val="17"/>
                <w:szCs w:val="17"/>
              </w:rPr>
              <w:t xml:space="preserve">4</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b/>
                <w:bCs/>
                <w:color w:val="C62828"/>
                <w:sz w:val="17"/>
                <w:szCs w:val="17"/>
              </w:rPr>
              <w:t xml:space="preserve">8</w:t>
            </w:r>
          </w:p>
        </w:tc>
        <w:tc>
          <w:tcPr>
            <w:tcW w:w="1461" w:type="dxa"/>
            <w:shd w:val="clear" w:color="auto" w:fill="FCE4E4"/>
          </w:tcPr>
          <w:p>
            <w:pPr>
              <w:pStyle w:val="TableText"/>
            </w:pPr>
            <w:r>
              <w:rPr>
                <w:b/>
                <w:bCs/>
                <w:color w:val="A61B1B"/>
                <w:sz w:val="17"/>
                <w:szCs w:val="17"/>
              </w:rPr>
              <w:t xml:space="preserve">Potential Gap</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SQL01</w:t>
            </w:r>
          </w:p>
        </w:tc>
      </w:tr>
      <w:tr>
        <w:trPr>
          <w:cantSplit/>
        </w:trPr>
        <w:tc>
          <w:tcPr>
            <w:tcW w:w="1460" w:type="dxa"/>
            <w:shd w:val="clear" w:color="auto" w:fill="F7F9FB"/>
          </w:tcPr>
          <w:p>
            <w:pPr>
              <w:pStyle w:val="TableText"/>
            </w:pPr>
            <w:r>
              <w:rPr>
                <w:color w:val="5B6475"/>
                <w:sz w:val="17"/>
                <w:szCs w:val="17"/>
              </w:rPr>
              <w:t xml:space="preserve">SQL Server</w:t>
            </w:r>
          </w:p>
        </w:tc>
        <w:tc>
          <w:tcPr>
            <w:tcW w:w="2907" w:type="dxa"/>
            <w:shd w:val="clear" w:color="auto" w:fill="F7F9FB"/>
          </w:tcPr>
          <w:p>
            <w:pPr>
              <w:pStyle w:val="TableText"/>
            </w:pPr>
            <w:r>
              <w:rPr>
                <w:b/>
                <w:bCs/>
                <w:sz w:val="17"/>
                <w:szCs w:val="17"/>
              </w:rPr>
              <w:t xml:space="preserve">SQL Server Standard core license</w:t>
            </w:r>
          </w:p>
        </w:tc>
        <w:tc>
          <w:tcPr>
            <w:tcW w:w="934" w:type="dxa"/>
            <w:shd w:val="clear" w:color="auto" w:fill="F7F9FB"/>
          </w:tcPr>
          <w:p>
            <w:pPr>
              <w:pStyle w:val="TableText"/>
              <w:jc w:val="right"/>
            </w:pPr>
            <w:r>
              <w:rPr>
                <w:sz w:val="17"/>
                <w:szCs w:val="17"/>
              </w:rPr>
              <w:t xml:space="preserve">10</w:t>
            </w:r>
          </w:p>
        </w:tc>
        <w:tc>
          <w:tcPr>
            <w:tcW w:w="1051" w:type="dxa"/>
            <w:shd w:val="clear" w:color="auto" w:fill="F7F9FB"/>
          </w:tcPr>
          <w:p>
            <w:pPr>
              <w:pStyle w:val="TableText"/>
              <w:jc w:val="right"/>
            </w:pPr>
            <w:r>
              <w:rPr>
                <w:sz w:val="17"/>
                <w:szCs w:val="17"/>
              </w:rPr>
              <w:t xml:space="preserve">8</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2</w:t>
            </w:r>
          </w:p>
        </w:tc>
        <w:tc>
          <w:tcPr>
            <w:tcW w:w="796" w:type="dxa"/>
            <w:shd w:val="clear" w:color="auto" w:fill="F7F9FB"/>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APP01, ERP01</w:t>
            </w:r>
          </w:p>
        </w:tc>
      </w:tr>
      <w:tr>
        <w:trPr>
          <w:cantSplit/>
        </w:trPr>
        <w:tc>
          <w:tcPr>
            <w:tcW w:w="1460" w:type="dxa"/>
          </w:tcPr>
          <w:p>
            <w:pPr>
              <w:pStyle w:val="TableText"/>
            </w:pPr>
            <w:r>
              <w:rPr>
                <w:color w:val="5B6475"/>
                <w:sz w:val="17"/>
                <w:szCs w:val="17"/>
              </w:rPr>
              <w:t xml:space="preserve">Visio</w:t>
            </w:r>
          </w:p>
        </w:tc>
        <w:tc>
          <w:tcPr>
            <w:tcW w:w="2907" w:type="dxa"/>
          </w:tcPr>
          <w:p>
            <w:pPr>
              <w:pStyle w:val="TableText"/>
            </w:pPr>
            <w:r>
              <w:rPr>
                <w:b/>
                <w:bCs/>
                <w:sz w:val="17"/>
                <w:szCs w:val="17"/>
              </w:rPr>
              <w:t xml:space="preserve">Visio Plan 2 (User)</w:t>
            </w:r>
          </w:p>
        </w:tc>
        <w:tc>
          <w:tcPr>
            <w:tcW w:w="934" w:type="dxa"/>
          </w:tcPr>
          <w:p>
            <w:pPr>
              <w:pStyle w:val="TableText"/>
              <w:jc w:val="right"/>
            </w:pPr>
            <w:r>
              <w:rPr>
                <w:sz w:val="17"/>
                <w:szCs w:val="17"/>
              </w:rPr>
              <w:t xml:space="preserve">0</w:t>
            </w:r>
          </w:p>
        </w:tc>
        <w:tc>
          <w:tcPr>
            <w:tcW w:w="1051" w:type="dxa"/>
          </w:tcPr>
          <w:p>
            <w:pPr>
              <w:pStyle w:val="TableText"/>
              <w:jc w:val="right"/>
            </w:pPr>
            <w:r>
              <w:rPr>
                <w:sz w:val="17"/>
                <w:szCs w:val="17"/>
              </w:rPr>
              <w:t xml:space="preserve">3</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3</w:t>
            </w:r>
          </w:p>
        </w:tc>
        <w:tc>
          <w:tcPr>
            <w:tcW w:w="796" w:type="dxa"/>
          </w:tcPr>
          <w:p>
            <w:pPr>
              <w:pStyle w:val="TableText"/>
              <w:jc w:val="right"/>
            </w:pPr>
            <w:r>
              <w:rPr>
                <w:sz w:val="17"/>
                <w:szCs w:val="17"/>
              </w:rPr>
              <w:t xml:space="preserve">0</w:t>
            </w:r>
          </w:p>
        </w:tc>
        <w:tc>
          <w:tcPr>
            <w:tcW w:w="1461" w:type="dxa"/>
            <w:shd w:val="clear" w:color="auto" w:fill="E1EDFB"/>
          </w:tcPr>
          <w:p>
            <w:pPr>
              <w:pStyle w:val="TableText"/>
            </w:pPr>
            <w:r>
              <w:rPr>
                <w:b/>
                <w:bCs/>
                <w:color w:val="17508F"/>
                <w:sz w:val="17"/>
                <w:szCs w:val="17"/>
              </w:rPr>
              <w:t xml:space="preserve">Excess / Unused</w:t>
            </w:r>
          </w:p>
        </w:tc>
        <w:tc>
          <w:tcPr>
            <w:tcW w:w="1100" w:type="dxa"/>
          </w:tcPr>
          <w:p>
            <w:pPr>
              <w:pStyle w:val="TableText"/>
            </w:pPr>
            <w:r>
              <w:rPr>
                <w:sz w:val="17"/>
                <w:szCs w:val="17"/>
              </w:rPr>
              <w:t xml:space="preserve">Medium</w:t>
            </w:r>
          </w:p>
        </w:tc>
        <w:tc>
          <w:tcPr>
            <w:tcW w:w="3037" w:type="dxa"/>
          </w:tcPr>
          <w:p>
            <w:pPr>
              <w:pStyle w:val="TableText"/>
            </w:pPr>
          </w:p>
        </w:tc>
      </w:tr>
      <w:tr>
        <w:trPr>
          <w:cantSplit/>
        </w:trPr>
        <w:tc>
          <w:tcPr>
            <w:tcW w:w="1460" w:type="dxa"/>
            <w:shd w:val="clear" w:color="auto" w:fill="F7F9FB"/>
          </w:tcPr>
          <w:p>
            <w:pPr>
              <w:pStyle w:val="TableText"/>
            </w:pPr>
            <w:r>
              <w:rPr>
                <w:color w:val="5B6475"/>
                <w:sz w:val="17"/>
                <w:szCs w:val="17"/>
              </w:rPr>
              <w:t xml:space="preserve">Visio</w:t>
            </w:r>
          </w:p>
        </w:tc>
        <w:tc>
          <w:tcPr>
            <w:tcW w:w="2907" w:type="dxa"/>
            <w:shd w:val="clear" w:color="auto" w:fill="F7F9FB"/>
          </w:tcPr>
          <w:p>
            <w:pPr>
              <w:pStyle w:val="TableText"/>
            </w:pPr>
            <w:r>
              <w:rPr>
                <w:b/>
                <w:bCs/>
                <w:sz w:val="17"/>
                <w:szCs w:val="17"/>
              </w:rPr>
              <w:t xml:space="preserve">Visio Professional (Device)</w:t>
            </w:r>
          </w:p>
        </w:tc>
        <w:tc>
          <w:tcPr>
            <w:tcW w:w="934" w:type="dxa"/>
            <w:shd w:val="clear" w:color="auto" w:fill="F7F9FB"/>
          </w:tcPr>
          <w:p>
            <w:pPr>
              <w:pStyle w:val="TableText"/>
              <w:jc w:val="right"/>
            </w:pPr>
            <w:r>
              <w:rPr>
                <w:sz w:val="17"/>
                <w:szCs w:val="17"/>
              </w:rPr>
              <w:t xml:space="preserve">1</w:t>
            </w:r>
          </w:p>
        </w:tc>
        <w:tc>
          <w:tcPr>
            <w:tcW w:w="1051" w:type="dxa"/>
            <w:shd w:val="clear" w:color="auto" w:fill="F7F9FB"/>
          </w:tcPr>
          <w:p>
            <w:pPr>
              <w:pStyle w:val="TableText"/>
              <w:jc w:val="right"/>
            </w:pPr>
            <w:r>
              <w:rPr>
                <w:sz w:val="17"/>
                <w:szCs w:val="17"/>
              </w:rPr>
              <w:t xml:space="preserve">0</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0</w:t>
            </w:r>
          </w:p>
        </w:tc>
        <w:tc>
          <w:tcPr>
            <w:tcW w:w="796" w:type="dxa"/>
            <w:shd w:val="clear" w:color="auto" w:fill="F7F9FB"/>
          </w:tcPr>
          <w:p>
            <w:pPr>
              <w:pStyle w:val="TableText"/>
              <w:jc w:val="right"/>
            </w:pPr>
            <w:r>
              <w:rPr>
                <w:b/>
                <w:bCs/>
                <w:color w:val="C62828"/>
                <w:sz w:val="17"/>
                <w:szCs w:val="17"/>
              </w:rPr>
              <w:t xml:space="preserve">1</w:t>
            </w:r>
          </w:p>
        </w:tc>
        <w:tc>
          <w:tcPr>
            <w:tcW w:w="1461" w:type="dxa"/>
            <w:shd w:val="clear" w:color="auto" w:fill="FCE4E4"/>
          </w:tcPr>
          <w:p>
            <w:pPr>
              <w:pStyle w:val="TableText"/>
            </w:pPr>
            <w:r>
              <w:rPr>
                <w:b/>
                <w:bCs/>
                <w:color w:val="A61B1B"/>
                <w:sz w:val="17"/>
                <w:szCs w:val="17"/>
              </w:rPr>
              <w:t xml:space="preserve">Potential Gap</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PC-008</w:t>
            </w:r>
          </w:p>
        </w:tc>
      </w:tr>
      <w:tr>
        <w:trPr>
          <w:cantSplit/>
        </w:trPr>
        <w:tc>
          <w:tcPr>
            <w:tcW w:w="1460" w:type="dxa"/>
          </w:tcPr>
          <w:p>
            <w:pPr>
              <w:pStyle w:val="TableText"/>
            </w:pPr>
            <w:r>
              <w:rPr>
                <w:color w:val="5B6475"/>
                <w:sz w:val="17"/>
                <w:szCs w:val="17"/>
              </w:rPr>
              <w:t xml:space="preserve">Visual Studio</w:t>
            </w:r>
          </w:p>
        </w:tc>
        <w:tc>
          <w:tcPr>
            <w:tcW w:w="2907" w:type="dxa"/>
          </w:tcPr>
          <w:p>
            <w:pPr>
              <w:pStyle w:val="TableText"/>
            </w:pPr>
            <w:r>
              <w:rPr>
                <w:b/>
                <w:bCs/>
                <w:sz w:val="17"/>
                <w:szCs w:val="17"/>
              </w:rPr>
              <w:t xml:space="preserve">Visual Studio Professional subscription (User)</w:t>
            </w:r>
          </w:p>
        </w:tc>
        <w:tc>
          <w:tcPr>
            <w:tcW w:w="934" w:type="dxa"/>
          </w:tcPr>
          <w:p>
            <w:pPr>
              <w:pStyle w:val="TableText"/>
              <w:jc w:val="right"/>
            </w:pPr>
            <w:r>
              <w:rPr>
                <w:sz w:val="17"/>
                <w:szCs w:val="17"/>
              </w:rPr>
              <w:t xml:space="preserve">1</w:t>
            </w:r>
          </w:p>
        </w:tc>
        <w:tc>
          <w:tcPr>
            <w:tcW w:w="1051" w:type="dxa"/>
          </w:tcPr>
          <w:p>
            <w:pPr>
              <w:pStyle w:val="TableText"/>
              <w:jc w:val="right"/>
            </w:pPr>
            <w:r>
              <w:rPr>
                <w:sz w:val="17"/>
                <w:szCs w:val="17"/>
              </w:rPr>
              <w:t xml:space="preserve">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b/>
                <w:bCs/>
                <w:color w:val="C62828"/>
                <w:sz w:val="17"/>
                <w:szCs w:val="17"/>
              </w:rPr>
              <w:t xml:space="preserve">1</w:t>
            </w:r>
          </w:p>
        </w:tc>
        <w:tc>
          <w:tcPr>
            <w:tcW w:w="1461" w:type="dxa"/>
            <w:shd w:val="clear" w:color="auto" w:fill="FCE4E4"/>
          </w:tcPr>
          <w:p>
            <w:pPr>
              <w:pStyle w:val="TableText"/>
            </w:pPr>
            <w:r>
              <w:rPr>
                <w:b/>
                <w:bCs/>
                <w:color w:val="A61B1B"/>
                <w:sz w:val="17"/>
                <w:szCs w:val="17"/>
              </w:rPr>
              <w:t xml:space="preserve">Potential Gap</w:t>
            </w:r>
          </w:p>
        </w:tc>
        <w:tc>
          <w:tcPr>
            <w:tcW w:w="1100" w:type="dxa"/>
          </w:tcPr>
          <w:p>
            <w:pPr>
              <w:pStyle w:val="TableText"/>
            </w:pPr>
            <w:r>
              <w:rPr>
                <w:sz w:val="17"/>
                <w:szCs w:val="17"/>
              </w:rPr>
              <w:t xml:space="preserve">Low</w:t>
            </w:r>
          </w:p>
        </w:tc>
        <w:tc>
          <w:tcPr>
            <w:tcW w:w="3037" w:type="dxa"/>
          </w:tcPr>
          <w:p>
            <w:pPr>
              <w:pStyle w:val="TableText"/>
            </w:pPr>
            <w:r>
              <w:rPr>
                <w:sz w:val="15"/>
                <w:szCs w:val="15"/>
              </w:rPr>
              <w:t xml:space="preserve">Organization</w:t>
            </w:r>
          </w:p>
        </w:tc>
      </w:tr>
      <w:tr>
        <w:trPr>
          <w:cantSplit/>
        </w:trPr>
        <w:tc>
          <w:tcPr>
            <w:tcW w:w="1460" w:type="dxa"/>
            <w:shd w:val="clear" w:color="auto" w:fill="F7F9FB"/>
          </w:tcPr>
          <w:p>
            <w:pPr>
              <w:pStyle w:val="TableText"/>
            </w:pPr>
            <w:r>
              <w:rPr>
                <w:color w:val="5B6475"/>
                <w:sz w:val="17"/>
                <w:szCs w:val="17"/>
              </w:rPr>
              <w:t xml:space="preserve">Windows</w:t>
            </w:r>
          </w:p>
        </w:tc>
        <w:tc>
          <w:tcPr>
            <w:tcW w:w="2907" w:type="dxa"/>
            <w:shd w:val="clear" w:color="auto" w:fill="F7F9FB"/>
          </w:tcPr>
          <w:p>
            <w:pPr>
              <w:pStyle w:val="TableText"/>
            </w:pPr>
            <w:r>
              <w:rPr>
                <w:b/>
                <w:bCs/>
                <w:sz w:val="17"/>
                <w:szCs w:val="17"/>
              </w:rPr>
              <w:t xml:space="preserve">Windows Enterprise E3/E5 (User)</w:t>
            </w:r>
          </w:p>
        </w:tc>
        <w:tc>
          <w:tcPr>
            <w:tcW w:w="934" w:type="dxa"/>
            <w:shd w:val="clear" w:color="auto" w:fill="F7F9FB"/>
          </w:tcPr>
          <w:p>
            <w:pPr>
              <w:pStyle w:val="TableText"/>
              <w:jc w:val="right"/>
            </w:pPr>
            <w:r>
              <w:rPr>
                <w:sz w:val="17"/>
                <w:szCs w:val="17"/>
              </w:rPr>
              <w:t xml:space="preserve">0</w:t>
            </w:r>
          </w:p>
        </w:tc>
        <w:tc>
          <w:tcPr>
            <w:tcW w:w="1051" w:type="dxa"/>
            <w:shd w:val="clear" w:color="auto" w:fill="F7F9FB"/>
          </w:tcPr>
          <w:p>
            <w:pPr>
              <w:pStyle w:val="TableText"/>
              <w:jc w:val="right"/>
            </w:pPr>
            <w:r>
              <w:rPr>
                <w:sz w:val="17"/>
                <w:szCs w:val="17"/>
              </w:rPr>
              <w:t xml:space="preserve">150</w:t>
            </w:r>
          </w:p>
        </w:tc>
        <w:tc>
          <w:tcPr>
            <w:tcW w:w="938" w:type="dxa"/>
            <w:shd w:val="clear" w:color="auto" w:fill="F7F9FB"/>
          </w:tcPr>
          <w:p>
            <w:pPr>
              <w:pStyle w:val="TableText"/>
              <w:jc w:val="right"/>
            </w:pPr>
            <w:r>
              <w:rPr>
                <w:sz w:val="17"/>
                <w:szCs w:val="17"/>
              </w:rPr>
              <w:t xml:space="preserve">141</w:t>
            </w:r>
          </w:p>
        </w:tc>
        <w:tc>
          <w:tcPr>
            <w:tcW w:w="1000" w:type="dxa"/>
            <w:shd w:val="clear" w:color="auto" w:fill="F7F9FB"/>
          </w:tcPr>
          <w:p>
            <w:pPr>
              <w:pStyle w:val="TableText"/>
              <w:jc w:val="right"/>
            </w:pPr>
            <w:r>
              <w:rPr>
                <w:sz w:val="17"/>
                <w:szCs w:val="17"/>
              </w:rPr>
              <w:t xml:space="preserve">9</w:t>
            </w:r>
          </w:p>
        </w:tc>
        <w:tc>
          <w:tcPr>
            <w:tcW w:w="796" w:type="dxa"/>
            <w:shd w:val="clear" w:color="auto" w:fill="F7F9FB"/>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shd w:val="clear" w:color="auto" w:fill="F7F9FB"/>
          </w:tcPr>
          <w:p>
            <w:pPr>
              <w:pStyle w:val="TableText"/>
            </w:pPr>
            <w:r>
              <w:rPr>
                <w:sz w:val="17"/>
                <w:szCs w:val="17"/>
              </w:rPr>
              <w:t xml:space="preserve">High</w:t>
            </w:r>
          </w:p>
        </w:tc>
        <w:tc>
          <w:tcPr>
            <w:tcW w:w="3037" w:type="dxa"/>
            <w:shd w:val="clear" w:color="auto" w:fill="F7F9FB"/>
          </w:tcPr>
          <w:p>
            <w:pPr>
              <w:pStyle w:val="TableText"/>
            </w:pPr>
          </w:p>
        </w:tc>
      </w:tr>
      <w:tr>
        <w:trPr>
          <w:cantSplit/>
        </w:trPr>
        <w:tc>
          <w:tcPr>
            <w:tcW w:w="1460" w:type="dxa"/>
          </w:tcPr>
          <w:p>
            <w:pPr>
              <w:pStyle w:val="TableText"/>
            </w:pPr>
            <w:r>
              <w:rPr>
                <w:color w:val="5B6475"/>
                <w:sz w:val="17"/>
                <w:szCs w:val="17"/>
              </w:rPr>
              <w:t xml:space="preserve">Windows</w:t>
            </w:r>
          </w:p>
        </w:tc>
        <w:tc>
          <w:tcPr>
            <w:tcW w:w="2907" w:type="dxa"/>
          </w:tcPr>
          <w:p>
            <w:pPr>
              <w:pStyle w:val="TableText"/>
            </w:pPr>
            <w:r>
              <w:rPr>
                <w:b/>
                <w:bCs/>
                <w:sz w:val="17"/>
                <w:szCs w:val="17"/>
              </w:rPr>
              <w:t xml:space="preserve">Windows Enterprise right (Device)</w:t>
            </w:r>
          </w:p>
        </w:tc>
        <w:tc>
          <w:tcPr>
            <w:tcW w:w="934" w:type="dxa"/>
          </w:tcPr>
          <w:p>
            <w:pPr>
              <w:pStyle w:val="TableText"/>
              <w:jc w:val="right"/>
            </w:pPr>
            <w:r>
              <w:rPr>
                <w:sz w:val="17"/>
                <w:szCs w:val="17"/>
              </w:rPr>
              <w:t xml:space="preserve">1</w:t>
            </w:r>
          </w:p>
        </w:tc>
        <w:tc>
          <w:tcPr>
            <w:tcW w:w="1051" w:type="dxa"/>
          </w:tcPr>
          <w:p>
            <w:pPr>
              <w:pStyle w:val="TableText"/>
              <w:jc w:val="right"/>
            </w:pPr>
            <w:r>
              <w:rPr>
                <w:sz w:val="17"/>
                <w:szCs w:val="17"/>
              </w:rPr>
              <w:t xml:space="preserve">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0</w:t>
            </w:r>
          </w:p>
        </w:tc>
        <w:tc>
          <w:tcPr>
            <w:tcW w:w="796" w:type="dxa"/>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PC-009</w:t>
            </w:r>
          </w:p>
        </w:tc>
      </w:tr>
      <w:tr>
        <w:trPr>
          <w:cantSplit/>
        </w:trPr>
        <w:tc>
          <w:tcPr>
            <w:tcW w:w="1460" w:type="dxa"/>
            <w:shd w:val="clear" w:color="auto" w:fill="F7F9FB"/>
          </w:tcPr>
          <w:p>
            <w:pPr>
              <w:pStyle w:val="TableText"/>
            </w:pPr>
            <w:r>
              <w:rPr>
                <w:color w:val="5B6475"/>
                <w:sz w:val="17"/>
                <w:szCs w:val="17"/>
              </w:rPr>
              <w:t xml:space="preserve">Windows</w:t>
            </w:r>
          </w:p>
        </w:tc>
        <w:tc>
          <w:tcPr>
            <w:tcW w:w="2907" w:type="dxa"/>
            <w:shd w:val="clear" w:color="auto" w:fill="F7F9FB"/>
          </w:tcPr>
          <w:p>
            <w:pPr>
              <w:pStyle w:val="TableText"/>
            </w:pPr>
            <w:r>
              <w:rPr>
                <w:b/>
                <w:bCs/>
                <w:sz w:val="17"/>
                <w:szCs w:val="17"/>
              </w:rPr>
              <w:t xml:space="preserve">Windows Pro qualifying license (Device)</w:t>
            </w:r>
          </w:p>
        </w:tc>
        <w:tc>
          <w:tcPr>
            <w:tcW w:w="934" w:type="dxa"/>
            <w:shd w:val="clear" w:color="auto" w:fill="F7F9FB"/>
          </w:tcPr>
          <w:p>
            <w:pPr>
              <w:pStyle w:val="TableText"/>
              <w:jc w:val="right"/>
            </w:pPr>
            <w:r>
              <w:rPr>
                <w:sz w:val="17"/>
                <w:szCs w:val="17"/>
              </w:rPr>
              <w:t xml:space="preserve">1</w:t>
            </w:r>
          </w:p>
        </w:tc>
        <w:tc>
          <w:tcPr>
            <w:tcW w:w="1051" w:type="dxa"/>
            <w:shd w:val="clear" w:color="auto" w:fill="F7F9FB"/>
          </w:tcPr>
          <w:p>
            <w:pPr>
              <w:pStyle w:val="TableText"/>
              <w:jc w:val="right"/>
            </w:pPr>
            <w:r>
              <w:rPr>
                <w:sz w:val="17"/>
                <w:szCs w:val="17"/>
              </w:rPr>
              <w:t xml:space="preserve">3</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2</w:t>
            </w:r>
          </w:p>
        </w:tc>
        <w:tc>
          <w:tcPr>
            <w:tcW w:w="796" w:type="dxa"/>
            <w:shd w:val="clear" w:color="auto" w:fill="F7F9FB"/>
          </w:tcPr>
          <w:p>
            <w:pPr>
              <w:pStyle w:val="TableText"/>
              <w:jc w:val="right"/>
            </w:pPr>
            <w:r>
              <w:rPr>
                <w:sz w:val="17"/>
                <w:szCs w:val="17"/>
              </w:rPr>
              <w:t xml:space="preserve">0</w:t>
            </w:r>
          </w:p>
        </w:tc>
        <w:tc>
          <w:tcPr>
            <w:tcW w:w="1461" w:type="dxa"/>
            <w:shd w:val="clear" w:color="auto" w:fill="E3F2E5"/>
          </w:tcPr>
          <w:p>
            <w:pPr>
              <w:pStyle w:val="TableText"/>
            </w:pPr>
            <w:r>
              <w:rPr>
                <w:b/>
                <w:bCs/>
                <w:color w:val="1E6B2A"/>
                <w:sz w:val="17"/>
                <w:szCs w:val="17"/>
              </w:rPr>
              <w:t xml:space="preserve">Covered</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PC-005</w:t>
            </w:r>
          </w:p>
        </w:tc>
      </w:tr>
      <w:tr>
        <w:trPr>
          <w:cantSplit/>
        </w:trPr>
        <w:tc>
          <w:tcPr>
            <w:tcW w:w="1460" w:type="dxa"/>
          </w:tcPr>
          <w:p>
            <w:pPr>
              <w:pStyle w:val="TableText"/>
            </w:pPr>
            <w:r>
              <w:rPr>
                <w:color w:val="5B6475"/>
                <w:sz w:val="17"/>
                <w:szCs w:val="17"/>
              </w:rPr>
              <w:t xml:space="preserve">Windows Server</w:t>
            </w:r>
          </w:p>
        </w:tc>
        <w:tc>
          <w:tcPr>
            <w:tcW w:w="2907" w:type="dxa"/>
          </w:tcPr>
          <w:p>
            <w:pPr>
              <w:pStyle w:val="TableText"/>
            </w:pPr>
            <w:r>
              <w:rPr>
                <w:b/>
                <w:bCs/>
                <w:sz w:val="17"/>
                <w:szCs w:val="17"/>
              </w:rPr>
              <w:t xml:space="preserve">Windows Server CAL (User)</w:t>
            </w:r>
          </w:p>
        </w:tc>
        <w:tc>
          <w:tcPr>
            <w:tcW w:w="934" w:type="dxa"/>
          </w:tcPr>
          <w:p>
            <w:pPr>
              <w:pStyle w:val="TableText"/>
              <w:jc w:val="right"/>
            </w:pPr>
            <w:r>
              <w:rPr>
                <w:sz w:val="17"/>
                <w:szCs w:val="17"/>
              </w:rPr>
              <w:t xml:space="preserve">168</w:t>
            </w:r>
          </w:p>
        </w:tc>
        <w:tc>
          <w:tcPr>
            <w:tcW w:w="1051" w:type="dxa"/>
          </w:tcPr>
          <w:p>
            <w:pPr>
              <w:pStyle w:val="TableText"/>
              <w:jc w:val="right"/>
            </w:pPr>
            <w:r>
              <w:rPr>
                <w:sz w:val="17"/>
                <w:szCs w:val="17"/>
              </w:rPr>
              <w:t xml:space="preserve">250</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100</w:t>
            </w:r>
          </w:p>
        </w:tc>
        <w:tc>
          <w:tcPr>
            <w:tcW w:w="796" w:type="dxa"/>
          </w:tcPr>
          <w:p>
            <w:pPr>
              <w:pStyle w:val="TableText"/>
              <w:jc w:val="right"/>
            </w:pPr>
            <w:r>
              <w:rPr>
                <w:b/>
                <w:bCs/>
                <w:color w:val="C62828"/>
                <w:sz w:val="17"/>
                <w:szCs w:val="17"/>
              </w:rPr>
              <w:t xml:space="preserve">18</w:t>
            </w:r>
          </w:p>
        </w:tc>
        <w:tc>
          <w:tcPr>
            <w:tcW w:w="1461" w:type="dxa"/>
            <w:shd w:val="clear" w:color="auto" w:fill="FFF2CC"/>
          </w:tcPr>
          <w:p>
            <w:pPr>
              <w:pStyle w:val="TableText"/>
            </w:pPr>
            <w:r>
              <w:rPr>
                <w:b/>
                <w:bCs/>
                <w:color w:val="7A5600"/>
                <w:sz w:val="17"/>
                <w:szCs w:val="17"/>
              </w:rPr>
              <w:t xml:space="preserve">Partially Covered</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Organization</w:t>
            </w:r>
          </w:p>
        </w:tc>
      </w:tr>
      <w:tr>
        <w:trPr>
          <w:cantSplit/>
        </w:trPr>
        <w:tc>
          <w:tcPr>
            <w:tcW w:w="1460" w:type="dxa"/>
            <w:shd w:val="clear" w:color="auto" w:fill="F7F9FB"/>
          </w:tcPr>
          <w:p>
            <w:pPr>
              <w:pStyle w:val="TableText"/>
            </w:pPr>
            <w:r>
              <w:rPr>
                <w:color w:val="5B6475"/>
                <w:sz w:val="17"/>
                <w:szCs w:val="17"/>
              </w:rPr>
              <w:t xml:space="preserve">Windows Server</w:t>
            </w:r>
          </w:p>
        </w:tc>
        <w:tc>
          <w:tcPr>
            <w:tcW w:w="2907" w:type="dxa"/>
            <w:shd w:val="clear" w:color="auto" w:fill="F7F9FB"/>
          </w:tcPr>
          <w:p>
            <w:pPr>
              <w:pStyle w:val="TableText"/>
            </w:pPr>
            <w:r>
              <w:rPr>
                <w:b/>
                <w:bCs/>
                <w:sz w:val="17"/>
                <w:szCs w:val="17"/>
              </w:rPr>
              <w:t xml:space="preserve">Windows Server Datacenter core license</w:t>
            </w:r>
          </w:p>
        </w:tc>
        <w:tc>
          <w:tcPr>
            <w:tcW w:w="934" w:type="dxa"/>
            <w:shd w:val="clear" w:color="auto" w:fill="F7F9FB"/>
          </w:tcPr>
          <w:p>
            <w:pPr>
              <w:pStyle w:val="TableText"/>
              <w:jc w:val="right"/>
            </w:pPr>
            <w:r>
              <w:rPr>
                <w:sz w:val="17"/>
                <w:szCs w:val="17"/>
              </w:rPr>
              <w:t xml:space="preserve">80</w:t>
            </w:r>
          </w:p>
        </w:tc>
        <w:tc>
          <w:tcPr>
            <w:tcW w:w="1051" w:type="dxa"/>
            <w:shd w:val="clear" w:color="auto" w:fill="F7F9FB"/>
          </w:tcPr>
          <w:p>
            <w:pPr>
              <w:pStyle w:val="TableText"/>
              <w:jc w:val="right"/>
            </w:pPr>
            <w:r>
              <w:rPr>
                <w:sz w:val="17"/>
                <w:szCs w:val="17"/>
              </w:rPr>
              <w:t xml:space="preserve">48</w:t>
            </w:r>
          </w:p>
        </w:tc>
        <w:tc>
          <w:tcPr>
            <w:tcW w:w="938" w:type="dxa"/>
            <w:shd w:val="clear" w:color="auto" w:fill="F7F9FB"/>
          </w:tcPr>
          <w:p>
            <w:pPr>
              <w:pStyle w:val="TableText"/>
              <w:jc w:val="right"/>
            </w:pPr>
            <w:r>
              <w:rPr>
                <w:sz w:val="17"/>
                <w:szCs w:val="17"/>
              </w:rPr>
              <w:t xml:space="preserve">–</w:t>
            </w:r>
          </w:p>
        </w:tc>
        <w:tc>
          <w:tcPr>
            <w:tcW w:w="1000" w:type="dxa"/>
            <w:shd w:val="clear" w:color="auto" w:fill="F7F9FB"/>
          </w:tcPr>
          <w:p>
            <w:pPr>
              <w:pStyle w:val="TableText"/>
              <w:jc w:val="right"/>
            </w:pPr>
            <w:r>
              <w:rPr>
                <w:sz w:val="17"/>
                <w:szCs w:val="17"/>
              </w:rPr>
              <w:t xml:space="preserve">0</w:t>
            </w:r>
          </w:p>
        </w:tc>
        <w:tc>
          <w:tcPr>
            <w:tcW w:w="796" w:type="dxa"/>
            <w:shd w:val="clear" w:color="auto" w:fill="F7F9FB"/>
          </w:tcPr>
          <w:p>
            <w:pPr>
              <w:pStyle w:val="TableText"/>
              <w:jc w:val="right"/>
            </w:pPr>
            <w:r>
              <w:rPr>
                <w:b/>
                <w:bCs/>
                <w:color w:val="C62828"/>
                <w:sz w:val="17"/>
                <w:szCs w:val="17"/>
              </w:rPr>
              <w:t xml:space="preserve">32</w:t>
            </w:r>
          </w:p>
        </w:tc>
        <w:tc>
          <w:tcPr>
            <w:tcW w:w="1461" w:type="dxa"/>
            <w:shd w:val="clear" w:color="auto" w:fill="FFF2CC"/>
          </w:tcPr>
          <w:p>
            <w:pPr>
              <w:pStyle w:val="TableText"/>
            </w:pPr>
            <w:r>
              <w:rPr>
                <w:b/>
                <w:bCs/>
                <w:color w:val="7A5600"/>
                <w:sz w:val="17"/>
                <w:szCs w:val="17"/>
              </w:rPr>
              <w:t xml:space="preserve">Partially Covered</w:t>
            </w:r>
          </w:p>
        </w:tc>
        <w:tc>
          <w:tcPr>
            <w:tcW w:w="1100" w:type="dxa"/>
            <w:shd w:val="clear" w:color="auto" w:fill="F7F9FB"/>
          </w:tcPr>
          <w:p>
            <w:pPr>
              <w:pStyle w:val="TableText"/>
            </w:pPr>
            <w:r>
              <w:rPr>
                <w:sz w:val="17"/>
                <w:szCs w:val="17"/>
              </w:rPr>
              <w:t xml:space="preserve">Medium</w:t>
            </w:r>
          </w:p>
        </w:tc>
        <w:tc>
          <w:tcPr>
            <w:tcW w:w="3037" w:type="dxa"/>
            <w:shd w:val="clear" w:color="auto" w:fill="F7F9FB"/>
          </w:tcPr>
          <w:p>
            <w:pPr>
              <w:pStyle w:val="TableText"/>
            </w:pPr>
            <w:r>
              <w:rPr>
                <w:sz w:val="15"/>
                <w:szCs w:val="15"/>
              </w:rPr>
              <w:t xml:space="preserve">HV01, HV02</w:t>
            </w:r>
          </w:p>
        </w:tc>
      </w:tr>
      <w:tr>
        <w:trPr>
          <w:cantSplit/>
        </w:trPr>
        <w:tc>
          <w:tcPr>
            <w:tcW w:w="1460" w:type="dxa"/>
          </w:tcPr>
          <w:p>
            <w:pPr>
              <w:pStyle w:val="TableText"/>
            </w:pPr>
            <w:r>
              <w:rPr>
                <w:color w:val="5B6475"/>
                <w:sz w:val="17"/>
                <w:szCs w:val="17"/>
              </w:rPr>
              <w:t xml:space="preserve">Windows Server</w:t>
            </w:r>
          </w:p>
        </w:tc>
        <w:tc>
          <w:tcPr>
            <w:tcW w:w="2907" w:type="dxa"/>
          </w:tcPr>
          <w:p>
            <w:pPr>
              <w:pStyle w:val="TableText"/>
            </w:pPr>
            <w:r>
              <w:rPr>
                <w:b/>
                <w:bCs/>
                <w:sz w:val="17"/>
                <w:szCs w:val="17"/>
              </w:rPr>
              <w:t xml:space="preserve">Windows Server Standard core license</w:t>
            </w:r>
          </w:p>
        </w:tc>
        <w:tc>
          <w:tcPr>
            <w:tcW w:w="934" w:type="dxa"/>
          </w:tcPr>
          <w:p>
            <w:pPr>
              <w:pStyle w:val="TableText"/>
              <w:jc w:val="right"/>
            </w:pPr>
            <w:r>
              <w:rPr>
                <w:sz w:val="17"/>
                <w:szCs w:val="17"/>
              </w:rPr>
              <w:t xml:space="preserve">112</w:t>
            </w:r>
          </w:p>
        </w:tc>
        <w:tc>
          <w:tcPr>
            <w:tcW w:w="1051" w:type="dxa"/>
          </w:tcPr>
          <w:p>
            <w:pPr>
              <w:pStyle w:val="TableText"/>
              <w:jc w:val="right"/>
            </w:pPr>
            <w:r>
              <w:rPr>
                <w:sz w:val="17"/>
                <w:szCs w:val="17"/>
              </w:rPr>
              <w:t xml:space="preserve">32</w:t>
            </w:r>
          </w:p>
        </w:tc>
        <w:tc>
          <w:tcPr>
            <w:tcW w:w="938" w:type="dxa"/>
          </w:tcPr>
          <w:p>
            <w:pPr>
              <w:pStyle w:val="TableText"/>
              <w:jc w:val="right"/>
            </w:pPr>
            <w:r>
              <w:rPr>
                <w:sz w:val="17"/>
                <w:szCs w:val="17"/>
              </w:rPr>
              <w:t xml:space="preserve">–</w:t>
            </w:r>
          </w:p>
        </w:tc>
        <w:tc>
          <w:tcPr>
            <w:tcW w:w="1000" w:type="dxa"/>
          </w:tcPr>
          <w:p>
            <w:pPr>
              <w:pStyle w:val="TableText"/>
              <w:jc w:val="right"/>
            </w:pPr>
            <w:r>
              <w:rPr>
                <w:sz w:val="17"/>
                <w:szCs w:val="17"/>
              </w:rPr>
              <w:t xml:space="preserve">32</w:t>
            </w:r>
          </w:p>
        </w:tc>
        <w:tc>
          <w:tcPr>
            <w:tcW w:w="796" w:type="dxa"/>
          </w:tcPr>
          <w:p>
            <w:pPr>
              <w:pStyle w:val="TableText"/>
              <w:jc w:val="right"/>
            </w:pPr>
            <w:r>
              <w:rPr>
                <w:b/>
                <w:bCs/>
                <w:color w:val="C62828"/>
                <w:sz w:val="17"/>
                <w:szCs w:val="17"/>
              </w:rPr>
              <w:t xml:space="preserve">112</w:t>
            </w:r>
          </w:p>
        </w:tc>
        <w:tc>
          <w:tcPr>
            <w:tcW w:w="1461" w:type="dxa"/>
            <w:shd w:val="clear" w:color="auto" w:fill="FCE4E4"/>
          </w:tcPr>
          <w:p>
            <w:pPr>
              <w:pStyle w:val="TableText"/>
            </w:pPr>
            <w:r>
              <w:rPr>
                <w:b/>
                <w:bCs/>
                <w:color w:val="A61B1B"/>
                <w:sz w:val="17"/>
                <w:szCs w:val="17"/>
              </w:rPr>
              <w:t xml:space="preserve">Potential Gap</w:t>
            </w:r>
          </w:p>
        </w:tc>
        <w:tc>
          <w:tcPr>
            <w:tcW w:w="1100" w:type="dxa"/>
          </w:tcPr>
          <w:p>
            <w:pPr>
              <w:pStyle w:val="TableText"/>
            </w:pPr>
            <w:r>
              <w:rPr>
                <w:sz w:val="17"/>
                <w:szCs w:val="17"/>
              </w:rPr>
              <w:t xml:space="preserve">Medium</w:t>
            </w:r>
          </w:p>
        </w:tc>
        <w:tc>
          <w:tcPr>
            <w:tcW w:w="3037" w:type="dxa"/>
          </w:tcPr>
          <w:p>
            <w:pPr>
              <w:pStyle w:val="TableText"/>
            </w:pPr>
            <w:r>
              <w:rPr>
                <w:sz w:val="15"/>
                <w:szCs w:val="15"/>
              </w:rPr>
              <w:t xml:space="preserve">ESX01, ESX02</w:t>
            </w:r>
          </w:p>
        </w:tc>
      </w:tr>
    </w:tbl>
    <w:p>
      <w:pPr>
        <w:spacing w:before="0" w:after="0" w:line="240" w:lineRule="auto"/>
        <w:rPr>
          <w:sz w:val="12"/>
          <w:szCs w:val="12"/>
        </w:rPr>
      </w:pPr>
    </w:p>
    <w:p>
      <w:pPr>
        <w:pStyle w:val="Small"/>
      </w:pPr>
      <w:r>
        <w:rPr>
          <w:b/>
          <w:bCs/>
        </w:rPr>
        <w:t xml:space="preserve">Approaching limit: </w:t>
      </w:r>
      <w:r>
        <w:t xml:space="preserve">Exchange Server Standard (Server), Microsoft Intune Plan 1 (User), SQL Server Standard core license — available licenses are within the configured threshold.</w:t>
      </w:r>
    </w:p>
    <w:p>
      <w:pPr>
        <w:pStyle w:val="Small"/>
      </w:pPr>
      <w:r>
        <w:t xml:space="preserve">Rules used per position are listed in the Excel report (AssessmentReport.xlsx) and in the evidence appendix.</w:t>
      </w:r>
    </w:p>
    <w:p>
      <w:pPr>
        <w:pStyle w:val="Heading1"/>
        <w:pageBreakBefore/>
      </w:pPr>
      <w:bookmarkStart w:id="18" w:name="_TocMlat00018"/>
      <w:r>
        <w:t xml:space="preserve">Potential gaps</w:t>
      </w:r>
      <w:bookmarkEnd w:id="18"/>
    </w:p>
    <w:p>
      <w:r>
        <w:t xml:space="preserve">The following license positions show a discovered requirement that exceeds the license inventory supplied. Each is a </w:t>
      </w:r>
      <w:r>
        <w:rPr>
          <w:b/>
          <w:bCs/>
        </w:rPr>
        <w:t xml:space="preserve">potential procurement requirement</w:t>
      </w:r>
      <w:r>
        <w:t xml:space="preserve"> that must be validated against the customer's agreements before ordering.</w:t>
      </w:r>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532"/>
        <w:gridCol w:w="3192"/>
        <w:gridCol w:w="1021"/>
        <w:gridCol w:w="1021"/>
        <w:gridCol w:w="1021"/>
        <w:gridCol w:w="893"/>
        <w:gridCol w:w="1532"/>
        <w:gridCol w:w="1149"/>
        <w:gridCol w:w="3323"/>
      </w:tblGrid>
      <w:tr>
        <w:trPr>
          <w:cantSplit/>
          <w:tblHeader/>
        </w:trPr>
        <w:tc>
          <w:tcPr>
            <w:tcW w:w="1532" w:type="dxa"/>
            <w:shd w:val="clear" w:color="auto" w:fill="1F3A5F"/>
            <w:vAlign w:val="bottom"/>
          </w:tcPr>
          <w:p>
            <w:pPr>
              <w:pStyle w:val="TableText"/>
              <w:keepNext/>
            </w:pPr>
            <w:r>
              <w:rPr>
                <w:b/>
                <w:bCs/>
                <w:color w:val="FFFFFF"/>
                <w:sz w:val="17"/>
                <w:szCs w:val="17"/>
              </w:rPr>
              <w:t xml:space="preserve">Product</w:t>
            </w:r>
          </w:p>
        </w:tc>
        <w:tc>
          <w:tcPr>
            <w:tcW w:w="3192" w:type="dxa"/>
            <w:shd w:val="clear" w:color="auto" w:fill="1F3A5F"/>
            <w:vAlign w:val="bottom"/>
          </w:tcPr>
          <w:p>
            <w:pPr>
              <w:pStyle w:val="TableText"/>
              <w:keepNext/>
            </w:pPr>
            <w:r>
              <w:rPr>
                <w:b/>
                <w:bCs/>
                <w:color w:val="FFFFFF"/>
                <w:sz w:val="17"/>
                <w:szCs w:val="17"/>
              </w:rPr>
              <w:t xml:space="preserve">License</w:t>
            </w:r>
          </w:p>
        </w:tc>
        <w:tc>
          <w:tcPr>
            <w:tcW w:w="1021" w:type="dxa"/>
            <w:shd w:val="clear" w:color="auto" w:fill="1F3A5F"/>
            <w:vAlign w:val="bottom"/>
          </w:tcPr>
          <w:p>
            <w:pPr>
              <w:pStyle w:val="TableText"/>
              <w:keepNext/>
            </w:pPr>
            <w:r>
              <w:rPr>
                <w:b/>
                <w:bCs/>
                <w:color w:val="FFFFFF"/>
                <w:sz w:val="17"/>
                <w:szCs w:val="17"/>
              </w:rPr>
              <w:t xml:space="preserve">Metric</w:t>
            </w:r>
          </w:p>
        </w:tc>
        <w:tc>
          <w:tcPr>
            <w:tcW w:w="1021" w:type="dxa"/>
            <w:shd w:val="clear" w:color="auto" w:fill="1F3A5F"/>
            <w:vAlign w:val="bottom"/>
          </w:tcPr>
          <w:p>
            <w:pPr>
              <w:pStyle w:val="TableText"/>
              <w:keepNext/>
              <w:jc w:val="right"/>
            </w:pPr>
            <w:r>
              <w:rPr>
                <w:b/>
                <w:bCs/>
                <w:color w:val="FFFFFF"/>
                <w:sz w:val="17"/>
                <w:szCs w:val="17"/>
              </w:rPr>
              <w:t xml:space="preserve">Required</w:t>
            </w:r>
          </w:p>
        </w:tc>
        <w:tc>
          <w:tcPr>
            <w:tcW w:w="1021" w:type="dxa"/>
            <w:shd w:val="clear" w:color="auto" w:fill="1F3A5F"/>
            <w:vAlign w:val="bottom"/>
          </w:tcPr>
          <w:p>
            <w:pPr>
              <w:pStyle w:val="TableText"/>
              <w:keepNext/>
              <w:jc w:val="right"/>
            </w:pPr>
            <w:r>
              <w:rPr>
                <w:b/>
                <w:bCs/>
                <w:color w:val="FFFFFF"/>
                <w:sz w:val="17"/>
                <w:szCs w:val="17"/>
              </w:rPr>
              <w:t xml:space="preserve">Covered</w:t>
            </w:r>
          </w:p>
        </w:tc>
        <w:tc>
          <w:tcPr>
            <w:tcW w:w="893" w:type="dxa"/>
            <w:shd w:val="clear" w:color="auto" w:fill="1F3A5F"/>
            <w:vAlign w:val="bottom"/>
          </w:tcPr>
          <w:p>
            <w:pPr>
              <w:pStyle w:val="TableText"/>
              <w:keepNext/>
              <w:jc w:val="right"/>
            </w:pPr>
            <w:r>
              <w:rPr>
                <w:b/>
                <w:bCs/>
                <w:color w:val="FFFFFF"/>
                <w:sz w:val="17"/>
                <w:szCs w:val="17"/>
              </w:rPr>
              <w:t xml:space="preserve">Gap</w:t>
            </w:r>
          </w:p>
        </w:tc>
        <w:tc>
          <w:tcPr>
            <w:tcW w:w="1532" w:type="dxa"/>
            <w:shd w:val="clear" w:color="auto" w:fill="1F3A5F"/>
            <w:vAlign w:val="bottom"/>
          </w:tcPr>
          <w:p>
            <w:pPr>
              <w:pStyle w:val="TableText"/>
              <w:keepNext/>
            </w:pPr>
            <w:r>
              <w:rPr>
                <w:b/>
                <w:bCs/>
                <w:color w:val="FFFFFF"/>
                <w:sz w:val="17"/>
                <w:szCs w:val="17"/>
              </w:rPr>
              <w:t xml:space="preserve">Status</w:t>
            </w:r>
          </w:p>
        </w:tc>
        <w:tc>
          <w:tcPr>
            <w:tcW w:w="1149" w:type="dxa"/>
            <w:shd w:val="clear" w:color="auto" w:fill="1F3A5F"/>
            <w:vAlign w:val="bottom"/>
          </w:tcPr>
          <w:p>
            <w:pPr>
              <w:pStyle w:val="TableText"/>
              <w:keepNext/>
            </w:pPr>
            <w:r>
              <w:rPr>
                <w:b/>
                <w:bCs/>
                <w:color w:val="FFFFFF"/>
                <w:sz w:val="17"/>
                <w:szCs w:val="17"/>
              </w:rPr>
              <w:t xml:space="preserve">Confidence</w:t>
            </w:r>
          </w:p>
        </w:tc>
        <w:tc>
          <w:tcPr>
            <w:tcW w:w="3323" w:type="dxa"/>
            <w:shd w:val="clear" w:color="auto" w:fill="1F3A5F"/>
            <w:vAlign w:val="bottom"/>
          </w:tcPr>
          <w:p>
            <w:pPr>
              <w:pStyle w:val="TableText"/>
              <w:keepNext/>
            </w:pPr>
            <w:r>
              <w:rPr>
                <w:b/>
                <w:bCs/>
                <w:color w:val="FFFFFF"/>
                <w:sz w:val="17"/>
                <w:szCs w:val="17"/>
              </w:rPr>
              <w:t xml:space="preserve">Notes</w:t>
            </w:r>
          </w:p>
        </w:tc>
      </w:tr>
      <w:tr>
        <w:trPr>
          <w:cantSplit/>
        </w:trPr>
        <w:tc>
          <w:tcPr>
            <w:tcW w:w="1532" w:type="dxa"/>
          </w:tcPr>
          <w:p>
            <w:pPr>
              <w:pStyle w:val="TableText"/>
            </w:pPr>
            <w:r>
              <w:rPr>
                <w:color w:val="5B6475"/>
                <w:sz w:val="17"/>
                <w:szCs w:val="17"/>
              </w:rPr>
              <w:t xml:space="preserve">Windows Server</w:t>
            </w:r>
          </w:p>
        </w:tc>
        <w:tc>
          <w:tcPr>
            <w:tcW w:w="3192" w:type="dxa"/>
          </w:tcPr>
          <w:p>
            <w:pPr>
              <w:pStyle w:val="TableText"/>
            </w:pPr>
            <w:r>
              <w:rPr>
                <w:b/>
                <w:bCs/>
                <w:sz w:val="17"/>
                <w:szCs w:val="17"/>
              </w:rPr>
              <w:t xml:space="preserve">Windows Server Standard core license</w:t>
            </w:r>
          </w:p>
        </w:tc>
        <w:tc>
          <w:tcPr>
            <w:tcW w:w="1021" w:type="dxa"/>
          </w:tcPr>
          <w:p>
            <w:pPr>
              <w:pStyle w:val="TableText"/>
            </w:pPr>
            <w:r>
              <w:rPr>
                <w:sz w:val="17"/>
                <w:szCs w:val="17"/>
              </w:rPr>
              <w:t xml:space="preserve">Core</w:t>
            </w:r>
          </w:p>
        </w:tc>
        <w:tc>
          <w:tcPr>
            <w:tcW w:w="1021" w:type="dxa"/>
          </w:tcPr>
          <w:p>
            <w:pPr>
              <w:pStyle w:val="TableText"/>
              <w:jc w:val="right"/>
            </w:pPr>
            <w:r>
              <w:rPr>
                <w:sz w:val="17"/>
                <w:szCs w:val="17"/>
              </w:rPr>
              <w:t xml:space="preserve">112</w:t>
            </w:r>
          </w:p>
        </w:tc>
        <w:tc>
          <w:tcPr>
            <w:tcW w:w="1021" w:type="dxa"/>
          </w:tcPr>
          <w:p>
            <w:pPr>
              <w:pStyle w:val="TableText"/>
              <w:jc w:val="right"/>
            </w:pPr>
            <w:r>
              <w:rPr>
                <w:sz w:val="17"/>
                <w:szCs w:val="17"/>
              </w:rPr>
              <w:t xml:space="preserve">0</w:t>
            </w:r>
          </w:p>
        </w:tc>
        <w:tc>
          <w:tcPr>
            <w:tcW w:w="893" w:type="dxa"/>
          </w:tcPr>
          <w:p>
            <w:pPr>
              <w:pStyle w:val="TableText"/>
              <w:jc w:val="right"/>
            </w:pPr>
            <w:r>
              <w:rPr>
                <w:b/>
                <w:bCs/>
                <w:color w:val="C62828"/>
                <w:sz w:val="17"/>
                <w:szCs w:val="17"/>
              </w:rPr>
              <w:t xml:space="preserve">112</w:t>
            </w:r>
          </w:p>
        </w:tc>
        <w:tc>
          <w:tcPr>
            <w:tcW w:w="1532" w:type="dxa"/>
            <w:shd w:val="clear" w:color="auto" w:fill="FCE4E4"/>
          </w:tcPr>
          <w:p>
            <w:pPr>
              <w:pStyle w:val="TableText"/>
            </w:pPr>
            <w:r>
              <w:rPr>
                <w:b/>
                <w:bCs/>
                <w:color w:val="A61B1B"/>
                <w:sz w:val="17"/>
                <w:szCs w:val="17"/>
              </w:rPr>
              <w:t xml:space="preserve">Potential Gap</w:t>
            </w:r>
          </w:p>
        </w:tc>
        <w:tc>
          <w:tcPr>
            <w:tcW w:w="1149" w:type="dxa"/>
          </w:tcPr>
          <w:p>
            <w:pPr>
              <w:pStyle w:val="TableText"/>
            </w:pPr>
            <w:r>
              <w:rPr>
                <w:sz w:val="17"/>
                <w:szCs w:val="17"/>
              </w:rPr>
              <w:t xml:space="preserve">Medium</w:t>
            </w:r>
          </w:p>
        </w:tc>
        <w:tc>
          <w:tcPr>
            <w:tcW w:w="3323" w:type="dxa"/>
          </w:tcPr>
          <w:p>
            <w:pPr>
              <w:pStyle w:val="TableText"/>
            </w:pPr>
            <w:r>
              <w:rPr>
                <w:sz w:val="15"/>
                <w:szCs w:val="15"/>
              </w:rPr>
              <w:t xml:space="preserve">Held via: Windows Server 2019 Standard - core licenses [Excel] (32). 32 license(s) held cannot be applied because of their version: Windows Server 2019 Standard - core licenses [Excel] (32 unused, version 2019) - earlier than the deployed version 2022 and no Software Assurance recorded</w:t>
            </w:r>
          </w:p>
        </w:tc>
      </w:tr>
      <w:tr>
        <w:trPr>
          <w:cantSplit/>
        </w:trPr>
        <w:tc>
          <w:tcPr>
            <w:tcW w:w="1532" w:type="dxa"/>
            <w:shd w:val="clear" w:color="auto" w:fill="F7F9FB"/>
          </w:tcPr>
          <w:p>
            <w:pPr>
              <w:pStyle w:val="TableText"/>
            </w:pPr>
            <w:r>
              <w:rPr>
                <w:color w:val="5B6475"/>
                <w:sz w:val="17"/>
                <w:szCs w:val="17"/>
              </w:rPr>
              <w:t xml:space="preserve">Remote Desktop Services</w:t>
            </w:r>
          </w:p>
        </w:tc>
        <w:tc>
          <w:tcPr>
            <w:tcW w:w="3192" w:type="dxa"/>
            <w:shd w:val="clear" w:color="auto" w:fill="F7F9FB"/>
          </w:tcPr>
          <w:p>
            <w:pPr>
              <w:pStyle w:val="TableText"/>
            </w:pPr>
            <w:r>
              <w:rPr>
                <w:b/>
                <w:bCs/>
                <w:sz w:val="17"/>
                <w:szCs w:val="17"/>
              </w:rPr>
              <w:t xml:space="preserve">Remote Desktop Services CAL (User)</w:t>
            </w:r>
          </w:p>
        </w:tc>
        <w:tc>
          <w:tcPr>
            <w:tcW w:w="1021" w:type="dxa"/>
            <w:shd w:val="clear" w:color="auto" w:fill="F7F9FB"/>
          </w:tcPr>
          <w:p>
            <w:pPr>
              <w:pStyle w:val="TableText"/>
            </w:pPr>
            <w:r>
              <w:rPr>
                <w:sz w:val="17"/>
                <w:szCs w:val="17"/>
              </w:rPr>
              <w:t xml:space="preserve">User</w:t>
            </w:r>
          </w:p>
        </w:tc>
        <w:tc>
          <w:tcPr>
            <w:tcW w:w="1021" w:type="dxa"/>
            <w:shd w:val="clear" w:color="auto" w:fill="F7F9FB"/>
          </w:tcPr>
          <w:p>
            <w:pPr>
              <w:pStyle w:val="TableText"/>
              <w:jc w:val="right"/>
            </w:pPr>
            <w:r>
              <w:rPr>
                <w:sz w:val="17"/>
                <w:szCs w:val="17"/>
              </w:rPr>
              <w:t xml:space="preserve">42</w:t>
            </w:r>
          </w:p>
        </w:tc>
        <w:tc>
          <w:tcPr>
            <w:tcW w:w="1021" w:type="dxa"/>
            <w:shd w:val="clear" w:color="auto" w:fill="F7F9FB"/>
          </w:tcPr>
          <w:p>
            <w:pPr>
              <w:pStyle w:val="TableText"/>
              <w:jc w:val="right"/>
            </w:pPr>
            <w:r>
              <w:rPr>
                <w:sz w:val="17"/>
                <w:szCs w:val="17"/>
              </w:rPr>
              <w:t xml:space="preserve">0</w:t>
            </w:r>
          </w:p>
        </w:tc>
        <w:tc>
          <w:tcPr>
            <w:tcW w:w="893" w:type="dxa"/>
            <w:shd w:val="clear" w:color="auto" w:fill="F7F9FB"/>
          </w:tcPr>
          <w:p>
            <w:pPr>
              <w:pStyle w:val="TableText"/>
              <w:jc w:val="right"/>
            </w:pPr>
            <w:r>
              <w:rPr>
                <w:b/>
                <w:bCs/>
                <w:color w:val="C62828"/>
                <w:sz w:val="17"/>
                <w:szCs w:val="17"/>
              </w:rPr>
              <w:t xml:space="preserve">42</w:t>
            </w:r>
          </w:p>
        </w:tc>
        <w:tc>
          <w:tcPr>
            <w:tcW w:w="1532" w:type="dxa"/>
            <w:shd w:val="clear" w:color="auto" w:fill="FCE4E4"/>
          </w:tcPr>
          <w:p>
            <w:pPr>
              <w:pStyle w:val="TableText"/>
            </w:pPr>
            <w:r>
              <w:rPr>
                <w:b/>
                <w:bCs/>
                <w:color w:val="A61B1B"/>
                <w:sz w:val="17"/>
                <w:szCs w:val="17"/>
              </w:rPr>
              <w:t xml:space="preserve">Potential Gap</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r>
              <w:rPr>
                <w:sz w:val="15"/>
                <w:szCs w:val="15"/>
              </w:rPr>
              <w:t xml:space="preserve">Held via: RDS 2019 CAL - User [Excel] (25). 25 license(s) held cannot be applied because of their version: RDS 2019 CAL - User [Excel] (25 unused, version 2019) - earlier than the deployed version 2022 and no Software Assurance recorded</w:t>
            </w:r>
          </w:p>
        </w:tc>
      </w:tr>
      <w:tr>
        <w:trPr>
          <w:cantSplit/>
        </w:trPr>
        <w:tc>
          <w:tcPr>
            <w:tcW w:w="1532" w:type="dxa"/>
          </w:tcPr>
          <w:p>
            <w:pPr>
              <w:pStyle w:val="TableText"/>
            </w:pPr>
            <w:r>
              <w:rPr>
                <w:color w:val="5B6475"/>
                <w:sz w:val="17"/>
                <w:szCs w:val="17"/>
              </w:rPr>
              <w:t xml:space="preserve">SQL Server</w:t>
            </w:r>
          </w:p>
        </w:tc>
        <w:tc>
          <w:tcPr>
            <w:tcW w:w="3192" w:type="dxa"/>
          </w:tcPr>
          <w:p>
            <w:pPr>
              <w:pStyle w:val="TableText"/>
            </w:pPr>
            <w:r>
              <w:rPr>
                <w:b/>
                <w:bCs/>
                <w:sz w:val="17"/>
                <w:szCs w:val="17"/>
              </w:rPr>
              <w:t xml:space="preserve">SQL Server Enterprise core license</w:t>
            </w:r>
          </w:p>
        </w:tc>
        <w:tc>
          <w:tcPr>
            <w:tcW w:w="1021" w:type="dxa"/>
          </w:tcPr>
          <w:p>
            <w:pPr>
              <w:pStyle w:val="TableText"/>
            </w:pPr>
            <w:r>
              <w:rPr>
                <w:sz w:val="17"/>
                <w:szCs w:val="17"/>
              </w:rPr>
              <w:t xml:space="preserve">Core</w:t>
            </w:r>
          </w:p>
        </w:tc>
        <w:tc>
          <w:tcPr>
            <w:tcW w:w="1021" w:type="dxa"/>
          </w:tcPr>
          <w:p>
            <w:pPr>
              <w:pStyle w:val="TableText"/>
              <w:jc w:val="right"/>
            </w:pPr>
            <w:r>
              <w:rPr>
                <w:sz w:val="17"/>
                <w:szCs w:val="17"/>
              </w:rPr>
              <w:t xml:space="preserve">8</w:t>
            </w:r>
          </w:p>
        </w:tc>
        <w:tc>
          <w:tcPr>
            <w:tcW w:w="1021" w:type="dxa"/>
          </w:tcPr>
          <w:p>
            <w:pPr>
              <w:pStyle w:val="TableText"/>
              <w:jc w:val="right"/>
            </w:pPr>
            <w:r>
              <w:rPr>
                <w:sz w:val="17"/>
                <w:szCs w:val="17"/>
              </w:rPr>
              <w:t xml:space="preserve">0</w:t>
            </w:r>
          </w:p>
        </w:tc>
        <w:tc>
          <w:tcPr>
            <w:tcW w:w="893" w:type="dxa"/>
          </w:tcPr>
          <w:p>
            <w:pPr>
              <w:pStyle w:val="TableText"/>
              <w:jc w:val="right"/>
            </w:pPr>
            <w:r>
              <w:rPr>
                <w:b/>
                <w:bCs/>
                <w:color w:val="C62828"/>
                <w:sz w:val="17"/>
                <w:szCs w:val="17"/>
              </w:rPr>
              <w:t xml:space="preserve">8</w:t>
            </w:r>
          </w:p>
        </w:tc>
        <w:tc>
          <w:tcPr>
            <w:tcW w:w="1532" w:type="dxa"/>
            <w:shd w:val="clear" w:color="auto" w:fill="FCE4E4"/>
          </w:tcPr>
          <w:p>
            <w:pPr>
              <w:pStyle w:val="TableText"/>
            </w:pPr>
            <w:r>
              <w:rPr>
                <w:b/>
                <w:bCs/>
                <w:color w:val="A61B1B"/>
                <w:sz w:val="17"/>
                <w:szCs w:val="17"/>
              </w:rPr>
              <w:t xml:space="preserve">Potential Gap</w:t>
            </w:r>
          </w:p>
        </w:tc>
        <w:tc>
          <w:tcPr>
            <w:tcW w:w="1149" w:type="dxa"/>
          </w:tcPr>
          <w:p>
            <w:pPr>
              <w:pStyle w:val="TableText"/>
            </w:pPr>
            <w:r>
              <w:rPr>
                <w:sz w:val="17"/>
                <w:szCs w:val="17"/>
              </w:rPr>
              <w:t xml:space="preserve">Medium</w:t>
            </w:r>
          </w:p>
        </w:tc>
        <w:tc>
          <w:tcPr>
            <w:tcW w:w="3323" w:type="dxa"/>
          </w:tcPr>
          <w:p>
            <w:pPr>
              <w:pStyle w:val="TableText"/>
            </w:pPr>
            <w:r>
              <w:rPr>
                <w:sz w:val="15"/>
                <w:szCs w:val="15"/>
              </w:rPr>
              <w:t xml:space="preserve">Held via: SQL Server 2019 Enterprise - 2 core pack x2 [Excel] (4)</w:t>
            </w:r>
          </w:p>
        </w:tc>
      </w:tr>
      <w:tr>
        <w:trPr>
          <w:cantSplit/>
        </w:trPr>
        <w:tc>
          <w:tcPr>
            <w:tcW w:w="1532" w:type="dxa"/>
            <w:shd w:val="clear" w:color="auto" w:fill="F7F9FB"/>
          </w:tcPr>
          <w:p>
            <w:pPr>
              <w:pStyle w:val="TableText"/>
            </w:pPr>
            <w:r>
              <w:rPr>
                <w:color w:val="5B6475"/>
                <w:sz w:val="17"/>
                <w:szCs w:val="17"/>
              </w:rPr>
              <w:t xml:space="preserve">Microsoft Entra ID</w:t>
            </w:r>
          </w:p>
        </w:tc>
        <w:tc>
          <w:tcPr>
            <w:tcW w:w="3192" w:type="dxa"/>
            <w:shd w:val="clear" w:color="auto" w:fill="F7F9FB"/>
          </w:tcPr>
          <w:p>
            <w:pPr>
              <w:pStyle w:val="TableText"/>
            </w:pPr>
            <w:r>
              <w:rPr>
                <w:b/>
                <w:bCs/>
                <w:sz w:val="17"/>
                <w:szCs w:val="17"/>
              </w:rPr>
              <w:t xml:space="preserve">Microsoft Entra ID P2 (User)</w:t>
            </w:r>
          </w:p>
        </w:tc>
        <w:tc>
          <w:tcPr>
            <w:tcW w:w="1021" w:type="dxa"/>
            <w:shd w:val="clear" w:color="auto" w:fill="F7F9FB"/>
          </w:tcPr>
          <w:p>
            <w:pPr>
              <w:pStyle w:val="TableText"/>
            </w:pPr>
            <w:r>
              <w:rPr>
                <w:sz w:val="17"/>
                <w:szCs w:val="17"/>
              </w:rPr>
              <w:t xml:space="preserve">User</w:t>
            </w:r>
          </w:p>
        </w:tc>
        <w:tc>
          <w:tcPr>
            <w:tcW w:w="1021" w:type="dxa"/>
            <w:shd w:val="clear" w:color="auto" w:fill="F7F9FB"/>
          </w:tcPr>
          <w:p>
            <w:pPr>
              <w:pStyle w:val="TableText"/>
              <w:jc w:val="right"/>
            </w:pPr>
            <w:r>
              <w:rPr>
                <w:sz w:val="17"/>
                <w:szCs w:val="17"/>
              </w:rPr>
              <w:t xml:space="preserve">5</w:t>
            </w:r>
          </w:p>
        </w:tc>
        <w:tc>
          <w:tcPr>
            <w:tcW w:w="1021" w:type="dxa"/>
            <w:shd w:val="clear" w:color="auto" w:fill="F7F9FB"/>
          </w:tcPr>
          <w:p>
            <w:pPr>
              <w:pStyle w:val="TableText"/>
              <w:jc w:val="right"/>
            </w:pPr>
            <w:r>
              <w:rPr>
                <w:sz w:val="17"/>
                <w:szCs w:val="17"/>
              </w:rPr>
              <w:t xml:space="preserve">0</w:t>
            </w:r>
          </w:p>
        </w:tc>
        <w:tc>
          <w:tcPr>
            <w:tcW w:w="893" w:type="dxa"/>
            <w:shd w:val="clear" w:color="auto" w:fill="F7F9FB"/>
          </w:tcPr>
          <w:p>
            <w:pPr>
              <w:pStyle w:val="TableText"/>
              <w:jc w:val="right"/>
            </w:pPr>
            <w:r>
              <w:rPr>
                <w:b/>
                <w:bCs/>
                <w:color w:val="C62828"/>
                <w:sz w:val="17"/>
                <w:szCs w:val="17"/>
              </w:rPr>
              <w:t xml:space="preserve">5</w:t>
            </w:r>
          </w:p>
        </w:tc>
        <w:tc>
          <w:tcPr>
            <w:tcW w:w="1532" w:type="dxa"/>
            <w:shd w:val="clear" w:color="auto" w:fill="FCE4E4"/>
          </w:tcPr>
          <w:p>
            <w:pPr>
              <w:pStyle w:val="TableText"/>
            </w:pPr>
            <w:r>
              <w:rPr>
                <w:b/>
                <w:bCs/>
                <w:color w:val="A61B1B"/>
                <w:sz w:val="17"/>
                <w:szCs w:val="17"/>
              </w:rPr>
              <w:t xml:space="preserve">Potential Gap</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p>
        </w:tc>
      </w:tr>
      <w:tr>
        <w:trPr>
          <w:cantSplit/>
        </w:trPr>
        <w:tc>
          <w:tcPr>
            <w:tcW w:w="1532" w:type="dxa"/>
          </w:tcPr>
          <w:p>
            <w:pPr>
              <w:pStyle w:val="TableText"/>
            </w:pPr>
            <w:r>
              <w:rPr>
                <w:color w:val="5B6475"/>
                <w:sz w:val="17"/>
                <w:szCs w:val="17"/>
              </w:rPr>
              <w:t xml:space="preserve">Office</w:t>
            </w:r>
          </w:p>
        </w:tc>
        <w:tc>
          <w:tcPr>
            <w:tcW w:w="3192" w:type="dxa"/>
          </w:tcPr>
          <w:p>
            <w:pPr>
              <w:pStyle w:val="TableText"/>
            </w:pPr>
            <w:r>
              <w:rPr>
                <w:b/>
                <w:bCs/>
                <w:sz w:val="17"/>
                <w:szCs w:val="17"/>
              </w:rPr>
              <w:t xml:space="preserve">Office Standard / LTSC Standard (Device)</w:t>
            </w:r>
          </w:p>
        </w:tc>
        <w:tc>
          <w:tcPr>
            <w:tcW w:w="1021" w:type="dxa"/>
          </w:tcPr>
          <w:p>
            <w:pPr>
              <w:pStyle w:val="TableText"/>
            </w:pPr>
            <w:r>
              <w:rPr>
                <w:sz w:val="17"/>
                <w:szCs w:val="17"/>
              </w:rPr>
              <w:t xml:space="preserve">Device</w:t>
            </w:r>
          </w:p>
        </w:tc>
        <w:tc>
          <w:tcPr>
            <w:tcW w:w="1021" w:type="dxa"/>
          </w:tcPr>
          <w:p>
            <w:pPr>
              <w:pStyle w:val="TableText"/>
              <w:jc w:val="right"/>
            </w:pPr>
            <w:r>
              <w:rPr>
                <w:sz w:val="17"/>
                <w:szCs w:val="17"/>
              </w:rPr>
              <w:t xml:space="preserve">1</w:t>
            </w:r>
          </w:p>
        </w:tc>
        <w:tc>
          <w:tcPr>
            <w:tcW w:w="1021" w:type="dxa"/>
          </w:tcPr>
          <w:p>
            <w:pPr>
              <w:pStyle w:val="TableText"/>
              <w:jc w:val="right"/>
            </w:pPr>
            <w:r>
              <w:rPr>
                <w:sz w:val="17"/>
                <w:szCs w:val="17"/>
              </w:rPr>
              <w:t xml:space="preserve">0</w:t>
            </w:r>
          </w:p>
        </w:tc>
        <w:tc>
          <w:tcPr>
            <w:tcW w:w="893" w:type="dxa"/>
          </w:tcPr>
          <w:p>
            <w:pPr>
              <w:pStyle w:val="TableText"/>
              <w:jc w:val="right"/>
            </w:pPr>
            <w:r>
              <w:rPr>
                <w:b/>
                <w:bCs/>
                <w:color w:val="C62828"/>
                <w:sz w:val="17"/>
                <w:szCs w:val="17"/>
              </w:rPr>
              <w:t xml:space="preserve">1</w:t>
            </w:r>
          </w:p>
        </w:tc>
        <w:tc>
          <w:tcPr>
            <w:tcW w:w="1532" w:type="dxa"/>
            <w:shd w:val="clear" w:color="auto" w:fill="FCE4E4"/>
          </w:tcPr>
          <w:p>
            <w:pPr>
              <w:pStyle w:val="TableText"/>
            </w:pPr>
            <w:r>
              <w:rPr>
                <w:b/>
                <w:bCs/>
                <w:color w:val="A61B1B"/>
                <w:sz w:val="17"/>
                <w:szCs w:val="17"/>
              </w:rPr>
              <w:t xml:space="preserve">Potential Gap</w:t>
            </w:r>
          </w:p>
        </w:tc>
        <w:tc>
          <w:tcPr>
            <w:tcW w:w="1149" w:type="dxa"/>
          </w:tcPr>
          <w:p>
            <w:pPr>
              <w:pStyle w:val="TableText"/>
            </w:pPr>
            <w:r>
              <w:rPr>
                <w:sz w:val="17"/>
                <w:szCs w:val="17"/>
              </w:rPr>
              <w:t xml:space="preserve">Medium</w:t>
            </w:r>
          </w:p>
        </w:tc>
        <w:tc>
          <w:tcPr>
            <w:tcW w:w="3323" w:type="dxa"/>
          </w:tcPr>
          <w:p>
            <w:pPr>
              <w:pStyle w:val="TableText"/>
            </w:pPr>
          </w:p>
        </w:tc>
      </w:tr>
      <w:tr>
        <w:trPr>
          <w:cantSplit/>
        </w:trPr>
        <w:tc>
          <w:tcPr>
            <w:tcW w:w="1532" w:type="dxa"/>
            <w:shd w:val="clear" w:color="auto" w:fill="F7F9FB"/>
          </w:tcPr>
          <w:p>
            <w:pPr>
              <w:pStyle w:val="TableText"/>
            </w:pPr>
            <w:r>
              <w:rPr>
                <w:color w:val="5B6475"/>
                <w:sz w:val="17"/>
                <w:szCs w:val="17"/>
              </w:rPr>
              <w:t xml:space="preserve">Visio</w:t>
            </w:r>
          </w:p>
        </w:tc>
        <w:tc>
          <w:tcPr>
            <w:tcW w:w="3192" w:type="dxa"/>
            <w:shd w:val="clear" w:color="auto" w:fill="F7F9FB"/>
          </w:tcPr>
          <w:p>
            <w:pPr>
              <w:pStyle w:val="TableText"/>
            </w:pPr>
            <w:r>
              <w:rPr>
                <w:b/>
                <w:bCs/>
                <w:sz w:val="17"/>
                <w:szCs w:val="17"/>
              </w:rPr>
              <w:t xml:space="preserve">Visio Professional (Device)</w:t>
            </w:r>
          </w:p>
        </w:tc>
        <w:tc>
          <w:tcPr>
            <w:tcW w:w="1021" w:type="dxa"/>
            <w:shd w:val="clear" w:color="auto" w:fill="F7F9FB"/>
          </w:tcPr>
          <w:p>
            <w:pPr>
              <w:pStyle w:val="TableText"/>
            </w:pPr>
            <w:r>
              <w:rPr>
                <w:sz w:val="17"/>
                <w:szCs w:val="17"/>
              </w:rPr>
              <w:t xml:space="preserve">Device</w:t>
            </w:r>
          </w:p>
        </w:tc>
        <w:tc>
          <w:tcPr>
            <w:tcW w:w="1021" w:type="dxa"/>
            <w:shd w:val="clear" w:color="auto" w:fill="F7F9FB"/>
          </w:tcPr>
          <w:p>
            <w:pPr>
              <w:pStyle w:val="TableText"/>
              <w:jc w:val="right"/>
            </w:pPr>
            <w:r>
              <w:rPr>
                <w:sz w:val="17"/>
                <w:szCs w:val="17"/>
              </w:rPr>
              <w:t xml:space="preserve">1</w:t>
            </w:r>
          </w:p>
        </w:tc>
        <w:tc>
          <w:tcPr>
            <w:tcW w:w="1021" w:type="dxa"/>
            <w:shd w:val="clear" w:color="auto" w:fill="F7F9FB"/>
          </w:tcPr>
          <w:p>
            <w:pPr>
              <w:pStyle w:val="TableText"/>
              <w:jc w:val="right"/>
            </w:pPr>
            <w:r>
              <w:rPr>
                <w:sz w:val="17"/>
                <w:szCs w:val="17"/>
              </w:rPr>
              <w:t xml:space="preserve">0</w:t>
            </w:r>
          </w:p>
        </w:tc>
        <w:tc>
          <w:tcPr>
            <w:tcW w:w="893" w:type="dxa"/>
            <w:shd w:val="clear" w:color="auto" w:fill="F7F9FB"/>
          </w:tcPr>
          <w:p>
            <w:pPr>
              <w:pStyle w:val="TableText"/>
              <w:jc w:val="right"/>
            </w:pPr>
            <w:r>
              <w:rPr>
                <w:b/>
                <w:bCs/>
                <w:color w:val="C62828"/>
                <w:sz w:val="17"/>
                <w:szCs w:val="17"/>
              </w:rPr>
              <w:t xml:space="preserve">1</w:t>
            </w:r>
          </w:p>
        </w:tc>
        <w:tc>
          <w:tcPr>
            <w:tcW w:w="1532" w:type="dxa"/>
            <w:shd w:val="clear" w:color="auto" w:fill="FCE4E4"/>
          </w:tcPr>
          <w:p>
            <w:pPr>
              <w:pStyle w:val="TableText"/>
            </w:pPr>
            <w:r>
              <w:rPr>
                <w:b/>
                <w:bCs/>
                <w:color w:val="A61B1B"/>
                <w:sz w:val="17"/>
                <w:szCs w:val="17"/>
              </w:rPr>
              <w:t xml:space="preserve">Potential Gap</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p>
        </w:tc>
      </w:tr>
      <w:tr>
        <w:trPr>
          <w:cantSplit/>
        </w:trPr>
        <w:tc>
          <w:tcPr>
            <w:tcW w:w="1532" w:type="dxa"/>
          </w:tcPr>
          <w:p>
            <w:pPr>
              <w:pStyle w:val="TableText"/>
            </w:pPr>
            <w:r>
              <w:rPr>
                <w:color w:val="5B6475"/>
                <w:sz w:val="17"/>
                <w:szCs w:val="17"/>
              </w:rPr>
              <w:t xml:space="preserve">Visual Studio</w:t>
            </w:r>
          </w:p>
        </w:tc>
        <w:tc>
          <w:tcPr>
            <w:tcW w:w="3192" w:type="dxa"/>
          </w:tcPr>
          <w:p>
            <w:pPr>
              <w:pStyle w:val="TableText"/>
            </w:pPr>
            <w:r>
              <w:rPr>
                <w:b/>
                <w:bCs/>
                <w:sz w:val="17"/>
                <w:szCs w:val="17"/>
              </w:rPr>
              <w:t xml:space="preserve">Visual Studio Professional subscription (User)</w:t>
            </w:r>
          </w:p>
        </w:tc>
        <w:tc>
          <w:tcPr>
            <w:tcW w:w="1021" w:type="dxa"/>
          </w:tcPr>
          <w:p>
            <w:pPr>
              <w:pStyle w:val="TableText"/>
            </w:pPr>
            <w:r>
              <w:rPr>
                <w:sz w:val="17"/>
                <w:szCs w:val="17"/>
              </w:rPr>
              <w:t xml:space="preserve">User</w:t>
            </w:r>
          </w:p>
        </w:tc>
        <w:tc>
          <w:tcPr>
            <w:tcW w:w="1021" w:type="dxa"/>
          </w:tcPr>
          <w:p>
            <w:pPr>
              <w:pStyle w:val="TableText"/>
              <w:jc w:val="right"/>
            </w:pPr>
            <w:r>
              <w:rPr>
                <w:sz w:val="17"/>
                <w:szCs w:val="17"/>
              </w:rPr>
              <w:t xml:space="preserve">1</w:t>
            </w:r>
          </w:p>
        </w:tc>
        <w:tc>
          <w:tcPr>
            <w:tcW w:w="1021" w:type="dxa"/>
          </w:tcPr>
          <w:p>
            <w:pPr>
              <w:pStyle w:val="TableText"/>
              <w:jc w:val="right"/>
            </w:pPr>
            <w:r>
              <w:rPr>
                <w:sz w:val="17"/>
                <w:szCs w:val="17"/>
              </w:rPr>
              <w:t xml:space="preserve">0</w:t>
            </w:r>
          </w:p>
        </w:tc>
        <w:tc>
          <w:tcPr>
            <w:tcW w:w="893" w:type="dxa"/>
          </w:tcPr>
          <w:p>
            <w:pPr>
              <w:pStyle w:val="TableText"/>
              <w:jc w:val="right"/>
            </w:pPr>
            <w:r>
              <w:rPr>
                <w:b/>
                <w:bCs/>
                <w:color w:val="C62828"/>
                <w:sz w:val="17"/>
                <w:szCs w:val="17"/>
              </w:rPr>
              <w:t xml:space="preserve">1</w:t>
            </w:r>
          </w:p>
        </w:tc>
        <w:tc>
          <w:tcPr>
            <w:tcW w:w="1532" w:type="dxa"/>
            <w:shd w:val="clear" w:color="auto" w:fill="FCE4E4"/>
          </w:tcPr>
          <w:p>
            <w:pPr>
              <w:pStyle w:val="TableText"/>
            </w:pPr>
            <w:r>
              <w:rPr>
                <w:b/>
                <w:bCs/>
                <w:color w:val="A61B1B"/>
                <w:sz w:val="17"/>
                <w:szCs w:val="17"/>
              </w:rPr>
              <w:t xml:space="preserve">Potential Gap</w:t>
            </w:r>
          </w:p>
        </w:tc>
        <w:tc>
          <w:tcPr>
            <w:tcW w:w="1149" w:type="dxa"/>
          </w:tcPr>
          <w:p>
            <w:pPr>
              <w:pStyle w:val="TableText"/>
            </w:pPr>
            <w:r>
              <w:rPr>
                <w:sz w:val="17"/>
                <w:szCs w:val="17"/>
              </w:rPr>
              <w:t xml:space="preserve">Low</w:t>
            </w:r>
          </w:p>
        </w:tc>
        <w:tc>
          <w:tcPr>
            <w:tcW w:w="3323" w:type="dxa"/>
          </w:tcPr>
          <w:p>
            <w:pPr>
              <w:pStyle w:val="TableText"/>
            </w:pPr>
          </w:p>
        </w:tc>
      </w:tr>
      <w:tr>
        <w:trPr>
          <w:cantSplit/>
        </w:trPr>
        <w:tc>
          <w:tcPr>
            <w:tcW w:w="1532" w:type="dxa"/>
            <w:shd w:val="clear" w:color="auto" w:fill="F7F9FB"/>
          </w:tcPr>
          <w:p>
            <w:pPr>
              <w:pStyle w:val="TableText"/>
            </w:pPr>
            <w:r>
              <w:rPr>
                <w:color w:val="5B6475"/>
                <w:sz w:val="17"/>
                <w:szCs w:val="17"/>
              </w:rPr>
              <w:t xml:space="preserve">Windows Server</w:t>
            </w:r>
          </w:p>
        </w:tc>
        <w:tc>
          <w:tcPr>
            <w:tcW w:w="3192" w:type="dxa"/>
            <w:shd w:val="clear" w:color="auto" w:fill="F7F9FB"/>
          </w:tcPr>
          <w:p>
            <w:pPr>
              <w:pStyle w:val="TableText"/>
            </w:pPr>
            <w:r>
              <w:rPr>
                <w:b/>
                <w:bCs/>
                <w:sz w:val="17"/>
                <w:szCs w:val="17"/>
              </w:rPr>
              <w:t xml:space="preserve">Windows Server Datacenter core license</w:t>
            </w:r>
          </w:p>
        </w:tc>
        <w:tc>
          <w:tcPr>
            <w:tcW w:w="1021" w:type="dxa"/>
            <w:shd w:val="clear" w:color="auto" w:fill="F7F9FB"/>
          </w:tcPr>
          <w:p>
            <w:pPr>
              <w:pStyle w:val="TableText"/>
            </w:pPr>
            <w:r>
              <w:rPr>
                <w:sz w:val="17"/>
                <w:szCs w:val="17"/>
              </w:rPr>
              <w:t xml:space="preserve">Core</w:t>
            </w:r>
          </w:p>
        </w:tc>
        <w:tc>
          <w:tcPr>
            <w:tcW w:w="1021" w:type="dxa"/>
            <w:shd w:val="clear" w:color="auto" w:fill="F7F9FB"/>
          </w:tcPr>
          <w:p>
            <w:pPr>
              <w:pStyle w:val="TableText"/>
              <w:jc w:val="right"/>
            </w:pPr>
            <w:r>
              <w:rPr>
                <w:sz w:val="17"/>
                <w:szCs w:val="17"/>
              </w:rPr>
              <w:t xml:space="preserve">80</w:t>
            </w:r>
          </w:p>
        </w:tc>
        <w:tc>
          <w:tcPr>
            <w:tcW w:w="1021" w:type="dxa"/>
            <w:shd w:val="clear" w:color="auto" w:fill="F7F9FB"/>
          </w:tcPr>
          <w:p>
            <w:pPr>
              <w:pStyle w:val="TableText"/>
              <w:jc w:val="right"/>
            </w:pPr>
            <w:r>
              <w:rPr>
                <w:sz w:val="17"/>
                <w:szCs w:val="17"/>
              </w:rPr>
              <w:t xml:space="preserve">48</w:t>
            </w:r>
          </w:p>
        </w:tc>
        <w:tc>
          <w:tcPr>
            <w:tcW w:w="893" w:type="dxa"/>
            <w:shd w:val="clear" w:color="auto" w:fill="F7F9FB"/>
          </w:tcPr>
          <w:p>
            <w:pPr>
              <w:pStyle w:val="TableText"/>
              <w:jc w:val="right"/>
            </w:pPr>
            <w:r>
              <w:rPr>
                <w:b/>
                <w:bCs/>
                <w:color w:val="C62828"/>
                <w:sz w:val="17"/>
                <w:szCs w:val="17"/>
              </w:rPr>
              <w:t xml:space="preserve">32</w:t>
            </w:r>
          </w:p>
        </w:tc>
        <w:tc>
          <w:tcPr>
            <w:tcW w:w="1532" w:type="dxa"/>
            <w:shd w:val="clear" w:color="auto" w:fill="FFF2CC"/>
          </w:tcPr>
          <w:p>
            <w:pPr>
              <w:pStyle w:val="TableText"/>
            </w:pPr>
            <w:r>
              <w:rPr>
                <w:b/>
                <w:bCs/>
                <w:color w:val="7A5600"/>
                <w:sz w:val="17"/>
                <w:szCs w:val="17"/>
              </w:rPr>
              <w:t xml:space="preserve">Partially Covered</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r>
              <w:rPr>
                <w:sz w:val="15"/>
                <w:szCs w:val="15"/>
              </w:rPr>
              <w:t xml:space="preserve">Held via: Windows Server 2022 Datacenter - 16 core pack x3 [Excel] (48)</w:t>
            </w:r>
          </w:p>
        </w:tc>
      </w:tr>
      <w:tr>
        <w:trPr>
          <w:cantSplit/>
        </w:trPr>
        <w:tc>
          <w:tcPr>
            <w:tcW w:w="1532" w:type="dxa"/>
          </w:tcPr>
          <w:p>
            <w:pPr>
              <w:pStyle w:val="TableText"/>
            </w:pPr>
            <w:r>
              <w:rPr>
                <w:color w:val="5B6475"/>
                <w:sz w:val="17"/>
                <w:szCs w:val="17"/>
              </w:rPr>
              <w:t xml:space="preserve">Microsoft Entra ID</w:t>
            </w:r>
          </w:p>
        </w:tc>
        <w:tc>
          <w:tcPr>
            <w:tcW w:w="3192" w:type="dxa"/>
          </w:tcPr>
          <w:p>
            <w:pPr>
              <w:pStyle w:val="TableText"/>
            </w:pPr>
            <w:r>
              <w:rPr>
                <w:b/>
                <w:bCs/>
                <w:sz w:val="17"/>
                <w:szCs w:val="17"/>
              </w:rPr>
              <w:t xml:space="preserve">Microsoft Entra ID P1 (User)</w:t>
            </w:r>
          </w:p>
        </w:tc>
        <w:tc>
          <w:tcPr>
            <w:tcW w:w="1021" w:type="dxa"/>
          </w:tcPr>
          <w:p>
            <w:pPr>
              <w:pStyle w:val="TableText"/>
            </w:pPr>
            <w:r>
              <w:rPr>
                <w:sz w:val="17"/>
                <w:szCs w:val="17"/>
              </w:rPr>
              <w:t xml:space="preserve">User</w:t>
            </w:r>
          </w:p>
        </w:tc>
        <w:tc>
          <w:tcPr>
            <w:tcW w:w="1021" w:type="dxa"/>
          </w:tcPr>
          <w:p>
            <w:pPr>
              <w:pStyle w:val="TableText"/>
              <w:jc w:val="right"/>
            </w:pPr>
            <w:r>
              <w:rPr>
                <w:sz w:val="17"/>
                <w:szCs w:val="17"/>
              </w:rPr>
              <w:t xml:space="preserve">168</w:t>
            </w:r>
          </w:p>
        </w:tc>
        <w:tc>
          <w:tcPr>
            <w:tcW w:w="1021" w:type="dxa"/>
          </w:tcPr>
          <w:p>
            <w:pPr>
              <w:pStyle w:val="TableText"/>
              <w:jc w:val="right"/>
            </w:pPr>
            <w:r>
              <w:rPr>
                <w:sz w:val="17"/>
                <w:szCs w:val="17"/>
              </w:rPr>
              <w:t xml:space="preserve">150</w:t>
            </w:r>
          </w:p>
        </w:tc>
        <w:tc>
          <w:tcPr>
            <w:tcW w:w="893" w:type="dxa"/>
          </w:tcPr>
          <w:p>
            <w:pPr>
              <w:pStyle w:val="TableText"/>
              <w:jc w:val="right"/>
            </w:pPr>
            <w:r>
              <w:rPr>
                <w:b/>
                <w:bCs/>
                <w:color w:val="C62828"/>
                <w:sz w:val="17"/>
                <w:szCs w:val="17"/>
              </w:rPr>
              <w:t xml:space="preserve">18</w:t>
            </w:r>
          </w:p>
        </w:tc>
        <w:tc>
          <w:tcPr>
            <w:tcW w:w="1532" w:type="dxa"/>
            <w:shd w:val="clear" w:color="auto" w:fill="FFF2CC"/>
          </w:tcPr>
          <w:p>
            <w:pPr>
              <w:pStyle w:val="TableText"/>
            </w:pPr>
            <w:r>
              <w:rPr>
                <w:b/>
                <w:bCs/>
                <w:color w:val="7A5600"/>
                <w:sz w:val="17"/>
                <w:szCs w:val="17"/>
              </w:rPr>
              <w:t xml:space="preserve">Partially Covered</w:t>
            </w:r>
          </w:p>
        </w:tc>
        <w:tc>
          <w:tcPr>
            <w:tcW w:w="1149" w:type="dxa"/>
          </w:tcPr>
          <w:p>
            <w:pPr>
              <w:pStyle w:val="TableText"/>
            </w:pPr>
            <w:r>
              <w:rPr>
                <w:sz w:val="17"/>
                <w:szCs w:val="17"/>
              </w:rPr>
              <w:t xml:space="preserve">Medium</w:t>
            </w:r>
          </w:p>
        </w:tc>
        <w:tc>
          <w:tcPr>
            <w:tcW w:w="3323" w:type="dxa"/>
          </w:tcPr>
          <w:p>
            <w:pPr>
              <w:pStyle w:val="TableText"/>
            </w:pPr>
            <w:r>
              <w:rPr>
                <w:sz w:val="15"/>
                <w:szCs w:val="15"/>
              </w:rPr>
              <w:t xml:space="preserve">Held via: Microsoft 365 E3 - per user (subscription) [SPE_E3] (150)</w:t>
            </w:r>
          </w:p>
        </w:tc>
      </w:tr>
      <w:tr>
        <w:trPr>
          <w:cantSplit/>
        </w:trPr>
        <w:tc>
          <w:tcPr>
            <w:tcW w:w="1532" w:type="dxa"/>
            <w:shd w:val="clear" w:color="auto" w:fill="F7F9FB"/>
          </w:tcPr>
          <w:p>
            <w:pPr>
              <w:pStyle w:val="TableText"/>
            </w:pPr>
            <w:r>
              <w:rPr>
                <w:color w:val="5B6475"/>
                <w:sz w:val="17"/>
                <w:szCs w:val="17"/>
              </w:rPr>
              <w:t xml:space="preserve">Windows Server</w:t>
            </w:r>
          </w:p>
        </w:tc>
        <w:tc>
          <w:tcPr>
            <w:tcW w:w="3192" w:type="dxa"/>
            <w:shd w:val="clear" w:color="auto" w:fill="F7F9FB"/>
          </w:tcPr>
          <w:p>
            <w:pPr>
              <w:pStyle w:val="TableText"/>
            </w:pPr>
            <w:r>
              <w:rPr>
                <w:b/>
                <w:bCs/>
                <w:sz w:val="17"/>
                <w:szCs w:val="17"/>
              </w:rPr>
              <w:t xml:space="preserve">Windows Server CAL (User)</w:t>
            </w:r>
          </w:p>
        </w:tc>
        <w:tc>
          <w:tcPr>
            <w:tcW w:w="1021" w:type="dxa"/>
            <w:shd w:val="clear" w:color="auto" w:fill="F7F9FB"/>
          </w:tcPr>
          <w:p>
            <w:pPr>
              <w:pStyle w:val="TableText"/>
            </w:pPr>
            <w:r>
              <w:rPr>
                <w:sz w:val="17"/>
                <w:szCs w:val="17"/>
              </w:rPr>
              <w:t xml:space="preserve">User</w:t>
            </w:r>
          </w:p>
        </w:tc>
        <w:tc>
          <w:tcPr>
            <w:tcW w:w="1021" w:type="dxa"/>
            <w:shd w:val="clear" w:color="auto" w:fill="F7F9FB"/>
          </w:tcPr>
          <w:p>
            <w:pPr>
              <w:pStyle w:val="TableText"/>
              <w:jc w:val="right"/>
            </w:pPr>
            <w:r>
              <w:rPr>
                <w:sz w:val="17"/>
                <w:szCs w:val="17"/>
              </w:rPr>
              <w:t xml:space="preserve">168</w:t>
            </w:r>
          </w:p>
        </w:tc>
        <w:tc>
          <w:tcPr>
            <w:tcW w:w="1021" w:type="dxa"/>
            <w:shd w:val="clear" w:color="auto" w:fill="F7F9FB"/>
          </w:tcPr>
          <w:p>
            <w:pPr>
              <w:pStyle w:val="TableText"/>
              <w:jc w:val="right"/>
            </w:pPr>
            <w:r>
              <w:rPr>
                <w:sz w:val="17"/>
                <w:szCs w:val="17"/>
              </w:rPr>
              <w:t xml:space="preserve">150</w:t>
            </w:r>
          </w:p>
        </w:tc>
        <w:tc>
          <w:tcPr>
            <w:tcW w:w="893" w:type="dxa"/>
            <w:shd w:val="clear" w:color="auto" w:fill="F7F9FB"/>
          </w:tcPr>
          <w:p>
            <w:pPr>
              <w:pStyle w:val="TableText"/>
              <w:jc w:val="right"/>
            </w:pPr>
            <w:r>
              <w:rPr>
                <w:b/>
                <w:bCs/>
                <w:color w:val="C62828"/>
                <w:sz w:val="17"/>
                <w:szCs w:val="17"/>
              </w:rPr>
              <w:t xml:space="preserve">18</w:t>
            </w:r>
          </w:p>
        </w:tc>
        <w:tc>
          <w:tcPr>
            <w:tcW w:w="1532" w:type="dxa"/>
            <w:shd w:val="clear" w:color="auto" w:fill="FFF2CC"/>
          </w:tcPr>
          <w:p>
            <w:pPr>
              <w:pStyle w:val="TableText"/>
            </w:pPr>
            <w:r>
              <w:rPr>
                <w:b/>
                <w:bCs/>
                <w:color w:val="7A5600"/>
                <w:sz w:val="17"/>
                <w:szCs w:val="17"/>
              </w:rPr>
              <w:t xml:space="preserve">Partially Covered</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r>
              <w:rPr>
                <w:sz w:val="15"/>
                <w:szCs w:val="15"/>
              </w:rPr>
              <w:t xml:space="preserve">Held via: Microsoft 365 E3 - per user (subscription) [SPE_E3] (150); Windows Server 2019 CAL - User [Excel] (100). 100 license(s) held cannot be applied because of their version: Windows Server 2019 CAL - User [Excel] (100 unused, version 2019) - earlier than the deployed version 2022 and no Software Assurance recorded</w:t>
            </w:r>
          </w:p>
        </w:tc>
      </w:tr>
      <w:tr>
        <w:trPr>
          <w:cantSplit/>
        </w:trPr>
        <w:tc>
          <w:tcPr>
            <w:tcW w:w="1532" w:type="dxa"/>
          </w:tcPr>
          <w:p>
            <w:pPr>
              <w:pStyle w:val="TableText"/>
            </w:pPr>
            <w:r>
              <w:rPr>
                <w:color w:val="5B6475"/>
                <w:sz w:val="17"/>
                <w:szCs w:val="17"/>
              </w:rPr>
              <w:t xml:space="preserve">Office</w:t>
            </w:r>
          </w:p>
        </w:tc>
        <w:tc>
          <w:tcPr>
            <w:tcW w:w="3192" w:type="dxa"/>
          </w:tcPr>
          <w:p>
            <w:pPr>
              <w:pStyle w:val="TableText"/>
            </w:pPr>
            <w:r>
              <w:rPr>
                <w:b/>
                <w:bCs/>
                <w:sz w:val="17"/>
                <w:szCs w:val="17"/>
              </w:rPr>
              <w:t xml:space="preserve">Office Professional Plus / LTSC Professional Plus (Device)</w:t>
            </w:r>
          </w:p>
        </w:tc>
        <w:tc>
          <w:tcPr>
            <w:tcW w:w="1021" w:type="dxa"/>
          </w:tcPr>
          <w:p>
            <w:pPr>
              <w:pStyle w:val="TableText"/>
            </w:pPr>
            <w:r>
              <w:rPr>
                <w:sz w:val="17"/>
                <w:szCs w:val="17"/>
              </w:rPr>
              <w:t xml:space="preserve">Device</w:t>
            </w:r>
          </w:p>
        </w:tc>
        <w:tc>
          <w:tcPr>
            <w:tcW w:w="1021" w:type="dxa"/>
          </w:tcPr>
          <w:p>
            <w:pPr>
              <w:pStyle w:val="TableText"/>
              <w:jc w:val="right"/>
            </w:pPr>
            <w:r>
              <w:rPr>
                <w:sz w:val="17"/>
                <w:szCs w:val="17"/>
              </w:rPr>
              <w:t xml:space="preserve">42</w:t>
            </w:r>
          </w:p>
        </w:tc>
        <w:tc>
          <w:tcPr>
            <w:tcW w:w="1021" w:type="dxa"/>
          </w:tcPr>
          <w:p>
            <w:pPr>
              <w:pStyle w:val="TableText"/>
              <w:jc w:val="right"/>
            </w:pPr>
            <w:r>
              <w:rPr>
                <w:sz w:val="17"/>
                <w:szCs w:val="17"/>
              </w:rPr>
              <w:t xml:space="preserve">5</w:t>
            </w:r>
          </w:p>
        </w:tc>
        <w:tc>
          <w:tcPr>
            <w:tcW w:w="893" w:type="dxa"/>
          </w:tcPr>
          <w:p>
            <w:pPr>
              <w:pStyle w:val="TableText"/>
              <w:jc w:val="right"/>
            </w:pPr>
            <w:r>
              <w:rPr>
                <w:b/>
                <w:bCs/>
                <w:color w:val="C62828"/>
                <w:sz w:val="17"/>
                <w:szCs w:val="17"/>
              </w:rPr>
              <w:t xml:space="preserve">37</w:t>
            </w:r>
          </w:p>
        </w:tc>
        <w:tc>
          <w:tcPr>
            <w:tcW w:w="1532" w:type="dxa"/>
            <w:shd w:val="clear" w:color="auto" w:fill="F0E4F7"/>
          </w:tcPr>
          <w:p>
            <w:pPr>
              <w:pStyle w:val="TableText"/>
            </w:pPr>
            <w:r>
              <w:rPr>
                <w:b/>
                <w:bCs/>
                <w:color w:val="5E1A8A"/>
                <w:sz w:val="17"/>
                <w:szCs w:val="17"/>
              </w:rPr>
              <w:t xml:space="preserve">Validation Required</w:t>
            </w:r>
          </w:p>
        </w:tc>
        <w:tc>
          <w:tcPr>
            <w:tcW w:w="1149" w:type="dxa"/>
          </w:tcPr>
          <w:p>
            <w:pPr>
              <w:pStyle w:val="TableText"/>
            </w:pPr>
            <w:r>
              <w:rPr>
                <w:sz w:val="17"/>
                <w:szCs w:val="17"/>
              </w:rPr>
              <w:t xml:space="preserve">Low</w:t>
            </w:r>
          </w:p>
        </w:tc>
        <w:tc>
          <w:tcPr>
            <w:tcW w:w="3323" w:type="dxa"/>
          </w:tcPr>
          <w:p>
            <w:pPr>
              <w:pStyle w:val="TableText"/>
            </w:pPr>
            <w:r>
              <w:rPr>
                <w:sz w:val="15"/>
                <w:szCs w:val="15"/>
              </w:rPr>
              <w:t xml:space="preserve">Held via: Office LTSC Professional Plus 2021 [Excel] (5). Validation required: Devices accessing the Session Host are estimated.</w:t>
            </w:r>
          </w:p>
        </w:tc>
      </w:tr>
      <w:tr>
        <w:trPr>
          <w:cantSplit/>
        </w:trPr>
        <w:tc>
          <w:tcPr>
            <w:tcW w:w="1532" w:type="dxa"/>
            <w:shd w:val="clear" w:color="auto" w:fill="F7F9FB"/>
          </w:tcPr>
          <w:p>
            <w:pPr>
              <w:pStyle w:val="TableText"/>
            </w:pPr>
            <w:r>
              <w:rPr>
                <w:color w:val="5B6475"/>
                <w:sz w:val="17"/>
                <w:szCs w:val="17"/>
              </w:rPr>
              <w:t xml:space="preserve">Office</w:t>
            </w:r>
          </w:p>
        </w:tc>
        <w:tc>
          <w:tcPr>
            <w:tcW w:w="3192" w:type="dxa"/>
            <w:shd w:val="clear" w:color="auto" w:fill="F7F9FB"/>
          </w:tcPr>
          <w:p>
            <w:pPr>
              <w:pStyle w:val="TableText"/>
            </w:pPr>
            <w:r>
              <w:rPr>
                <w:b/>
                <w:bCs/>
                <w:sz w:val="17"/>
                <w:szCs w:val="17"/>
              </w:rPr>
              <w:t xml:space="preserve">Office Home &amp; Business (Device)</w:t>
            </w:r>
          </w:p>
        </w:tc>
        <w:tc>
          <w:tcPr>
            <w:tcW w:w="1021" w:type="dxa"/>
            <w:shd w:val="clear" w:color="auto" w:fill="F7F9FB"/>
          </w:tcPr>
          <w:p>
            <w:pPr>
              <w:pStyle w:val="TableText"/>
            </w:pPr>
            <w:r>
              <w:rPr>
                <w:sz w:val="17"/>
                <w:szCs w:val="17"/>
              </w:rPr>
              <w:t xml:space="preserve">Device</w:t>
            </w:r>
          </w:p>
        </w:tc>
        <w:tc>
          <w:tcPr>
            <w:tcW w:w="1021" w:type="dxa"/>
            <w:shd w:val="clear" w:color="auto" w:fill="F7F9FB"/>
          </w:tcPr>
          <w:p>
            <w:pPr>
              <w:pStyle w:val="TableText"/>
              <w:jc w:val="right"/>
            </w:pPr>
            <w:r>
              <w:rPr>
                <w:sz w:val="17"/>
                <w:szCs w:val="17"/>
              </w:rPr>
              <w:t xml:space="preserve">1</w:t>
            </w:r>
          </w:p>
        </w:tc>
        <w:tc>
          <w:tcPr>
            <w:tcW w:w="1021" w:type="dxa"/>
            <w:shd w:val="clear" w:color="auto" w:fill="F7F9FB"/>
          </w:tcPr>
          <w:p>
            <w:pPr>
              <w:pStyle w:val="TableText"/>
              <w:jc w:val="right"/>
            </w:pPr>
            <w:r>
              <w:rPr>
                <w:sz w:val="17"/>
                <w:szCs w:val="17"/>
              </w:rPr>
              <w:t xml:space="preserve">0</w:t>
            </w:r>
          </w:p>
        </w:tc>
        <w:tc>
          <w:tcPr>
            <w:tcW w:w="893" w:type="dxa"/>
            <w:shd w:val="clear" w:color="auto" w:fill="F7F9FB"/>
          </w:tcPr>
          <w:p>
            <w:pPr>
              <w:pStyle w:val="TableText"/>
              <w:jc w:val="right"/>
            </w:pPr>
            <w:r>
              <w:rPr>
                <w:b/>
                <w:bCs/>
                <w:color w:val="C62828"/>
                <w:sz w:val="17"/>
                <w:szCs w:val="17"/>
              </w:rPr>
              <w:t xml:space="preserve">1</w:t>
            </w:r>
          </w:p>
        </w:tc>
        <w:tc>
          <w:tcPr>
            <w:tcW w:w="1532" w:type="dxa"/>
            <w:shd w:val="clear" w:color="auto" w:fill="F0E4F7"/>
          </w:tcPr>
          <w:p>
            <w:pPr>
              <w:pStyle w:val="TableText"/>
            </w:pPr>
            <w:r>
              <w:rPr>
                <w:b/>
                <w:bCs/>
                <w:color w:val="5E1A8A"/>
                <w:sz w:val="17"/>
                <w:szCs w:val="17"/>
              </w:rPr>
              <w:t xml:space="preserve">Validation Required</w:t>
            </w:r>
          </w:p>
        </w:tc>
        <w:tc>
          <w:tcPr>
            <w:tcW w:w="1149" w:type="dxa"/>
            <w:shd w:val="clear" w:color="auto" w:fill="F7F9FB"/>
          </w:tcPr>
          <w:p>
            <w:pPr>
              <w:pStyle w:val="TableText"/>
            </w:pPr>
            <w:r>
              <w:rPr>
                <w:sz w:val="17"/>
                <w:szCs w:val="17"/>
              </w:rPr>
              <w:t xml:space="preserve">Medium</w:t>
            </w:r>
          </w:p>
        </w:tc>
        <w:tc>
          <w:tcPr>
            <w:tcW w:w="3323" w:type="dxa"/>
            <w:shd w:val="clear" w:color="auto" w:fill="F7F9FB"/>
          </w:tcPr>
          <w:p>
            <w:pPr>
              <w:pStyle w:val="TableText"/>
            </w:pPr>
            <w:r>
              <w:rPr>
                <w:sz w:val="15"/>
                <w:szCs w:val="15"/>
              </w:rPr>
              <w:t xml:space="preserve">Validation required: Consumer editions are licensed for non-commercial use; confirm whether the device is used for business.</w:t>
            </w:r>
          </w:p>
        </w:tc>
      </w:tr>
    </w:tbl>
    <w:p>
      <w:pPr>
        <w:spacing w:before="0" w:after="0" w:line="240" w:lineRule="auto"/>
        <w:rPr>
          <w:sz w:val="12"/>
          <w:szCs w:val="12"/>
        </w:rPr>
      </w:pPr>
    </w:p>
    <w:p>
      <w:pPr>
        <w:pStyle w:val="Heading2"/>
      </w:pPr>
      <w:bookmarkStart w:id="19" w:name="_TocMlat00019"/>
      <w:r>
        <w:t xml:space="preserve">Positions requiring validation or additional data</w:t>
      </w:r>
      <w:bookmarkEnd w:id="19"/>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616"/>
        <w:gridCol w:w="3367"/>
        <w:gridCol w:w="1077"/>
        <w:gridCol w:w="1077"/>
        <w:gridCol w:w="1212"/>
        <w:gridCol w:w="1616"/>
        <w:gridCol w:w="1212"/>
        <w:gridCol w:w="3507"/>
      </w:tblGrid>
      <w:tr>
        <w:trPr>
          <w:cantSplit/>
          <w:tblHeader/>
        </w:trPr>
        <w:tc>
          <w:tcPr>
            <w:tcW w:w="1616" w:type="dxa"/>
            <w:shd w:val="clear" w:color="auto" w:fill="1F3A5F"/>
            <w:vAlign w:val="bottom"/>
          </w:tcPr>
          <w:p>
            <w:pPr>
              <w:pStyle w:val="TableText"/>
              <w:keepNext/>
            </w:pPr>
            <w:r>
              <w:rPr>
                <w:b/>
                <w:bCs/>
                <w:color w:val="FFFFFF"/>
                <w:sz w:val="17"/>
                <w:szCs w:val="17"/>
              </w:rPr>
              <w:t xml:space="preserve">Product</w:t>
            </w:r>
          </w:p>
        </w:tc>
        <w:tc>
          <w:tcPr>
            <w:tcW w:w="3367" w:type="dxa"/>
            <w:shd w:val="clear" w:color="auto" w:fill="1F3A5F"/>
            <w:vAlign w:val="bottom"/>
          </w:tcPr>
          <w:p>
            <w:pPr>
              <w:pStyle w:val="TableText"/>
              <w:keepNext/>
            </w:pPr>
            <w:r>
              <w:rPr>
                <w:b/>
                <w:bCs/>
                <w:color w:val="FFFFFF"/>
                <w:sz w:val="17"/>
                <w:szCs w:val="17"/>
              </w:rPr>
              <w:t xml:space="preserve">License</w:t>
            </w:r>
          </w:p>
        </w:tc>
        <w:tc>
          <w:tcPr>
            <w:tcW w:w="1077" w:type="dxa"/>
            <w:shd w:val="clear" w:color="auto" w:fill="1F3A5F"/>
            <w:vAlign w:val="bottom"/>
          </w:tcPr>
          <w:p>
            <w:pPr>
              <w:pStyle w:val="TableText"/>
              <w:keepNext/>
            </w:pPr>
            <w:r>
              <w:rPr>
                <w:b/>
                <w:bCs/>
                <w:color w:val="FFFFFF"/>
                <w:sz w:val="17"/>
                <w:szCs w:val="17"/>
              </w:rPr>
              <w:t xml:space="preserve">Metric</w:t>
            </w:r>
          </w:p>
        </w:tc>
        <w:tc>
          <w:tcPr>
            <w:tcW w:w="1077" w:type="dxa"/>
            <w:shd w:val="clear" w:color="auto" w:fill="1F3A5F"/>
            <w:vAlign w:val="bottom"/>
          </w:tcPr>
          <w:p>
            <w:pPr>
              <w:pStyle w:val="TableText"/>
              <w:keepNext/>
              <w:jc w:val="right"/>
            </w:pPr>
            <w:r>
              <w:rPr>
                <w:b/>
                <w:bCs/>
                <w:color w:val="FFFFFF"/>
                <w:sz w:val="17"/>
                <w:szCs w:val="17"/>
              </w:rPr>
              <w:t xml:space="preserve">Required</w:t>
            </w:r>
          </w:p>
        </w:tc>
        <w:tc>
          <w:tcPr>
            <w:tcW w:w="1212" w:type="dxa"/>
            <w:shd w:val="clear" w:color="auto" w:fill="1F3A5F"/>
            <w:vAlign w:val="bottom"/>
          </w:tcPr>
          <w:p>
            <w:pPr>
              <w:pStyle w:val="TableText"/>
              <w:keepNext/>
              <w:jc w:val="right"/>
            </w:pPr>
            <w:r>
              <w:rPr>
                <w:b/>
                <w:bCs/>
                <w:color w:val="FFFFFF"/>
                <w:sz w:val="17"/>
                <w:szCs w:val="17"/>
              </w:rPr>
              <w:t xml:space="preserve">Purchased</w:t>
            </w:r>
          </w:p>
        </w:tc>
        <w:tc>
          <w:tcPr>
            <w:tcW w:w="1616" w:type="dxa"/>
            <w:shd w:val="clear" w:color="auto" w:fill="1F3A5F"/>
            <w:vAlign w:val="bottom"/>
          </w:tcPr>
          <w:p>
            <w:pPr>
              <w:pStyle w:val="TableText"/>
              <w:keepNext/>
            </w:pPr>
            <w:r>
              <w:rPr>
                <w:b/>
                <w:bCs/>
                <w:color w:val="FFFFFF"/>
                <w:sz w:val="17"/>
                <w:szCs w:val="17"/>
              </w:rPr>
              <w:t xml:space="preserve">Status</w:t>
            </w:r>
          </w:p>
        </w:tc>
        <w:tc>
          <w:tcPr>
            <w:tcW w:w="1212" w:type="dxa"/>
            <w:shd w:val="clear" w:color="auto" w:fill="1F3A5F"/>
            <w:vAlign w:val="bottom"/>
          </w:tcPr>
          <w:p>
            <w:pPr>
              <w:pStyle w:val="TableText"/>
              <w:keepNext/>
            </w:pPr>
            <w:r>
              <w:rPr>
                <w:b/>
                <w:bCs/>
                <w:color w:val="FFFFFF"/>
                <w:sz w:val="17"/>
                <w:szCs w:val="17"/>
              </w:rPr>
              <w:t xml:space="preserve">Confidence</w:t>
            </w:r>
          </w:p>
        </w:tc>
        <w:tc>
          <w:tcPr>
            <w:tcW w:w="3507" w:type="dxa"/>
            <w:shd w:val="clear" w:color="auto" w:fill="1F3A5F"/>
            <w:vAlign w:val="bottom"/>
          </w:tcPr>
          <w:p>
            <w:pPr>
              <w:pStyle w:val="TableText"/>
              <w:keepNext/>
            </w:pPr>
            <w:r>
              <w:rPr>
                <w:b/>
                <w:bCs/>
                <w:color w:val="FFFFFF"/>
                <w:sz w:val="17"/>
                <w:szCs w:val="17"/>
              </w:rPr>
              <w:t xml:space="preserve">Notes</w:t>
            </w:r>
          </w:p>
        </w:tc>
      </w:tr>
      <w:tr>
        <w:trPr>
          <w:cantSplit/>
        </w:trPr>
        <w:tc>
          <w:tcPr>
            <w:tcW w:w="1616" w:type="dxa"/>
          </w:tcPr>
          <w:p>
            <w:pPr>
              <w:pStyle w:val="TableText"/>
            </w:pPr>
            <w:r>
              <w:rPr>
                <w:color w:val="5B6475"/>
                <w:sz w:val="17"/>
                <w:szCs w:val="17"/>
              </w:rPr>
              <w:t xml:space="preserve">Office</w:t>
            </w:r>
          </w:p>
        </w:tc>
        <w:tc>
          <w:tcPr>
            <w:tcW w:w="3367" w:type="dxa"/>
          </w:tcPr>
          <w:p>
            <w:pPr>
              <w:pStyle w:val="TableText"/>
            </w:pPr>
            <w:r>
              <w:rPr>
                <w:b/>
                <w:bCs/>
                <w:sz w:val="17"/>
                <w:szCs w:val="17"/>
              </w:rPr>
              <w:t xml:space="preserve">Office Home &amp; Business (Device)</w:t>
            </w:r>
          </w:p>
        </w:tc>
        <w:tc>
          <w:tcPr>
            <w:tcW w:w="1077" w:type="dxa"/>
          </w:tcPr>
          <w:p>
            <w:pPr>
              <w:pStyle w:val="TableText"/>
            </w:pPr>
            <w:r>
              <w:rPr>
                <w:sz w:val="17"/>
                <w:szCs w:val="17"/>
              </w:rPr>
              <w:t xml:space="preserve">Device</w:t>
            </w:r>
          </w:p>
        </w:tc>
        <w:tc>
          <w:tcPr>
            <w:tcW w:w="1077" w:type="dxa"/>
          </w:tcPr>
          <w:p>
            <w:pPr>
              <w:pStyle w:val="TableText"/>
              <w:jc w:val="right"/>
            </w:pPr>
            <w:r>
              <w:rPr>
                <w:sz w:val="17"/>
                <w:szCs w:val="17"/>
              </w:rPr>
              <w:t xml:space="preserve">1</w:t>
            </w:r>
          </w:p>
        </w:tc>
        <w:tc>
          <w:tcPr>
            <w:tcW w:w="1212" w:type="dxa"/>
          </w:tcPr>
          <w:p>
            <w:pPr>
              <w:pStyle w:val="TableText"/>
              <w:jc w:val="right"/>
            </w:pPr>
            <w:r>
              <w:rPr>
                <w:sz w:val="17"/>
                <w:szCs w:val="17"/>
              </w:rPr>
              <w:t xml:space="preserve">0</w:t>
            </w:r>
          </w:p>
        </w:tc>
        <w:tc>
          <w:tcPr>
            <w:tcW w:w="1616" w:type="dxa"/>
            <w:shd w:val="clear" w:color="auto" w:fill="F0E4F7"/>
          </w:tcPr>
          <w:p>
            <w:pPr>
              <w:pStyle w:val="TableText"/>
            </w:pPr>
            <w:r>
              <w:rPr>
                <w:b/>
                <w:bCs/>
                <w:color w:val="5E1A8A"/>
                <w:sz w:val="17"/>
                <w:szCs w:val="17"/>
              </w:rPr>
              <w:t xml:space="preserve">Validation Required</w:t>
            </w:r>
          </w:p>
        </w:tc>
        <w:tc>
          <w:tcPr>
            <w:tcW w:w="1212" w:type="dxa"/>
          </w:tcPr>
          <w:p>
            <w:pPr>
              <w:pStyle w:val="TableText"/>
            </w:pPr>
            <w:r>
              <w:rPr>
                <w:sz w:val="17"/>
                <w:szCs w:val="17"/>
              </w:rPr>
              <w:t xml:space="preserve">Medium</w:t>
            </w:r>
          </w:p>
        </w:tc>
        <w:tc>
          <w:tcPr>
            <w:tcW w:w="3507" w:type="dxa"/>
          </w:tcPr>
          <w:p>
            <w:pPr>
              <w:pStyle w:val="TableText"/>
            </w:pPr>
            <w:r>
              <w:rPr>
                <w:sz w:val="15"/>
                <w:szCs w:val="15"/>
              </w:rPr>
              <w:t xml:space="preserve">Validation required: Consumer editions are licensed for non-commercial use; confirm whether the device is used for business.</w:t>
            </w:r>
          </w:p>
        </w:tc>
      </w:tr>
      <w:tr>
        <w:trPr>
          <w:cantSplit/>
        </w:trPr>
        <w:tc>
          <w:tcPr>
            <w:tcW w:w="1616" w:type="dxa"/>
            <w:shd w:val="clear" w:color="auto" w:fill="F7F9FB"/>
          </w:tcPr>
          <w:p>
            <w:pPr>
              <w:pStyle w:val="TableText"/>
            </w:pPr>
            <w:r>
              <w:rPr>
                <w:color w:val="5B6475"/>
                <w:sz w:val="17"/>
                <w:szCs w:val="17"/>
              </w:rPr>
              <w:t xml:space="preserve">Office</w:t>
            </w:r>
          </w:p>
        </w:tc>
        <w:tc>
          <w:tcPr>
            <w:tcW w:w="3367" w:type="dxa"/>
            <w:shd w:val="clear" w:color="auto" w:fill="F7F9FB"/>
          </w:tcPr>
          <w:p>
            <w:pPr>
              <w:pStyle w:val="TableText"/>
            </w:pPr>
            <w:r>
              <w:rPr>
                <w:b/>
                <w:bCs/>
                <w:sz w:val="17"/>
                <w:szCs w:val="17"/>
              </w:rPr>
              <w:t xml:space="preserve">Office Professional Plus / LTSC Professional Plus (Device)</w:t>
            </w:r>
          </w:p>
        </w:tc>
        <w:tc>
          <w:tcPr>
            <w:tcW w:w="1077" w:type="dxa"/>
            <w:shd w:val="clear" w:color="auto" w:fill="F7F9FB"/>
          </w:tcPr>
          <w:p>
            <w:pPr>
              <w:pStyle w:val="TableText"/>
            </w:pPr>
            <w:r>
              <w:rPr>
                <w:sz w:val="17"/>
                <w:szCs w:val="17"/>
              </w:rPr>
              <w:t xml:space="preserve">Device</w:t>
            </w:r>
          </w:p>
        </w:tc>
        <w:tc>
          <w:tcPr>
            <w:tcW w:w="1077" w:type="dxa"/>
            <w:shd w:val="clear" w:color="auto" w:fill="F7F9FB"/>
          </w:tcPr>
          <w:p>
            <w:pPr>
              <w:pStyle w:val="TableText"/>
              <w:jc w:val="right"/>
            </w:pPr>
            <w:r>
              <w:rPr>
                <w:sz w:val="17"/>
                <w:szCs w:val="17"/>
              </w:rPr>
              <w:t xml:space="preserve">42</w:t>
            </w:r>
          </w:p>
        </w:tc>
        <w:tc>
          <w:tcPr>
            <w:tcW w:w="1212" w:type="dxa"/>
            <w:shd w:val="clear" w:color="auto" w:fill="F7F9FB"/>
          </w:tcPr>
          <w:p>
            <w:pPr>
              <w:pStyle w:val="TableText"/>
              <w:jc w:val="right"/>
            </w:pPr>
            <w:r>
              <w:rPr>
                <w:sz w:val="17"/>
                <w:szCs w:val="17"/>
              </w:rPr>
              <w:t xml:space="preserve">5</w:t>
            </w:r>
          </w:p>
        </w:tc>
        <w:tc>
          <w:tcPr>
            <w:tcW w:w="1616" w:type="dxa"/>
            <w:shd w:val="clear" w:color="auto" w:fill="F0E4F7"/>
          </w:tcPr>
          <w:p>
            <w:pPr>
              <w:pStyle w:val="TableText"/>
            </w:pPr>
            <w:r>
              <w:rPr>
                <w:b/>
                <w:bCs/>
                <w:color w:val="5E1A8A"/>
                <w:sz w:val="17"/>
                <w:szCs w:val="17"/>
              </w:rPr>
              <w:t xml:space="preserve">Validation Required</w:t>
            </w:r>
          </w:p>
        </w:tc>
        <w:tc>
          <w:tcPr>
            <w:tcW w:w="1212" w:type="dxa"/>
            <w:shd w:val="clear" w:color="auto" w:fill="F7F9FB"/>
          </w:tcPr>
          <w:p>
            <w:pPr>
              <w:pStyle w:val="TableText"/>
            </w:pPr>
            <w:r>
              <w:rPr>
                <w:sz w:val="17"/>
                <w:szCs w:val="17"/>
              </w:rPr>
              <w:t xml:space="preserve">Low</w:t>
            </w:r>
          </w:p>
        </w:tc>
        <w:tc>
          <w:tcPr>
            <w:tcW w:w="3507" w:type="dxa"/>
            <w:shd w:val="clear" w:color="auto" w:fill="F7F9FB"/>
          </w:tcPr>
          <w:p>
            <w:pPr>
              <w:pStyle w:val="TableText"/>
            </w:pPr>
            <w:r>
              <w:rPr>
                <w:sz w:val="15"/>
                <w:szCs w:val="15"/>
              </w:rPr>
              <w:t xml:space="preserve">Held via: Office LTSC Professional Plus 2021 [Excel] (5). Validation required: Devices accessing the Session Host are estimated.</w:t>
            </w:r>
          </w:p>
        </w:tc>
      </w:tr>
    </w:tbl>
    <w:p>
      <w:pPr>
        <w:spacing w:before="0" w:after="0" w:line="240" w:lineRule="auto"/>
        <w:rPr>
          <w:sz w:val="12"/>
          <w:szCs w:val="12"/>
        </w:rPr>
      </w:pPr>
    </w:p>
    <w:p>
      <w:pPr>
        <w:pStyle w:val="Heading1"/>
      </w:pPr>
      <w:bookmarkStart w:id="20" w:name="_TocMlat00020"/>
      <w:r>
        <w:t xml:space="preserve">Potential unused licenses</w:t>
      </w:r>
      <w:bookmarkEnd w:id="20"/>
    </w:p>
    <w:p>
      <w:r>
        <w:t xml:space="preserve">License inventory that exceeds the discovered requirement. Unused licenses may be explained by environments not in scope, future growth, or licenses required by agreement terms; validate before re-harvesting or reducing.</w:t>
      </w:r>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601"/>
        <w:gridCol w:w="3470"/>
        <w:gridCol w:w="1067"/>
        <w:gridCol w:w="1067"/>
        <w:gridCol w:w="1067"/>
        <w:gridCol w:w="1334"/>
        <w:gridCol w:w="1601"/>
        <w:gridCol w:w="3477"/>
      </w:tblGrid>
      <w:tr>
        <w:trPr>
          <w:cantSplit/>
          <w:tblHeader/>
        </w:trPr>
        <w:tc>
          <w:tcPr>
            <w:tcW w:w="1601" w:type="dxa"/>
            <w:shd w:val="clear" w:color="auto" w:fill="1F3A5F"/>
            <w:vAlign w:val="bottom"/>
          </w:tcPr>
          <w:p>
            <w:pPr>
              <w:pStyle w:val="TableText"/>
              <w:keepNext/>
            </w:pPr>
            <w:r>
              <w:rPr>
                <w:b/>
                <w:bCs/>
                <w:color w:val="FFFFFF"/>
                <w:sz w:val="17"/>
                <w:szCs w:val="17"/>
              </w:rPr>
              <w:t xml:space="preserve">Product</w:t>
            </w:r>
          </w:p>
        </w:tc>
        <w:tc>
          <w:tcPr>
            <w:tcW w:w="3470" w:type="dxa"/>
            <w:shd w:val="clear" w:color="auto" w:fill="1F3A5F"/>
            <w:vAlign w:val="bottom"/>
          </w:tcPr>
          <w:p>
            <w:pPr>
              <w:pStyle w:val="TableText"/>
              <w:keepNext/>
            </w:pPr>
            <w:r>
              <w:rPr>
                <w:b/>
                <w:bCs/>
                <w:color w:val="FFFFFF"/>
                <w:sz w:val="17"/>
                <w:szCs w:val="17"/>
              </w:rPr>
              <w:t xml:space="preserve">License</w:t>
            </w:r>
          </w:p>
        </w:tc>
        <w:tc>
          <w:tcPr>
            <w:tcW w:w="1067" w:type="dxa"/>
            <w:shd w:val="clear" w:color="auto" w:fill="1F3A5F"/>
            <w:vAlign w:val="bottom"/>
          </w:tcPr>
          <w:p>
            <w:pPr>
              <w:pStyle w:val="TableText"/>
              <w:keepNext/>
              <w:jc w:val="right"/>
            </w:pPr>
            <w:r>
              <w:rPr>
                <w:b/>
                <w:bCs/>
                <w:color w:val="FFFFFF"/>
                <w:sz w:val="17"/>
                <w:szCs w:val="17"/>
              </w:rPr>
              <w:t xml:space="preserve">Purchased</w:t>
            </w:r>
          </w:p>
        </w:tc>
        <w:tc>
          <w:tcPr>
            <w:tcW w:w="1067" w:type="dxa"/>
            <w:shd w:val="clear" w:color="auto" w:fill="1F3A5F"/>
            <w:vAlign w:val="bottom"/>
          </w:tcPr>
          <w:p>
            <w:pPr>
              <w:pStyle w:val="TableText"/>
              <w:keepNext/>
              <w:jc w:val="right"/>
            </w:pPr>
            <w:r>
              <w:rPr>
                <w:b/>
                <w:bCs/>
                <w:color w:val="FFFFFF"/>
                <w:sz w:val="17"/>
                <w:szCs w:val="17"/>
              </w:rPr>
              <w:t xml:space="preserve">Assigned</w:t>
            </w:r>
          </w:p>
        </w:tc>
        <w:tc>
          <w:tcPr>
            <w:tcW w:w="1067" w:type="dxa"/>
            <w:shd w:val="clear" w:color="auto" w:fill="1F3A5F"/>
            <w:vAlign w:val="bottom"/>
          </w:tcPr>
          <w:p>
            <w:pPr>
              <w:pStyle w:val="TableText"/>
              <w:keepNext/>
              <w:jc w:val="right"/>
            </w:pPr>
            <w:r>
              <w:rPr>
                <w:b/>
                <w:bCs/>
                <w:color w:val="FFFFFF"/>
                <w:sz w:val="17"/>
                <w:szCs w:val="17"/>
              </w:rPr>
              <w:t xml:space="preserve">Required</w:t>
            </w:r>
          </w:p>
        </w:tc>
        <w:tc>
          <w:tcPr>
            <w:tcW w:w="1334" w:type="dxa"/>
            <w:shd w:val="clear" w:color="auto" w:fill="1F3A5F"/>
            <w:vAlign w:val="bottom"/>
          </w:tcPr>
          <w:p>
            <w:pPr>
              <w:pStyle w:val="TableText"/>
              <w:keepNext/>
              <w:jc w:val="right"/>
            </w:pPr>
            <w:r>
              <w:rPr>
                <w:b/>
                <w:bCs/>
                <w:color w:val="FFFFFF"/>
                <w:sz w:val="17"/>
                <w:szCs w:val="17"/>
              </w:rPr>
              <w:t xml:space="preserve">Potentially unused</w:t>
            </w:r>
          </w:p>
        </w:tc>
        <w:tc>
          <w:tcPr>
            <w:tcW w:w="1601" w:type="dxa"/>
            <w:shd w:val="clear" w:color="auto" w:fill="1F3A5F"/>
            <w:vAlign w:val="bottom"/>
          </w:tcPr>
          <w:p>
            <w:pPr>
              <w:pStyle w:val="TableText"/>
              <w:keepNext/>
            </w:pPr>
            <w:r>
              <w:rPr>
                <w:b/>
                <w:bCs/>
                <w:color w:val="FFFFFF"/>
                <w:sz w:val="17"/>
                <w:szCs w:val="17"/>
              </w:rPr>
              <w:t xml:space="preserve">Status</w:t>
            </w:r>
          </w:p>
        </w:tc>
        <w:tc>
          <w:tcPr>
            <w:tcW w:w="3477" w:type="dxa"/>
            <w:shd w:val="clear" w:color="auto" w:fill="1F3A5F"/>
            <w:vAlign w:val="bottom"/>
          </w:tcPr>
          <w:p>
            <w:pPr>
              <w:pStyle w:val="TableText"/>
              <w:keepNext/>
            </w:pPr>
            <w:r>
              <w:rPr>
                <w:b/>
                <w:bCs/>
                <w:color w:val="FFFFFF"/>
                <w:sz w:val="17"/>
                <w:szCs w:val="17"/>
              </w:rPr>
              <w:t xml:space="preserve">Notes</w:t>
            </w:r>
          </w:p>
        </w:tc>
      </w:tr>
      <w:tr>
        <w:trPr>
          <w:cantSplit/>
        </w:trPr>
        <w:tc>
          <w:tcPr>
            <w:tcW w:w="1601" w:type="dxa"/>
          </w:tcPr>
          <w:p>
            <w:pPr>
              <w:pStyle w:val="TableText"/>
            </w:pPr>
            <w:r>
              <w:rPr>
                <w:color w:val="5B6475"/>
                <w:sz w:val="17"/>
                <w:szCs w:val="17"/>
              </w:rPr>
              <w:t xml:space="preserve">Exchange Server</w:t>
            </w:r>
          </w:p>
        </w:tc>
        <w:tc>
          <w:tcPr>
            <w:tcW w:w="3470" w:type="dxa"/>
          </w:tcPr>
          <w:p>
            <w:pPr>
              <w:pStyle w:val="TableText"/>
            </w:pPr>
            <w:r>
              <w:rPr>
                <w:b/>
                <w:bCs/>
                <w:sz w:val="17"/>
                <w:szCs w:val="17"/>
              </w:rPr>
              <w:t xml:space="preserve">Exchange Server Standard CAL (User)</w:t>
            </w:r>
          </w:p>
        </w:tc>
        <w:tc>
          <w:tcPr>
            <w:tcW w:w="1067" w:type="dxa"/>
          </w:tcPr>
          <w:p>
            <w:pPr>
              <w:pStyle w:val="TableText"/>
              <w:jc w:val="right"/>
            </w:pPr>
            <w:r>
              <w:rPr>
                <w:sz w:val="17"/>
                <w:szCs w:val="17"/>
              </w:rPr>
              <w:t xml:space="preserve">270</w:t>
            </w:r>
          </w:p>
        </w:tc>
        <w:tc>
          <w:tcPr>
            <w:tcW w:w="1067" w:type="dxa"/>
          </w:tcPr>
          <w:p>
            <w:pPr>
              <w:pStyle w:val="TableText"/>
              <w:jc w:val="right"/>
            </w:pPr>
            <w:r>
              <w:rPr>
                <w:sz w:val="17"/>
                <w:szCs w:val="17"/>
              </w:rPr>
              <w:t xml:space="preserve">–</w:t>
            </w:r>
          </w:p>
        </w:tc>
        <w:tc>
          <w:tcPr>
            <w:tcW w:w="1067" w:type="dxa"/>
          </w:tcPr>
          <w:p>
            <w:pPr>
              <w:pStyle w:val="TableText"/>
              <w:jc w:val="right"/>
            </w:pPr>
            <w:r>
              <w:rPr>
                <w:sz w:val="17"/>
                <w:szCs w:val="17"/>
              </w:rPr>
              <w:t xml:space="preserve">168</w:t>
            </w:r>
          </w:p>
        </w:tc>
        <w:tc>
          <w:tcPr>
            <w:tcW w:w="1334" w:type="dxa"/>
          </w:tcPr>
          <w:p>
            <w:pPr>
              <w:pStyle w:val="TableText"/>
              <w:jc w:val="right"/>
            </w:pPr>
            <w:r>
              <w:rPr>
                <w:b/>
                <w:bCs/>
                <w:color w:val="17508F"/>
                <w:sz w:val="17"/>
                <w:szCs w:val="17"/>
              </w:rPr>
              <w:t xml:space="preserve">102</w:t>
            </w:r>
          </w:p>
        </w:tc>
        <w:tc>
          <w:tcPr>
            <w:tcW w:w="1601" w:type="dxa"/>
            <w:shd w:val="clear" w:color="auto" w:fill="E3F2E5"/>
          </w:tcPr>
          <w:p>
            <w:pPr>
              <w:pStyle w:val="TableText"/>
            </w:pPr>
            <w:r>
              <w:rPr>
                <w:b/>
                <w:bCs/>
                <w:color w:val="1E6B2A"/>
                <w:sz w:val="17"/>
                <w:szCs w:val="17"/>
              </w:rPr>
              <w:t xml:space="preserve">Covered</w:t>
            </w:r>
          </w:p>
        </w:tc>
        <w:tc>
          <w:tcPr>
            <w:tcW w:w="3477" w:type="dxa"/>
          </w:tcPr>
          <w:p>
            <w:pPr>
              <w:pStyle w:val="TableText"/>
            </w:pPr>
            <w:r>
              <w:rPr>
                <w:sz w:val="15"/>
                <w:szCs w:val="15"/>
              </w:rPr>
              <w:t xml:space="preserve">Held via: Microsoft 365 E3 - per user (subscription) [SPE_E3] (150); Exchange Server 2019 Standard CAL - User [Excel] (120)</w:t>
            </w:r>
          </w:p>
        </w:tc>
      </w:tr>
      <w:tr>
        <w:trPr>
          <w:cantSplit/>
        </w:trPr>
        <w:tc>
          <w:tcPr>
            <w:tcW w:w="1601" w:type="dxa"/>
            <w:shd w:val="clear" w:color="auto" w:fill="F7F9FB"/>
          </w:tcPr>
          <w:p>
            <w:pPr>
              <w:pStyle w:val="TableText"/>
            </w:pPr>
            <w:r>
              <w:rPr>
                <w:color w:val="5B6475"/>
                <w:sz w:val="17"/>
                <w:szCs w:val="17"/>
              </w:rPr>
              <w:t xml:space="preserve">Windows Server</w:t>
            </w:r>
          </w:p>
        </w:tc>
        <w:tc>
          <w:tcPr>
            <w:tcW w:w="3470" w:type="dxa"/>
            <w:shd w:val="clear" w:color="auto" w:fill="F7F9FB"/>
          </w:tcPr>
          <w:p>
            <w:pPr>
              <w:pStyle w:val="TableText"/>
            </w:pPr>
            <w:r>
              <w:rPr>
                <w:b/>
                <w:bCs/>
                <w:sz w:val="17"/>
                <w:szCs w:val="17"/>
              </w:rPr>
              <w:t xml:space="preserve">Windows Server CAL (User)</w:t>
            </w:r>
          </w:p>
        </w:tc>
        <w:tc>
          <w:tcPr>
            <w:tcW w:w="1067" w:type="dxa"/>
            <w:shd w:val="clear" w:color="auto" w:fill="F7F9FB"/>
          </w:tcPr>
          <w:p>
            <w:pPr>
              <w:pStyle w:val="TableText"/>
              <w:jc w:val="right"/>
            </w:pPr>
            <w:r>
              <w:rPr>
                <w:sz w:val="17"/>
                <w:szCs w:val="17"/>
              </w:rPr>
              <w:t xml:space="preserve">250</w:t>
            </w:r>
          </w:p>
        </w:tc>
        <w:tc>
          <w:tcPr>
            <w:tcW w:w="1067" w:type="dxa"/>
            <w:shd w:val="clear" w:color="auto" w:fill="F7F9FB"/>
          </w:tcPr>
          <w:p>
            <w:pPr>
              <w:pStyle w:val="TableText"/>
              <w:jc w:val="right"/>
            </w:pPr>
            <w:r>
              <w:rPr>
                <w:sz w:val="17"/>
                <w:szCs w:val="17"/>
              </w:rPr>
              <w:t xml:space="preserve">–</w:t>
            </w:r>
          </w:p>
        </w:tc>
        <w:tc>
          <w:tcPr>
            <w:tcW w:w="1067" w:type="dxa"/>
            <w:shd w:val="clear" w:color="auto" w:fill="F7F9FB"/>
          </w:tcPr>
          <w:p>
            <w:pPr>
              <w:pStyle w:val="TableText"/>
              <w:jc w:val="right"/>
            </w:pPr>
            <w:r>
              <w:rPr>
                <w:sz w:val="17"/>
                <w:szCs w:val="17"/>
              </w:rPr>
              <w:t xml:space="preserve">168</w:t>
            </w:r>
          </w:p>
        </w:tc>
        <w:tc>
          <w:tcPr>
            <w:tcW w:w="1334" w:type="dxa"/>
            <w:shd w:val="clear" w:color="auto" w:fill="F7F9FB"/>
          </w:tcPr>
          <w:p>
            <w:pPr>
              <w:pStyle w:val="TableText"/>
              <w:jc w:val="right"/>
            </w:pPr>
            <w:r>
              <w:rPr>
                <w:b/>
                <w:bCs/>
                <w:color w:val="17508F"/>
                <w:sz w:val="17"/>
                <w:szCs w:val="17"/>
              </w:rPr>
              <w:t xml:space="preserve">100</w:t>
            </w:r>
          </w:p>
        </w:tc>
        <w:tc>
          <w:tcPr>
            <w:tcW w:w="1601" w:type="dxa"/>
            <w:shd w:val="clear" w:color="auto" w:fill="FFF2CC"/>
          </w:tcPr>
          <w:p>
            <w:pPr>
              <w:pStyle w:val="TableText"/>
            </w:pPr>
            <w:r>
              <w:rPr>
                <w:b/>
                <w:bCs/>
                <w:color w:val="7A5600"/>
                <w:sz w:val="17"/>
                <w:szCs w:val="17"/>
              </w:rPr>
              <w:t xml:space="preserve">Partially Covered</w:t>
            </w:r>
          </w:p>
        </w:tc>
        <w:tc>
          <w:tcPr>
            <w:tcW w:w="3477" w:type="dxa"/>
            <w:shd w:val="clear" w:color="auto" w:fill="F7F9FB"/>
          </w:tcPr>
          <w:p>
            <w:pPr>
              <w:pStyle w:val="TableText"/>
            </w:pPr>
            <w:r>
              <w:rPr>
                <w:sz w:val="15"/>
                <w:szCs w:val="15"/>
              </w:rPr>
              <w:t xml:space="preserve">Held via: Microsoft 365 E3 - per user (subscription) [SPE_E3] (150); Windows Server 2019 CAL - User [Excel] (100). 100 license(s) held cannot be applied because of their version: Windows Server 2019 CAL - User [Excel] (100 unused, version 2019) - earlier than the deployed version 2022 and no Software Assurance recorded</w:t>
            </w:r>
          </w:p>
        </w:tc>
      </w:tr>
      <w:tr>
        <w:trPr>
          <w:cantSplit/>
        </w:trPr>
        <w:tc>
          <w:tcPr>
            <w:tcW w:w="1601" w:type="dxa"/>
          </w:tcPr>
          <w:p>
            <w:pPr>
              <w:pStyle w:val="TableText"/>
            </w:pPr>
            <w:r>
              <w:rPr>
                <w:color w:val="5B6475"/>
                <w:sz w:val="17"/>
                <w:szCs w:val="17"/>
              </w:rPr>
              <w:t xml:space="preserve">Windows Server</w:t>
            </w:r>
          </w:p>
        </w:tc>
        <w:tc>
          <w:tcPr>
            <w:tcW w:w="3470" w:type="dxa"/>
          </w:tcPr>
          <w:p>
            <w:pPr>
              <w:pStyle w:val="TableText"/>
            </w:pPr>
            <w:r>
              <w:rPr>
                <w:b/>
                <w:bCs/>
                <w:sz w:val="17"/>
                <w:szCs w:val="17"/>
              </w:rPr>
              <w:t xml:space="preserve">Windows Server Standard core license</w:t>
            </w:r>
          </w:p>
        </w:tc>
        <w:tc>
          <w:tcPr>
            <w:tcW w:w="1067" w:type="dxa"/>
          </w:tcPr>
          <w:p>
            <w:pPr>
              <w:pStyle w:val="TableText"/>
              <w:jc w:val="right"/>
            </w:pPr>
            <w:r>
              <w:rPr>
                <w:sz w:val="17"/>
                <w:szCs w:val="17"/>
              </w:rPr>
              <w:t xml:space="preserve">32</w:t>
            </w:r>
          </w:p>
        </w:tc>
        <w:tc>
          <w:tcPr>
            <w:tcW w:w="1067" w:type="dxa"/>
          </w:tcPr>
          <w:p>
            <w:pPr>
              <w:pStyle w:val="TableText"/>
              <w:jc w:val="right"/>
            </w:pPr>
            <w:r>
              <w:rPr>
                <w:sz w:val="17"/>
                <w:szCs w:val="17"/>
              </w:rPr>
              <w:t xml:space="preserve">–</w:t>
            </w:r>
          </w:p>
        </w:tc>
        <w:tc>
          <w:tcPr>
            <w:tcW w:w="1067" w:type="dxa"/>
          </w:tcPr>
          <w:p>
            <w:pPr>
              <w:pStyle w:val="TableText"/>
              <w:jc w:val="right"/>
            </w:pPr>
            <w:r>
              <w:rPr>
                <w:sz w:val="17"/>
                <w:szCs w:val="17"/>
              </w:rPr>
              <w:t xml:space="preserve">112</w:t>
            </w:r>
          </w:p>
        </w:tc>
        <w:tc>
          <w:tcPr>
            <w:tcW w:w="1334" w:type="dxa"/>
          </w:tcPr>
          <w:p>
            <w:pPr>
              <w:pStyle w:val="TableText"/>
              <w:jc w:val="right"/>
            </w:pPr>
            <w:r>
              <w:rPr>
                <w:b/>
                <w:bCs/>
                <w:color w:val="17508F"/>
                <w:sz w:val="17"/>
                <w:szCs w:val="17"/>
              </w:rPr>
              <w:t xml:space="preserve">32</w:t>
            </w:r>
          </w:p>
        </w:tc>
        <w:tc>
          <w:tcPr>
            <w:tcW w:w="1601" w:type="dxa"/>
            <w:shd w:val="clear" w:color="auto" w:fill="FCE4E4"/>
          </w:tcPr>
          <w:p>
            <w:pPr>
              <w:pStyle w:val="TableText"/>
            </w:pPr>
            <w:r>
              <w:rPr>
                <w:b/>
                <w:bCs/>
                <w:color w:val="A61B1B"/>
                <w:sz w:val="17"/>
                <w:szCs w:val="17"/>
              </w:rPr>
              <w:t xml:space="preserve">Potential Gap</w:t>
            </w:r>
          </w:p>
        </w:tc>
        <w:tc>
          <w:tcPr>
            <w:tcW w:w="3477" w:type="dxa"/>
          </w:tcPr>
          <w:p>
            <w:pPr>
              <w:pStyle w:val="TableText"/>
            </w:pPr>
            <w:r>
              <w:rPr>
                <w:sz w:val="15"/>
                <w:szCs w:val="15"/>
              </w:rPr>
              <w:t xml:space="preserve">Held via: Windows Server 2019 Standard - core licenses [Excel] (32). 32 license(s) held cannot be applied because of their version: Windows Server 2019 Standard - core licenses [Excel] (32 unused, version 2019) - earlier than the deployed version 2022 and no Software Assurance recorded</w:t>
            </w:r>
          </w:p>
        </w:tc>
      </w:tr>
      <w:tr>
        <w:trPr>
          <w:cantSplit/>
        </w:trPr>
        <w:tc>
          <w:tcPr>
            <w:tcW w:w="1601" w:type="dxa"/>
            <w:shd w:val="clear" w:color="auto" w:fill="F7F9FB"/>
          </w:tcPr>
          <w:p>
            <w:pPr>
              <w:pStyle w:val="TableText"/>
            </w:pPr>
            <w:r>
              <w:rPr>
                <w:color w:val="5B6475"/>
                <w:sz w:val="17"/>
                <w:szCs w:val="17"/>
              </w:rPr>
              <w:t xml:space="preserve">Remote Desktop Services</w:t>
            </w:r>
          </w:p>
        </w:tc>
        <w:tc>
          <w:tcPr>
            <w:tcW w:w="3470" w:type="dxa"/>
            <w:shd w:val="clear" w:color="auto" w:fill="F7F9FB"/>
          </w:tcPr>
          <w:p>
            <w:pPr>
              <w:pStyle w:val="TableText"/>
            </w:pPr>
            <w:r>
              <w:rPr>
                <w:b/>
                <w:bCs/>
                <w:sz w:val="17"/>
                <w:szCs w:val="17"/>
              </w:rPr>
              <w:t xml:space="preserve">Remote Desktop Services CAL (User)</w:t>
            </w:r>
          </w:p>
        </w:tc>
        <w:tc>
          <w:tcPr>
            <w:tcW w:w="1067" w:type="dxa"/>
            <w:shd w:val="clear" w:color="auto" w:fill="F7F9FB"/>
          </w:tcPr>
          <w:p>
            <w:pPr>
              <w:pStyle w:val="TableText"/>
              <w:jc w:val="right"/>
            </w:pPr>
            <w:r>
              <w:rPr>
                <w:sz w:val="17"/>
                <w:szCs w:val="17"/>
              </w:rPr>
              <w:t xml:space="preserve">25</w:t>
            </w:r>
          </w:p>
        </w:tc>
        <w:tc>
          <w:tcPr>
            <w:tcW w:w="1067" w:type="dxa"/>
            <w:shd w:val="clear" w:color="auto" w:fill="F7F9FB"/>
          </w:tcPr>
          <w:p>
            <w:pPr>
              <w:pStyle w:val="TableText"/>
              <w:jc w:val="right"/>
            </w:pPr>
            <w:r>
              <w:rPr>
                <w:sz w:val="17"/>
                <w:szCs w:val="17"/>
              </w:rPr>
              <w:t xml:space="preserve">–</w:t>
            </w:r>
          </w:p>
        </w:tc>
        <w:tc>
          <w:tcPr>
            <w:tcW w:w="1067" w:type="dxa"/>
            <w:shd w:val="clear" w:color="auto" w:fill="F7F9FB"/>
          </w:tcPr>
          <w:p>
            <w:pPr>
              <w:pStyle w:val="TableText"/>
              <w:jc w:val="right"/>
            </w:pPr>
            <w:r>
              <w:rPr>
                <w:sz w:val="17"/>
                <w:szCs w:val="17"/>
              </w:rPr>
              <w:t xml:space="preserve">42</w:t>
            </w:r>
          </w:p>
        </w:tc>
        <w:tc>
          <w:tcPr>
            <w:tcW w:w="1334" w:type="dxa"/>
            <w:shd w:val="clear" w:color="auto" w:fill="F7F9FB"/>
          </w:tcPr>
          <w:p>
            <w:pPr>
              <w:pStyle w:val="TableText"/>
              <w:jc w:val="right"/>
            </w:pPr>
            <w:r>
              <w:rPr>
                <w:b/>
                <w:bCs/>
                <w:color w:val="17508F"/>
                <w:sz w:val="17"/>
                <w:szCs w:val="17"/>
              </w:rPr>
              <w:t xml:space="preserve">25</w:t>
            </w:r>
          </w:p>
        </w:tc>
        <w:tc>
          <w:tcPr>
            <w:tcW w:w="1601" w:type="dxa"/>
            <w:shd w:val="clear" w:color="auto" w:fill="FCE4E4"/>
          </w:tcPr>
          <w:p>
            <w:pPr>
              <w:pStyle w:val="TableText"/>
            </w:pPr>
            <w:r>
              <w:rPr>
                <w:b/>
                <w:bCs/>
                <w:color w:val="A61B1B"/>
                <w:sz w:val="17"/>
                <w:szCs w:val="17"/>
              </w:rPr>
              <w:t xml:space="preserve">Potential Gap</w:t>
            </w:r>
          </w:p>
        </w:tc>
        <w:tc>
          <w:tcPr>
            <w:tcW w:w="3477" w:type="dxa"/>
            <w:shd w:val="clear" w:color="auto" w:fill="F7F9FB"/>
          </w:tcPr>
          <w:p>
            <w:pPr>
              <w:pStyle w:val="TableText"/>
            </w:pPr>
            <w:r>
              <w:rPr>
                <w:sz w:val="15"/>
                <w:szCs w:val="15"/>
              </w:rPr>
              <w:t xml:space="preserve">Held via: RDS 2019 CAL - User [Excel] (25). 25 license(s) held cannot be applied because of their version: RDS 2019 CAL - User [Excel] (25 unused, version 2019) - earlier than the deployed version 2022 and no Software Assurance recorded</w:t>
            </w:r>
          </w:p>
        </w:tc>
      </w:tr>
      <w:tr>
        <w:trPr>
          <w:cantSplit/>
        </w:trPr>
        <w:tc>
          <w:tcPr>
            <w:tcW w:w="1601" w:type="dxa"/>
          </w:tcPr>
          <w:p>
            <w:pPr>
              <w:pStyle w:val="TableText"/>
            </w:pPr>
            <w:r>
              <w:rPr>
                <w:color w:val="5B6475"/>
                <w:sz w:val="17"/>
                <w:szCs w:val="17"/>
              </w:rPr>
              <w:t xml:space="preserve">Microsoft 365</w:t>
            </w:r>
          </w:p>
        </w:tc>
        <w:tc>
          <w:tcPr>
            <w:tcW w:w="3470" w:type="dxa"/>
          </w:tcPr>
          <w:p>
            <w:pPr>
              <w:pStyle w:val="TableText"/>
            </w:pPr>
            <w:r>
              <w:rPr>
                <w:b/>
                <w:bCs/>
                <w:sz w:val="17"/>
                <w:szCs w:val="17"/>
              </w:rPr>
              <w:t xml:space="preserve">Microsoft 365 Apps desktop rights (User)</w:t>
            </w:r>
          </w:p>
        </w:tc>
        <w:tc>
          <w:tcPr>
            <w:tcW w:w="1067" w:type="dxa"/>
          </w:tcPr>
          <w:p>
            <w:pPr>
              <w:pStyle w:val="TableText"/>
              <w:jc w:val="right"/>
            </w:pPr>
            <w:r>
              <w:rPr>
                <w:sz w:val="17"/>
                <w:szCs w:val="17"/>
              </w:rPr>
              <w:t xml:space="preserve">180</w:t>
            </w:r>
          </w:p>
        </w:tc>
        <w:tc>
          <w:tcPr>
            <w:tcW w:w="1067" w:type="dxa"/>
          </w:tcPr>
          <w:p>
            <w:pPr>
              <w:pStyle w:val="TableText"/>
              <w:jc w:val="right"/>
            </w:pPr>
            <w:r>
              <w:rPr>
                <w:sz w:val="17"/>
                <w:szCs w:val="17"/>
              </w:rPr>
              <w:t xml:space="preserve">165</w:t>
            </w:r>
          </w:p>
        </w:tc>
        <w:tc>
          <w:tcPr>
            <w:tcW w:w="1067" w:type="dxa"/>
          </w:tcPr>
          <w:p>
            <w:pPr>
              <w:pStyle w:val="TableText"/>
              <w:jc w:val="right"/>
            </w:pPr>
            <w:r>
              <w:rPr>
                <w:sz w:val="17"/>
                <w:szCs w:val="17"/>
              </w:rPr>
              <w:t xml:space="preserve">10</w:t>
            </w:r>
          </w:p>
        </w:tc>
        <w:tc>
          <w:tcPr>
            <w:tcW w:w="1334" w:type="dxa"/>
          </w:tcPr>
          <w:p>
            <w:pPr>
              <w:pStyle w:val="TableText"/>
              <w:jc w:val="right"/>
            </w:pPr>
            <w:r>
              <w:rPr>
                <w:b/>
                <w:bCs/>
                <w:color w:val="17508F"/>
                <w:sz w:val="17"/>
                <w:szCs w:val="17"/>
              </w:rPr>
              <w:t xml:space="preserve">15</w:t>
            </w:r>
          </w:p>
        </w:tc>
        <w:tc>
          <w:tcPr>
            <w:tcW w:w="1601" w:type="dxa"/>
            <w:shd w:val="clear" w:color="auto" w:fill="E3F2E5"/>
          </w:tcPr>
          <w:p>
            <w:pPr>
              <w:pStyle w:val="TableText"/>
            </w:pPr>
            <w:r>
              <w:rPr>
                <w:b/>
                <w:bCs/>
                <w:color w:val="1E6B2A"/>
                <w:sz w:val="17"/>
                <w:szCs w:val="17"/>
              </w:rPr>
              <w:t xml:space="preserve">Covered</w:t>
            </w:r>
          </w:p>
        </w:tc>
        <w:tc>
          <w:tcPr>
            <w:tcW w:w="3477" w:type="dxa"/>
          </w:tcPr>
          <w:p>
            <w:pPr>
              <w:pStyle w:val="TableText"/>
            </w:pPr>
            <w:r>
              <w:rPr>
                <w:sz w:val="15"/>
                <w:szCs w:val="15"/>
              </w:rPr>
              <w:t xml:space="preserve">Held via: Microsoft 365 E3 - per user (subscription) [SPE_E3] (150); Microsoft 365 Business Standard - per user (subscription) [O365_BUSINESS_PREMIUM] (20); Office 365 E5 - per user (subscription) [ENTERPRISEPREMIUM] (10)</w:t>
            </w:r>
          </w:p>
        </w:tc>
      </w:tr>
      <w:tr>
        <w:trPr>
          <w:cantSplit/>
        </w:trPr>
        <w:tc>
          <w:tcPr>
            <w:tcW w:w="1601" w:type="dxa"/>
            <w:shd w:val="clear" w:color="auto" w:fill="F7F9FB"/>
          </w:tcPr>
          <w:p>
            <w:pPr>
              <w:pStyle w:val="TableText"/>
            </w:pPr>
            <w:r>
              <w:rPr>
                <w:color w:val="5B6475"/>
                <w:sz w:val="17"/>
                <w:szCs w:val="17"/>
              </w:rPr>
              <w:t xml:space="preserve">Microsoft Entra ID</w:t>
            </w:r>
          </w:p>
        </w:tc>
        <w:tc>
          <w:tcPr>
            <w:tcW w:w="3470" w:type="dxa"/>
            <w:shd w:val="clear" w:color="auto" w:fill="F7F9FB"/>
          </w:tcPr>
          <w:p>
            <w:pPr>
              <w:pStyle w:val="TableText"/>
            </w:pPr>
            <w:r>
              <w:rPr>
                <w:b/>
                <w:bCs/>
                <w:sz w:val="17"/>
                <w:szCs w:val="17"/>
              </w:rPr>
              <w:t xml:space="preserve">Microsoft Entra ID P1 (User)</w:t>
            </w:r>
          </w:p>
        </w:tc>
        <w:tc>
          <w:tcPr>
            <w:tcW w:w="1067" w:type="dxa"/>
            <w:shd w:val="clear" w:color="auto" w:fill="F7F9FB"/>
          </w:tcPr>
          <w:p>
            <w:pPr>
              <w:pStyle w:val="TableText"/>
              <w:jc w:val="right"/>
            </w:pPr>
            <w:r>
              <w:rPr>
                <w:sz w:val="17"/>
                <w:szCs w:val="17"/>
              </w:rPr>
              <w:t xml:space="preserve">150</w:t>
            </w:r>
          </w:p>
        </w:tc>
        <w:tc>
          <w:tcPr>
            <w:tcW w:w="1067" w:type="dxa"/>
            <w:shd w:val="clear" w:color="auto" w:fill="F7F9FB"/>
          </w:tcPr>
          <w:p>
            <w:pPr>
              <w:pStyle w:val="TableText"/>
              <w:jc w:val="right"/>
            </w:pPr>
            <w:r>
              <w:rPr>
                <w:sz w:val="17"/>
                <w:szCs w:val="17"/>
              </w:rPr>
              <w:t xml:space="preserve">141</w:t>
            </w:r>
          </w:p>
        </w:tc>
        <w:tc>
          <w:tcPr>
            <w:tcW w:w="1067" w:type="dxa"/>
            <w:shd w:val="clear" w:color="auto" w:fill="F7F9FB"/>
          </w:tcPr>
          <w:p>
            <w:pPr>
              <w:pStyle w:val="TableText"/>
              <w:jc w:val="right"/>
            </w:pPr>
            <w:r>
              <w:rPr>
                <w:sz w:val="17"/>
                <w:szCs w:val="17"/>
              </w:rPr>
              <w:t xml:space="preserve">168</w:t>
            </w:r>
          </w:p>
        </w:tc>
        <w:tc>
          <w:tcPr>
            <w:tcW w:w="1334" w:type="dxa"/>
            <w:shd w:val="clear" w:color="auto" w:fill="F7F9FB"/>
          </w:tcPr>
          <w:p>
            <w:pPr>
              <w:pStyle w:val="TableText"/>
              <w:jc w:val="right"/>
            </w:pPr>
            <w:r>
              <w:rPr>
                <w:b/>
                <w:bCs/>
                <w:color w:val="17508F"/>
                <w:sz w:val="17"/>
                <w:szCs w:val="17"/>
              </w:rPr>
              <w:t xml:space="preserve">9</w:t>
            </w:r>
          </w:p>
        </w:tc>
        <w:tc>
          <w:tcPr>
            <w:tcW w:w="1601" w:type="dxa"/>
            <w:shd w:val="clear" w:color="auto" w:fill="FFF2CC"/>
          </w:tcPr>
          <w:p>
            <w:pPr>
              <w:pStyle w:val="TableText"/>
            </w:pPr>
            <w:r>
              <w:rPr>
                <w:b/>
                <w:bCs/>
                <w:color w:val="7A5600"/>
                <w:sz w:val="17"/>
                <w:szCs w:val="17"/>
              </w:rPr>
              <w:t xml:space="preserve">Partially Covered</w:t>
            </w:r>
          </w:p>
        </w:tc>
        <w:tc>
          <w:tcPr>
            <w:tcW w:w="3477" w:type="dxa"/>
            <w:shd w:val="clear" w:color="auto" w:fill="F7F9FB"/>
          </w:tcPr>
          <w:p>
            <w:pPr>
              <w:pStyle w:val="TableText"/>
            </w:pPr>
            <w:r>
              <w:rPr>
                <w:sz w:val="15"/>
                <w:szCs w:val="15"/>
              </w:rPr>
              <w:t xml:space="preserve">Held via: Microsoft 365 E3 - per user (subscription) [SPE_E3] (150)</w:t>
            </w:r>
          </w:p>
        </w:tc>
      </w:tr>
      <w:tr>
        <w:trPr>
          <w:cantSplit/>
        </w:trPr>
        <w:tc>
          <w:tcPr>
            <w:tcW w:w="1601" w:type="dxa"/>
          </w:tcPr>
          <w:p>
            <w:pPr>
              <w:pStyle w:val="TableText"/>
            </w:pPr>
            <w:r>
              <w:rPr>
                <w:color w:val="5B6475"/>
                <w:sz w:val="17"/>
                <w:szCs w:val="17"/>
              </w:rPr>
              <w:t xml:space="preserve">Microsoft Intune</w:t>
            </w:r>
          </w:p>
        </w:tc>
        <w:tc>
          <w:tcPr>
            <w:tcW w:w="3470" w:type="dxa"/>
          </w:tcPr>
          <w:p>
            <w:pPr>
              <w:pStyle w:val="TableText"/>
            </w:pPr>
            <w:r>
              <w:rPr>
                <w:b/>
                <w:bCs/>
                <w:sz w:val="17"/>
                <w:szCs w:val="17"/>
              </w:rPr>
              <w:t xml:space="preserve">Microsoft Intune Plan 1 (User)</w:t>
            </w:r>
          </w:p>
        </w:tc>
        <w:tc>
          <w:tcPr>
            <w:tcW w:w="1067" w:type="dxa"/>
          </w:tcPr>
          <w:p>
            <w:pPr>
              <w:pStyle w:val="TableText"/>
              <w:jc w:val="right"/>
            </w:pPr>
            <w:r>
              <w:rPr>
                <w:sz w:val="17"/>
                <w:szCs w:val="17"/>
              </w:rPr>
              <w:t xml:space="preserve">150</w:t>
            </w:r>
          </w:p>
        </w:tc>
        <w:tc>
          <w:tcPr>
            <w:tcW w:w="1067" w:type="dxa"/>
          </w:tcPr>
          <w:p>
            <w:pPr>
              <w:pStyle w:val="TableText"/>
              <w:jc w:val="right"/>
            </w:pPr>
            <w:r>
              <w:rPr>
                <w:sz w:val="17"/>
                <w:szCs w:val="17"/>
              </w:rPr>
              <w:t xml:space="preserve">141</w:t>
            </w:r>
          </w:p>
        </w:tc>
        <w:tc>
          <w:tcPr>
            <w:tcW w:w="1067" w:type="dxa"/>
          </w:tcPr>
          <w:p>
            <w:pPr>
              <w:pStyle w:val="TableText"/>
              <w:jc w:val="right"/>
            </w:pPr>
            <w:r>
              <w:rPr>
                <w:sz w:val="17"/>
                <w:szCs w:val="17"/>
              </w:rPr>
              <w:t xml:space="preserve">150</w:t>
            </w:r>
          </w:p>
        </w:tc>
        <w:tc>
          <w:tcPr>
            <w:tcW w:w="1334" w:type="dxa"/>
          </w:tcPr>
          <w:p>
            <w:pPr>
              <w:pStyle w:val="TableText"/>
              <w:jc w:val="right"/>
            </w:pPr>
            <w:r>
              <w:rPr>
                <w:b/>
                <w:bCs/>
                <w:color w:val="17508F"/>
                <w:sz w:val="17"/>
                <w:szCs w:val="17"/>
              </w:rPr>
              <w:t xml:space="preserve">9</w:t>
            </w:r>
          </w:p>
        </w:tc>
        <w:tc>
          <w:tcPr>
            <w:tcW w:w="1601" w:type="dxa"/>
            <w:shd w:val="clear" w:color="auto" w:fill="E3F2E5"/>
          </w:tcPr>
          <w:p>
            <w:pPr>
              <w:pStyle w:val="TableText"/>
            </w:pPr>
            <w:r>
              <w:rPr>
                <w:b/>
                <w:bCs/>
                <w:color w:val="1E6B2A"/>
                <w:sz w:val="17"/>
                <w:szCs w:val="17"/>
              </w:rPr>
              <w:t xml:space="preserve">Covered</w:t>
            </w:r>
          </w:p>
        </w:tc>
        <w:tc>
          <w:tcPr>
            <w:tcW w:w="3477" w:type="dxa"/>
          </w:tcPr>
          <w:p>
            <w:pPr>
              <w:pStyle w:val="TableText"/>
            </w:pPr>
            <w:r>
              <w:rPr>
                <w:sz w:val="15"/>
                <w:szCs w:val="15"/>
              </w:rPr>
              <w:t xml:space="preserve">Held via: Microsoft 365 E3 - per user (subscription) [SPE_E3] (150). Approaching limit: headroom 0 (threshold 10%)</w:t>
            </w:r>
          </w:p>
        </w:tc>
      </w:tr>
      <w:tr>
        <w:trPr>
          <w:cantSplit/>
        </w:trPr>
        <w:tc>
          <w:tcPr>
            <w:tcW w:w="1601" w:type="dxa"/>
            <w:shd w:val="clear" w:color="auto" w:fill="F7F9FB"/>
          </w:tcPr>
          <w:p>
            <w:pPr>
              <w:pStyle w:val="TableText"/>
            </w:pPr>
            <w:r>
              <w:rPr>
                <w:color w:val="5B6475"/>
                <w:sz w:val="17"/>
                <w:szCs w:val="17"/>
              </w:rPr>
              <w:t xml:space="preserve">Windows</w:t>
            </w:r>
          </w:p>
        </w:tc>
        <w:tc>
          <w:tcPr>
            <w:tcW w:w="3470" w:type="dxa"/>
            <w:shd w:val="clear" w:color="auto" w:fill="F7F9FB"/>
          </w:tcPr>
          <w:p>
            <w:pPr>
              <w:pStyle w:val="TableText"/>
            </w:pPr>
            <w:r>
              <w:rPr>
                <w:b/>
                <w:bCs/>
                <w:sz w:val="17"/>
                <w:szCs w:val="17"/>
              </w:rPr>
              <w:t xml:space="preserve">Windows Enterprise E3/E5 (User)</w:t>
            </w:r>
          </w:p>
        </w:tc>
        <w:tc>
          <w:tcPr>
            <w:tcW w:w="1067" w:type="dxa"/>
            <w:shd w:val="clear" w:color="auto" w:fill="F7F9FB"/>
          </w:tcPr>
          <w:p>
            <w:pPr>
              <w:pStyle w:val="TableText"/>
              <w:jc w:val="right"/>
            </w:pPr>
            <w:r>
              <w:rPr>
                <w:sz w:val="17"/>
                <w:szCs w:val="17"/>
              </w:rPr>
              <w:t xml:space="preserve">150</w:t>
            </w:r>
          </w:p>
        </w:tc>
        <w:tc>
          <w:tcPr>
            <w:tcW w:w="1067" w:type="dxa"/>
            <w:shd w:val="clear" w:color="auto" w:fill="F7F9FB"/>
          </w:tcPr>
          <w:p>
            <w:pPr>
              <w:pStyle w:val="TableText"/>
              <w:jc w:val="right"/>
            </w:pPr>
            <w:r>
              <w:rPr>
                <w:sz w:val="17"/>
                <w:szCs w:val="17"/>
              </w:rPr>
              <w:t xml:space="preserve">141</w:t>
            </w:r>
          </w:p>
        </w:tc>
        <w:tc>
          <w:tcPr>
            <w:tcW w:w="1067" w:type="dxa"/>
            <w:shd w:val="clear" w:color="auto" w:fill="F7F9FB"/>
          </w:tcPr>
          <w:p>
            <w:pPr>
              <w:pStyle w:val="TableText"/>
              <w:jc w:val="right"/>
            </w:pPr>
            <w:r>
              <w:rPr>
                <w:sz w:val="17"/>
                <w:szCs w:val="17"/>
              </w:rPr>
              <w:t xml:space="preserve">0</w:t>
            </w:r>
          </w:p>
        </w:tc>
        <w:tc>
          <w:tcPr>
            <w:tcW w:w="1334" w:type="dxa"/>
            <w:shd w:val="clear" w:color="auto" w:fill="F7F9FB"/>
          </w:tcPr>
          <w:p>
            <w:pPr>
              <w:pStyle w:val="TableText"/>
              <w:jc w:val="right"/>
            </w:pPr>
            <w:r>
              <w:rPr>
                <w:b/>
                <w:bCs/>
                <w:color w:val="17508F"/>
                <w:sz w:val="17"/>
                <w:szCs w:val="17"/>
              </w:rPr>
              <w:t xml:space="preserve">9</w:t>
            </w:r>
          </w:p>
        </w:tc>
        <w:tc>
          <w:tcPr>
            <w:tcW w:w="1601" w:type="dxa"/>
            <w:shd w:val="clear" w:color="auto" w:fill="E3F2E5"/>
          </w:tcPr>
          <w:p>
            <w:pPr>
              <w:pStyle w:val="TableText"/>
            </w:pPr>
            <w:r>
              <w:rPr>
                <w:b/>
                <w:bCs/>
                <w:color w:val="1E6B2A"/>
                <w:sz w:val="17"/>
                <w:szCs w:val="17"/>
              </w:rPr>
              <w:t xml:space="preserve">Covered</w:t>
            </w:r>
          </w:p>
        </w:tc>
        <w:tc>
          <w:tcPr>
            <w:tcW w:w="3477" w:type="dxa"/>
            <w:shd w:val="clear" w:color="auto" w:fill="F7F9FB"/>
          </w:tcPr>
          <w:p>
            <w:pPr>
              <w:pStyle w:val="TableText"/>
            </w:pPr>
            <w:r>
              <w:rPr>
                <w:sz w:val="15"/>
                <w:szCs w:val="15"/>
              </w:rPr>
              <w:t xml:space="preserve">Held via: Microsoft 365 E3 - per user (subscription) [SPE_E3] (150). 1 used to cover other editions/models</w:t>
            </w:r>
          </w:p>
        </w:tc>
      </w:tr>
      <w:tr>
        <w:trPr>
          <w:cantSplit/>
        </w:trPr>
        <w:tc>
          <w:tcPr>
            <w:tcW w:w="1601" w:type="dxa"/>
          </w:tcPr>
          <w:p>
            <w:pPr>
              <w:pStyle w:val="TableText"/>
            </w:pPr>
            <w:r>
              <w:rPr>
                <w:color w:val="5B6475"/>
                <w:sz w:val="17"/>
                <w:szCs w:val="17"/>
              </w:rPr>
              <w:t xml:space="preserve">Visio</w:t>
            </w:r>
          </w:p>
        </w:tc>
        <w:tc>
          <w:tcPr>
            <w:tcW w:w="3470" w:type="dxa"/>
          </w:tcPr>
          <w:p>
            <w:pPr>
              <w:pStyle w:val="TableText"/>
            </w:pPr>
            <w:r>
              <w:rPr>
                <w:b/>
                <w:bCs/>
                <w:sz w:val="17"/>
                <w:szCs w:val="17"/>
              </w:rPr>
              <w:t xml:space="preserve">Visio Plan 2 (User)</w:t>
            </w:r>
          </w:p>
        </w:tc>
        <w:tc>
          <w:tcPr>
            <w:tcW w:w="1067" w:type="dxa"/>
          </w:tcPr>
          <w:p>
            <w:pPr>
              <w:pStyle w:val="TableText"/>
              <w:jc w:val="right"/>
            </w:pPr>
            <w:r>
              <w:rPr>
                <w:sz w:val="17"/>
                <w:szCs w:val="17"/>
              </w:rPr>
              <w:t xml:space="preserve">3</w:t>
            </w:r>
          </w:p>
        </w:tc>
        <w:tc>
          <w:tcPr>
            <w:tcW w:w="1067" w:type="dxa"/>
          </w:tcPr>
          <w:p>
            <w:pPr>
              <w:pStyle w:val="TableText"/>
              <w:jc w:val="right"/>
            </w:pPr>
            <w:r>
              <w:rPr>
                <w:sz w:val="17"/>
                <w:szCs w:val="17"/>
              </w:rPr>
              <w:t xml:space="preserve">–</w:t>
            </w:r>
          </w:p>
        </w:tc>
        <w:tc>
          <w:tcPr>
            <w:tcW w:w="1067" w:type="dxa"/>
          </w:tcPr>
          <w:p>
            <w:pPr>
              <w:pStyle w:val="TableText"/>
              <w:jc w:val="right"/>
            </w:pPr>
            <w:r>
              <w:rPr>
                <w:sz w:val="17"/>
                <w:szCs w:val="17"/>
              </w:rPr>
              <w:t xml:space="preserve">0</w:t>
            </w:r>
          </w:p>
        </w:tc>
        <w:tc>
          <w:tcPr>
            <w:tcW w:w="1334" w:type="dxa"/>
          </w:tcPr>
          <w:p>
            <w:pPr>
              <w:pStyle w:val="TableText"/>
              <w:jc w:val="right"/>
            </w:pPr>
            <w:r>
              <w:rPr>
                <w:b/>
                <w:bCs/>
                <w:color w:val="17508F"/>
                <w:sz w:val="17"/>
                <w:szCs w:val="17"/>
              </w:rPr>
              <w:t xml:space="preserve">3</w:t>
            </w:r>
          </w:p>
        </w:tc>
        <w:tc>
          <w:tcPr>
            <w:tcW w:w="1601" w:type="dxa"/>
            <w:shd w:val="clear" w:color="auto" w:fill="E1EDFB"/>
          </w:tcPr>
          <w:p>
            <w:pPr>
              <w:pStyle w:val="TableText"/>
            </w:pPr>
            <w:r>
              <w:rPr>
                <w:b/>
                <w:bCs/>
                <w:color w:val="17508F"/>
                <w:sz w:val="17"/>
                <w:szCs w:val="17"/>
              </w:rPr>
              <w:t xml:space="preserve">Excess / Unused</w:t>
            </w:r>
          </w:p>
        </w:tc>
        <w:tc>
          <w:tcPr>
            <w:tcW w:w="3477" w:type="dxa"/>
          </w:tcPr>
          <w:p>
            <w:pPr>
              <w:pStyle w:val="TableText"/>
            </w:pPr>
            <w:r>
              <w:rPr>
                <w:sz w:val="15"/>
                <w:szCs w:val="15"/>
              </w:rPr>
              <w:t xml:space="preserve">Held via: Visio Plan 2 [Azure billing (MCA)] (3)</w:t>
            </w:r>
          </w:p>
        </w:tc>
      </w:tr>
      <w:tr>
        <w:trPr>
          <w:cantSplit/>
        </w:trPr>
        <w:tc>
          <w:tcPr>
            <w:tcW w:w="1601" w:type="dxa"/>
            <w:shd w:val="clear" w:color="auto" w:fill="F7F9FB"/>
          </w:tcPr>
          <w:p>
            <w:pPr>
              <w:pStyle w:val="TableText"/>
            </w:pPr>
            <w:r>
              <w:rPr>
                <w:color w:val="5B6475"/>
                <w:sz w:val="17"/>
                <w:szCs w:val="17"/>
              </w:rPr>
              <w:t xml:space="preserve">SQL Server</w:t>
            </w:r>
          </w:p>
        </w:tc>
        <w:tc>
          <w:tcPr>
            <w:tcW w:w="3470" w:type="dxa"/>
            <w:shd w:val="clear" w:color="auto" w:fill="F7F9FB"/>
          </w:tcPr>
          <w:p>
            <w:pPr>
              <w:pStyle w:val="TableText"/>
            </w:pPr>
            <w:r>
              <w:rPr>
                <w:b/>
                <w:bCs/>
                <w:sz w:val="17"/>
                <w:szCs w:val="17"/>
              </w:rPr>
              <w:t xml:space="preserve">SQL Server Standard core license</w:t>
            </w:r>
          </w:p>
        </w:tc>
        <w:tc>
          <w:tcPr>
            <w:tcW w:w="1067" w:type="dxa"/>
            <w:shd w:val="clear" w:color="auto" w:fill="F7F9FB"/>
          </w:tcPr>
          <w:p>
            <w:pPr>
              <w:pStyle w:val="TableText"/>
              <w:jc w:val="right"/>
            </w:pPr>
            <w:r>
              <w:rPr>
                <w:sz w:val="17"/>
                <w:szCs w:val="17"/>
              </w:rPr>
              <w:t xml:space="preserve">8</w:t>
            </w:r>
          </w:p>
        </w:tc>
        <w:tc>
          <w:tcPr>
            <w:tcW w:w="1067" w:type="dxa"/>
            <w:shd w:val="clear" w:color="auto" w:fill="F7F9FB"/>
          </w:tcPr>
          <w:p>
            <w:pPr>
              <w:pStyle w:val="TableText"/>
              <w:jc w:val="right"/>
            </w:pPr>
            <w:r>
              <w:rPr>
                <w:sz w:val="17"/>
                <w:szCs w:val="17"/>
              </w:rPr>
              <w:t xml:space="preserve">–</w:t>
            </w:r>
          </w:p>
        </w:tc>
        <w:tc>
          <w:tcPr>
            <w:tcW w:w="1067" w:type="dxa"/>
            <w:shd w:val="clear" w:color="auto" w:fill="F7F9FB"/>
          </w:tcPr>
          <w:p>
            <w:pPr>
              <w:pStyle w:val="TableText"/>
              <w:jc w:val="right"/>
            </w:pPr>
            <w:r>
              <w:rPr>
                <w:sz w:val="17"/>
                <w:szCs w:val="17"/>
              </w:rPr>
              <w:t xml:space="preserve">10</w:t>
            </w:r>
          </w:p>
        </w:tc>
        <w:tc>
          <w:tcPr>
            <w:tcW w:w="1334" w:type="dxa"/>
            <w:shd w:val="clear" w:color="auto" w:fill="F7F9FB"/>
          </w:tcPr>
          <w:p>
            <w:pPr>
              <w:pStyle w:val="TableText"/>
              <w:jc w:val="right"/>
            </w:pPr>
            <w:r>
              <w:rPr>
                <w:b/>
                <w:bCs/>
                <w:color w:val="17508F"/>
                <w:sz w:val="17"/>
                <w:szCs w:val="17"/>
              </w:rPr>
              <w:t xml:space="preserve">2</w:t>
            </w:r>
          </w:p>
        </w:tc>
        <w:tc>
          <w:tcPr>
            <w:tcW w:w="1601" w:type="dxa"/>
            <w:shd w:val="clear" w:color="auto" w:fill="E3F2E5"/>
          </w:tcPr>
          <w:p>
            <w:pPr>
              <w:pStyle w:val="TableText"/>
            </w:pPr>
            <w:r>
              <w:rPr>
                <w:b/>
                <w:bCs/>
                <w:color w:val="1E6B2A"/>
                <w:sz w:val="17"/>
                <w:szCs w:val="17"/>
              </w:rPr>
              <w:t xml:space="preserve">Covered</w:t>
            </w:r>
          </w:p>
        </w:tc>
        <w:tc>
          <w:tcPr>
            <w:tcW w:w="3477" w:type="dxa"/>
            <w:shd w:val="clear" w:color="auto" w:fill="F7F9FB"/>
          </w:tcPr>
          <w:p>
            <w:pPr>
              <w:pStyle w:val="TableText"/>
            </w:pPr>
            <w:r>
              <w:rPr>
                <w:sz w:val="15"/>
                <w:szCs w:val="15"/>
              </w:rPr>
              <w:t xml:space="preserve">Held via: SQL Server 2017 Standard - core [Excel] (8). Approaching limit: headroom -2 (threshold 10%)</w:t>
            </w:r>
          </w:p>
        </w:tc>
      </w:tr>
      <w:tr>
        <w:trPr>
          <w:cantSplit/>
        </w:trPr>
        <w:tc>
          <w:tcPr>
            <w:tcW w:w="1601" w:type="dxa"/>
          </w:tcPr>
          <w:p>
            <w:pPr>
              <w:pStyle w:val="TableText"/>
            </w:pPr>
            <w:r>
              <w:rPr>
                <w:color w:val="5B6475"/>
                <w:sz w:val="17"/>
                <w:szCs w:val="17"/>
              </w:rPr>
              <w:t xml:space="preserve">Windows</w:t>
            </w:r>
          </w:p>
        </w:tc>
        <w:tc>
          <w:tcPr>
            <w:tcW w:w="3470" w:type="dxa"/>
          </w:tcPr>
          <w:p>
            <w:pPr>
              <w:pStyle w:val="TableText"/>
            </w:pPr>
            <w:r>
              <w:rPr>
                <w:b/>
                <w:bCs/>
                <w:sz w:val="17"/>
                <w:szCs w:val="17"/>
              </w:rPr>
              <w:t xml:space="preserve">Windows Pro qualifying license (Device)</w:t>
            </w:r>
          </w:p>
        </w:tc>
        <w:tc>
          <w:tcPr>
            <w:tcW w:w="1067" w:type="dxa"/>
          </w:tcPr>
          <w:p>
            <w:pPr>
              <w:pStyle w:val="TableText"/>
              <w:jc w:val="right"/>
            </w:pPr>
            <w:r>
              <w:rPr>
                <w:sz w:val="17"/>
                <w:szCs w:val="17"/>
              </w:rPr>
              <w:t xml:space="preserve">3</w:t>
            </w:r>
          </w:p>
        </w:tc>
        <w:tc>
          <w:tcPr>
            <w:tcW w:w="1067" w:type="dxa"/>
          </w:tcPr>
          <w:p>
            <w:pPr>
              <w:pStyle w:val="TableText"/>
              <w:jc w:val="right"/>
            </w:pPr>
            <w:r>
              <w:rPr>
                <w:sz w:val="17"/>
                <w:szCs w:val="17"/>
              </w:rPr>
              <w:t xml:space="preserve">–</w:t>
            </w:r>
          </w:p>
        </w:tc>
        <w:tc>
          <w:tcPr>
            <w:tcW w:w="1067" w:type="dxa"/>
          </w:tcPr>
          <w:p>
            <w:pPr>
              <w:pStyle w:val="TableText"/>
              <w:jc w:val="right"/>
            </w:pPr>
            <w:r>
              <w:rPr>
                <w:sz w:val="17"/>
                <w:szCs w:val="17"/>
              </w:rPr>
              <w:t xml:space="preserve">1</w:t>
            </w:r>
          </w:p>
        </w:tc>
        <w:tc>
          <w:tcPr>
            <w:tcW w:w="1334" w:type="dxa"/>
          </w:tcPr>
          <w:p>
            <w:pPr>
              <w:pStyle w:val="TableText"/>
              <w:jc w:val="right"/>
            </w:pPr>
            <w:r>
              <w:rPr>
                <w:b/>
                <w:bCs/>
                <w:color w:val="17508F"/>
                <w:sz w:val="17"/>
                <w:szCs w:val="17"/>
              </w:rPr>
              <w:t xml:space="preserve">2</w:t>
            </w:r>
          </w:p>
        </w:tc>
        <w:tc>
          <w:tcPr>
            <w:tcW w:w="1601" w:type="dxa"/>
            <w:shd w:val="clear" w:color="auto" w:fill="E3F2E5"/>
          </w:tcPr>
          <w:p>
            <w:pPr>
              <w:pStyle w:val="TableText"/>
            </w:pPr>
            <w:r>
              <w:rPr>
                <w:b/>
                <w:bCs/>
                <w:color w:val="1E6B2A"/>
                <w:sz w:val="17"/>
                <w:szCs w:val="17"/>
              </w:rPr>
              <w:t xml:space="preserve">Covered</w:t>
            </w:r>
          </w:p>
        </w:tc>
        <w:tc>
          <w:tcPr>
            <w:tcW w:w="3477" w:type="dxa"/>
          </w:tcPr>
          <w:p>
            <w:pPr>
              <w:pStyle w:val="TableText"/>
            </w:pPr>
            <w:r>
              <w:rPr>
                <w:sz w:val="15"/>
                <w:szCs w:val="15"/>
              </w:rPr>
              <w:t xml:space="preserve">Held via: Windows 11 Pro upgrade (spare) [Excel] (3). Validation required: Not activated - the device may lack a genuine license, or activation may simply be pending.</w:t>
            </w:r>
          </w:p>
        </w:tc>
      </w:tr>
    </w:tbl>
    <w:p>
      <w:pPr>
        <w:spacing w:before="0" w:after="0" w:line="240" w:lineRule="auto"/>
        <w:rPr>
          <w:sz w:val="12"/>
          <w:szCs w:val="12"/>
        </w:rPr>
      </w:pPr>
    </w:p>
    <w:p>
      <w:pPr>
        <w:pStyle w:val="Heading1"/>
        <w:pageBreakBefore/>
      </w:pPr>
      <w:bookmarkStart w:id="21" w:name="_TocMlat00021"/>
      <w:r>
        <w:t xml:space="preserve">Procurement requirements</w:t>
      </w:r>
      <w:bookmarkEnd w:id="21"/>
    </w:p>
    <w:p>
      <w:r>
        <w:t xml:space="preserve">Licenses that may need to be procured to cover the potential gaps. All quantities are </w:t>
      </w:r>
      <w:r>
        <w:rPr>
          <w:b/>
          <w:bCs/>
        </w:rPr>
        <w:t xml:space="preserve">potential procurement requirements</w:t>
      </w:r>
      <w:r>
        <w:t xml:space="preserve"> based on the technical assessment and must be validated before ordering.</w:t>
      </w:r>
    </w:p>
    <w:tbl>
      <w:tblPr>
        <w:tblStyle w:val="MlatTable"/>
        <w:tblW w:w="14684"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14684"/>
      </w:tblGrid>
      <w:tr>
        <w:trPr>
          <w:cantSplit/>
        </w:trPr>
        <w:tc>
          <w:tcPr>
            <w:tcW w:w="14684" w:type="dxa"/>
            <w:tcBorders>
              <w:left w:val="single" w:sz="24" w:space="0" w:color="B7791F"/>
            </w:tcBorders>
            <w:shd w:val="clear" w:color="auto" w:fill="FFFAF0"/>
          </w:tcPr>
          <w:p>
            <w:pPr>
              <w:pStyle w:val="TableText"/>
              <w:spacing w:after="60"/>
            </w:pPr>
            <w:r>
              <w:rPr>
                <w:b/>
                <w:bCs/>
                <w:color w:val="B7791F"/>
                <w:sz w:val="20"/>
                <w:szCs w:val="20"/>
              </w:rPr>
              <w:t xml:space="preserve">Indicative prices</w:t>
            </w:r>
          </w:p>
          <w:p>
            <w:pPr>
              <w:pStyle w:val="TableText"/>
            </w:pPr>
            <w:r>
              <w:rPr>
                <w:sz w:val="19"/>
                <w:szCs w:val="19"/>
              </w:rPr>
              <w:t xml:space="preserve">Prices are estimates from the rules package price list (USD) and are shown for budgeting only. Obtain a quotation from an authorized reseller. n/a = no indicative price.</w:t>
            </w:r>
          </w:p>
        </w:tc>
      </w:tr>
    </w:tbl>
    <w:p>
      <w:pPr>
        <w:spacing w:before="0" w:after="0" w:line="240" w:lineRule="auto"/>
        <w:rPr>
          <w:sz w:val="12"/>
          <w:szCs w:val="12"/>
        </w:rPr>
      </w:pPr>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039"/>
        <w:gridCol w:w="2055"/>
        <w:gridCol w:w="718"/>
        <w:gridCol w:w="867"/>
        <w:gridCol w:w="823"/>
        <w:gridCol w:w="895"/>
        <w:gridCol w:w="897"/>
        <w:gridCol w:w="576"/>
        <w:gridCol w:w="1321"/>
        <w:gridCol w:w="1146"/>
        <w:gridCol w:w="954"/>
        <w:gridCol w:w="1001"/>
        <w:gridCol w:w="1271"/>
        <w:gridCol w:w="1121"/>
      </w:tblGrid>
      <w:tr>
        <w:trPr>
          <w:cantSplit/>
          <w:tblHeader/>
        </w:trPr>
        <w:tc>
          <w:tcPr>
            <w:tcW w:w="1039" w:type="dxa"/>
            <w:shd w:val="clear" w:color="auto" w:fill="1F3A5F"/>
            <w:vAlign w:val="bottom"/>
          </w:tcPr>
          <w:p>
            <w:pPr>
              <w:pStyle w:val="TableText"/>
              <w:keepNext/>
            </w:pPr>
            <w:r>
              <w:rPr>
                <w:b/>
                <w:bCs/>
                <w:color w:val="FFFFFF"/>
                <w:sz w:val="16"/>
                <w:szCs w:val="16"/>
              </w:rPr>
              <w:t xml:space="preserve">Product</w:t>
            </w:r>
          </w:p>
        </w:tc>
        <w:tc>
          <w:tcPr>
            <w:tcW w:w="2055" w:type="dxa"/>
            <w:shd w:val="clear" w:color="auto" w:fill="1F3A5F"/>
            <w:vAlign w:val="bottom"/>
          </w:tcPr>
          <w:p>
            <w:pPr>
              <w:pStyle w:val="TableText"/>
              <w:keepNext/>
            </w:pPr>
            <w:r>
              <w:rPr>
                <w:b/>
                <w:bCs/>
                <w:color w:val="FFFFFF"/>
                <w:sz w:val="16"/>
                <w:szCs w:val="16"/>
              </w:rPr>
              <w:t xml:space="preserve">License / SKU</w:t>
            </w:r>
          </w:p>
        </w:tc>
        <w:tc>
          <w:tcPr>
            <w:tcW w:w="718" w:type="dxa"/>
            <w:shd w:val="clear" w:color="auto" w:fill="1F3A5F"/>
            <w:vAlign w:val="bottom"/>
          </w:tcPr>
          <w:p>
            <w:pPr>
              <w:pStyle w:val="TableText"/>
              <w:keepNext/>
            </w:pPr>
            <w:r>
              <w:rPr>
                <w:b/>
                <w:bCs/>
                <w:color w:val="FFFFFF"/>
                <w:sz w:val="16"/>
                <w:szCs w:val="16"/>
              </w:rPr>
              <w:t xml:space="preserve">Metric</w:t>
            </w:r>
          </w:p>
        </w:tc>
        <w:tc>
          <w:tcPr>
            <w:tcW w:w="867" w:type="dxa"/>
            <w:shd w:val="clear" w:color="auto" w:fill="1F3A5F"/>
            <w:vAlign w:val="bottom"/>
          </w:tcPr>
          <w:p>
            <w:pPr>
              <w:pStyle w:val="TableText"/>
              <w:keepNext/>
              <w:jc w:val="right"/>
            </w:pPr>
            <w:r>
              <w:rPr>
                <w:b/>
                <w:bCs/>
                <w:color w:val="FFFFFF"/>
                <w:sz w:val="16"/>
                <w:szCs w:val="16"/>
              </w:rPr>
              <w:t xml:space="preserve">Required</w:t>
            </w:r>
          </w:p>
        </w:tc>
        <w:tc>
          <w:tcPr>
            <w:tcW w:w="823" w:type="dxa"/>
            <w:shd w:val="clear" w:color="auto" w:fill="1F3A5F"/>
            <w:vAlign w:val="bottom"/>
          </w:tcPr>
          <w:p>
            <w:pPr>
              <w:pStyle w:val="TableText"/>
              <w:keepNext/>
              <w:jc w:val="right"/>
            </w:pPr>
            <w:r>
              <w:rPr>
                <w:b/>
                <w:bCs/>
                <w:color w:val="FFFFFF"/>
                <w:sz w:val="16"/>
                <w:szCs w:val="16"/>
              </w:rPr>
              <w:t xml:space="preserve">Existing</w:t>
            </w:r>
          </w:p>
        </w:tc>
        <w:tc>
          <w:tcPr>
            <w:tcW w:w="895" w:type="dxa"/>
            <w:shd w:val="clear" w:color="auto" w:fill="1F3A5F"/>
            <w:vAlign w:val="bottom"/>
          </w:tcPr>
          <w:p>
            <w:pPr>
              <w:pStyle w:val="TableText"/>
              <w:keepNext/>
              <w:jc w:val="right"/>
            </w:pPr>
            <w:r>
              <w:rPr>
                <w:b/>
                <w:bCs/>
                <w:color w:val="FFFFFF"/>
                <w:sz w:val="16"/>
                <w:szCs w:val="16"/>
              </w:rPr>
              <w:t xml:space="preserve">Assigned</w:t>
            </w:r>
          </w:p>
        </w:tc>
        <w:tc>
          <w:tcPr>
            <w:tcW w:w="897" w:type="dxa"/>
            <w:shd w:val="clear" w:color="auto" w:fill="1F3A5F"/>
            <w:vAlign w:val="bottom"/>
          </w:tcPr>
          <w:p>
            <w:pPr>
              <w:pStyle w:val="TableText"/>
              <w:keepNext/>
              <w:jc w:val="right"/>
            </w:pPr>
            <w:r>
              <w:rPr>
                <w:b/>
                <w:bCs/>
                <w:color w:val="FFFFFF"/>
                <w:sz w:val="16"/>
                <w:szCs w:val="16"/>
              </w:rPr>
              <w:t xml:space="preserve">Available</w:t>
            </w:r>
          </w:p>
        </w:tc>
        <w:tc>
          <w:tcPr>
            <w:tcW w:w="576" w:type="dxa"/>
            <w:shd w:val="clear" w:color="auto" w:fill="1F3A5F"/>
            <w:vAlign w:val="bottom"/>
          </w:tcPr>
          <w:p>
            <w:pPr>
              <w:pStyle w:val="TableText"/>
              <w:keepNext/>
              <w:jc w:val="right"/>
            </w:pPr>
            <w:r>
              <w:rPr>
                <w:b/>
                <w:bCs/>
                <w:color w:val="FFFFFF"/>
                <w:sz w:val="16"/>
                <w:szCs w:val="16"/>
              </w:rPr>
              <w:t xml:space="preserve">Gap</w:t>
            </w:r>
          </w:p>
        </w:tc>
        <w:tc>
          <w:tcPr>
            <w:tcW w:w="1321" w:type="dxa"/>
            <w:shd w:val="clear" w:color="auto" w:fill="1F3A5F"/>
            <w:vAlign w:val="bottom"/>
          </w:tcPr>
          <w:p>
            <w:pPr>
              <w:pStyle w:val="TableText"/>
              <w:keepNext/>
              <w:jc w:val="right"/>
            </w:pPr>
            <w:r>
              <w:rPr>
                <w:b/>
                <w:bCs/>
                <w:color w:val="FFFFFF"/>
                <w:sz w:val="16"/>
                <w:szCs w:val="16"/>
              </w:rPr>
              <w:t xml:space="preserve">Recommended qty</w:t>
            </w:r>
          </w:p>
        </w:tc>
        <w:tc>
          <w:tcPr>
            <w:tcW w:w="1146" w:type="dxa"/>
            <w:shd w:val="clear" w:color="auto" w:fill="1F3A5F"/>
            <w:vAlign w:val="bottom"/>
          </w:tcPr>
          <w:p>
            <w:pPr>
              <w:pStyle w:val="TableText"/>
              <w:keepNext/>
            </w:pPr>
            <w:r>
              <w:rPr>
                <w:b/>
                <w:bCs/>
                <w:color w:val="FFFFFF"/>
                <w:sz w:val="16"/>
                <w:szCs w:val="16"/>
              </w:rPr>
              <w:t xml:space="preserve">Order as</w:t>
            </w:r>
          </w:p>
        </w:tc>
        <w:tc>
          <w:tcPr>
            <w:tcW w:w="954" w:type="dxa"/>
            <w:shd w:val="clear" w:color="auto" w:fill="1F3A5F"/>
            <w:vAlign w:val="bottom"/>
          </w:tcPr>
          <w:p>
            <w:pPr>
              <w:pStyle w:val="TableText"/>
              <w:keepNext/>
              <w:jc w:val="right"/>
            </w:pPr>
            <w:r>
              <w:rPr>
                <w:b/>
                <w:bCs/>
                <w:color w:val="FFFFFF"/>
                <w:sz w:val="16"/>
                <w:szCs w:val="16"/>
              </w:rPr>
              <w:t xml:space="preserve">Indicative unit price</w:t>
            </w:r>
          </w:p>
        </w:tc>
        <w:tc>
          <w:tcPr>
            <w:tcW w:w="1001" w:type="dxa"/>
            <w:shd w:val="clear" w:color="auto" w:fill="1F3A5F"/>
            <w:vAlign w:val="bottom"/>
          </w:tcPr>
          <w:p>
            <w:pPr>
              <w:pStyle w:val="TableText"/>
              <w:keepNext/>
              <w:jc w:val="right"/>
            </w:pPr>
            <w:r>
              <w:rPr>
                <w:b/>
                <w:bCs/>
                <w:color w:val="FFFFFF"/>
                <w:sz w:val="16"/>
                <w:szCs w:val="16"/>
              </w:rPr>
              <w:t xml:space="preserve">Indicative cost</w:t>
            </w:r>
          </w:p>
        </w:tc>
        <w:tc>
          <w:tcPr>
            <w:tcW w:w="1271" w:type="dxa"/>
            <w:shd w:val="clear" w:color="auto" w:fill="1F3A5F"/>
            <w:vAlign w:val="bottom"/>
          </w:tcPr>
          <w:p>
            <w:pPr>
              <w:pStyle w:val="TableText"/>
              <w:keepNext/>
            </w:pPr>
            <w:r>
              <w:rPr>
                <w:b/>
                <w:bCs/>
                <w:color w:val="FFFFFF"/>
                <w:sz w:val="16"/>
                <w:szCs w:val="16"/>
              </w:rPr>
              <w:t xml:space="preserve">Status</w:t>
            </w:r>
          </w:p>
        </w:tc>
        <w:tc>
          <w:tcPr>
            <w:tcW w:w="1121" w:type="dxa"/>
            <w:shd w:val="clear" w:color="auto" w:fill="1F3A5F"/>
            <w:vAlign w:val="bottom"/>
          </w:tcPr>
          <w:p>
            <w:pPr>
              <w:pStyle w:val="TableText"/>
              <w:keepNext/>
            </w:pPr>
            <w:r>
              <w:rPr>
                <w:b/>
                <w:bCs/>
                <w:color w:val="FFFFFF"/>
                <w:sz w:val="16"/>
                <w:szCs w:val="16"/>
              </w:rPr>
              <w:t xml:space="preserve">Confidence</w:t>
            </w:r>
          </w:p>
        </w:tc>
      </w:tr>
      <w:tr>
        <w:trPr>
          <w:cantSplit/>
        </w:trPr>
        <w:tc>
          <w:tcPr>
            <w:tcW w:w="1039" w:type="dxa"/>
          </w:tcPr>
          <w:p>
            <w:pPr>
              <w:pStyle w:val="TableText"/>
            </w:pPr>
            <w:r>
              <w:rPr>
                <w:color w:val="5B6475"/>
                <w:sz w:val="16"/>
                <w:szCs w:val="16"/>
              </w:rPr>
              <w:t xml:space="preserve">Windows Server</w:t>
            </w:r>
          </w:p>
        </w:tc>
        <w:tc>
          <w:tcPr>
            <w:tcW w:w="2055" w:type="dxa"/>
          </w:tcPr>
          <w:p>
            <w:pPr>
              <w:pStyle w:val="TableText"/>
              <w:spacing w:after="40"/>
            </w:pPr>
            <w:r>
              <w:rPr>
                <w:b/>
                <w:bCs/>
                <w:sz w:val="16"/>
                <w:szCs w:val="16"/>
              </w:rPr>
              <w:t xml:space="preserve">Windows Server CAL - User</w:t>
            </w:r>
          </w:p>
          <w:p>
            <w:pPr>
              <w:pStyle w:val="TableText"/>
            </w:pPr>
            <w:r>
              <w:rPr>
                <w:color w:val="5B6475"/>
                <w:sz w:val="14"/>
                <w:szCs w:val="14"/>
              </w:rPr>
              <w:t xml:space="preserve">WS-CAL-USER</w:t>
            </w:r>
          </w:p>
        </w:tc>
        <w:tc>
          <w:tcPr>
            <w:tcW w:w="718" w:type="dxa"/>
          </w:tcPr>
          <w:p>
            <w:pPr>
              <w:pStyle w:val="TableText"/>
            </w:pPr>
            <w:r>
              <w:rPr>
                <w:sz w:val="16"/>
                <w:szCs w:val="16"/>
              </w:rPr>
              <w:t xml:space="preserve">User</w:t>
            </w:r>
          </w:p>
        </w:tc>
        <w:tc>
          <w:tcPr>
            <w:tcW w:w="867" w:type="dxa"/>
          </w:tcPr>
          <w:p>
            <w:pPr>
              <w:pStyle w:val="TableText"/>
              <w:jc w:val="right"/>
            </w:pPr>
            <w:r>
              <w:rPr>
                <w:sz w:val="16"/>
                <w:szCs w:val="16"/>
              </w:rPr>
              <w:t xml:space="preserve">168</w:t>
            </w:r>
          </w:p>
        </w:tc>
        <w:tc>
          <w:tcPr>
            <w:tcW w:w="823" w:type="dxa"/>
          </w:tcPr>
          <w:p>
            <w:pPr>
              <w:pStyle w:val="TableText"/>
              <w:jc w:val="right"/>
            </w:pPr>
            <w:r>
              <w:rPr>
                <w:sz w:val="16"/>
                <w:szCs w:val="16"/>
              </w:rPr>
              <w:t xml:space="preserve">250</w:t>
            </w:r>
          </w:p>
        </w:tc>
        <w:tc>
          <w:tcPr>
            <w:tcW w:w="895" w:type="dxa"/>
          </w:tcPr>
          <w:p>
            <w:pPr>
              <w:pStyle w:val="TableText"/>
              <w:jc w:val="right"/>
            </w:pPr>
            <w:r>
              <w:rPr>
                <w:sz w:val="16"/>
                <w:szCs w:val="16"/>
              </w:rPr>
              <w:t xml:space="preserve">–</w:t>
            </w:r>
          </w:p>
        </w:tc>
        <w:tc>
          <w:tcPr>
            <w:tcW w:w="897" w:type="dxa"/>
          </w:tcPr>
          <w:p>
            <w:pPr>
              <w:pStyle w:val="TableText"/>
              <w:jc w:val="right"/>
            </w:pPr>
            <w:r>
              <w:rPr>
                <w:sz w:val="16"/>
                <w:szCs w:val="16"/>
              </w:rPr>
              <w:t xml:space="preserve">100</w:t>
            </w:r>
          </w:p>
        </w:tc>
        <w:tc>
          <w:tcPr>
            <w:tcW w:w="576" w:type="dxa"/>
          </w:tcPr>
          <w:p>
            <w:pPr>
              <w:pStyle w:val="TableText"/>
              <w:jc w:val="right"/>
            </w:pPr>
            <w:r>
              <w:rPr>
                <w:b/>
                <w:bCs/>
                <w:color w:val="C62828"/>
                <w:sz w:val="16"/>
                <w:szCs w:val="16"/>
              </w:rPr>
              <w:t xml:space="preserve">18</w:t>
            </w:r>
          </w:p>
        </w:tc>
        <w:tc>
          <w:tcPr>
            <w:tcW w:w="1321" w:type="dxa"/>
          </w:tcPr>
          <w:p>
            <w:pPr>
              <w:pStyle w:val="TableText"/>
              <w:jc w:val="right"/>
            </w:pPr>
            <w:r>
              <w:rPr>
                <w:b/>
                <w:bCs/>
                <w:sz w:val="16"/>
                <w:szCs w:val="16"/>
              </w:rPr>
              <w:t xml:space="preserve">18</w:t>
            </w:r>
          </w:p>
        </w:tc>
        <w:tc>
          <w:tcPr>
            <w:tcW w:w="1146" w:type="dxa"/>
          </w:tcPr>
          <w:p>
            <w:pPr>
              <w:pStyle w:val="TableText"/>
              <w:spacing w:after="40"/>
            </w:pPr>
            <w:r>
              <w:rPr>
                <w:sz w:val="16"/>
                <w:szCs w:val="16"/>
              </w:rPr>
              <w:t xml:space="preserve">18 x user licenses</w:t>
            </w:r>
          </w:p>
          <w:p>
            <w:pPr>
              <w:pStyle w:val="TableText"/>
            </w:pPr>
            <w:r>
              <w:rPr>
                <w:color w:val="5B6475"/>
                <w:sz w:val="14"/>
                <w:szCs w:val="14"/>
              </w:rPr>
              <w:t xml:space="preserve">One-time</w:t>
            </w:r>
          </w:p>
        </w:tc>
        <w:tc>
          <w:tcPr>
            <w:tcW w:w="954" w:type="dxa"/>
          </w:tcPr>
          <w:p>
            <w:pPr>
              <w:pStyle w:val="TableText"/>
              <w:jc w:val="right"/>
            </w:pPr>
            <w:r>
              <w:rPr>
                <w:sz w:val="16"/>
                <w:szCs w:val="16"/>
              </w:rPr>
              <w:t xml:space="preserve">n/a</w:t>
            </w:r>
          </w:p>
        </w:tc>
        <w:tc>
          <w:tcPr>
            <w:tcW w:w="1001" w:type="dxa"/>
          </w:tcPr>
          <w:p>
            <w:pPr>
              <w:pStyle w:val="TableText"/>
              <w:jc w:val="right"/>
            </w:pPr>
            <w:r>
              <w:rPr>
                <w:sz w:val="16"/>
                <w:szCs w:val="16"/>
              </w:rPr>
              <w:t xml:space="preserve">n/a</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tcPr>
          <w:p>
            <w:pPr>
              <w:pStyle w:val="TableText"/>
            </w:pPr>
            <w:r>
              <w:rPr>
                <w:sz w:val="16"/>
                <w:szCs w:val="16"/>
              </w:rPr>
              <w:t xml:space="preserve">Medium</w:t>
            </w:r>
          </w:p>
        </w:tc>
      </w:tr>
      <w:tr>
        <w:trPr>
          <w:cantSplit/>
        </w:trPr>
        <w:tc>
          <w:tcPr>
            <w:tcW w:w="1039" w:type="dxa"/>
            <w:shd w:val="clear" w:color="auto" w:fill="F7F9FB"/>
          </w:tcPr>
          <w:p>
            <w:pPr>
              <w:pStyle w:val="TableText"/>
            </w:pPr>
            <w:r>
              <w:rPr>
                <w:color w:val="5B6475"/>
                <w:sz w:val="16"/>
                <w:szCs w:val="16"/>
              </w:rPr>
              <w:t xml:space="preserve">Windows Server</w:t>
            </w:r>
          </w:p>
        </w:tc>
        <w:tc>
          <w:tcPr>
            <w:tcW w:w="2055" w:type="dxa"/>
            <w:shd w:val="clear" w:color="auto" w:fill="F7F9FB"/>
          </w:tcPr>
          <w:p>
            <w:pPr>
              <w:pStyle w:val="TableText"/>
              <w:spacing w:after="40"/>
            </w:pPr>
            <w:r>
              <w:rPr>
                <w:b/>
                <w:bCs/>
                <w:sz w:val="16"/>
                <w:szCs w:val="16"/>
              </w:rPr>
              <w:t xml:space="preserve">Windows Server Datacenter - core licenses (16-core / 2-core packs)</w:t>
            </w:r>
          </w:p>
          <w:p>
            <w:pPr>
              <w:pStyle w:val="TableText"/>
            </w:pPr>
            <w:r>
              <w:rPr>
                <w:color w:val="5B6475"/>
                <w:sz w:val="14"/>
                <w:szCs w:val="14"/>
              </w:rPr>
              <w:t xml:space="preserve">WS-DC-CORE</w:t>
            </w:r>
          </w:p>
        </w:tc>
        <w:tc>
          <w:tcPr>
            <w:tcW w:w="718" w:type="dxa"/>
            <w:shd w:val="clear" w:color="auto" w:fill="F7F9FB"/>
          </w:tcPr>
          <w:p>
            <w:pPr>
              <w:pStyle w:val="TableText"/>
            </w:pPr>
            <w:r>
              <w:rPr>
                <w:sz w:val="16"/>
                <w:szCs w:val="16"/>
              </w:rPr>
              <w:t xml:space="preserve">Core</w:t>
            </w:r>
          </w:p>
        </w:tc>
        <w:tc>
          <w:tcPr>
            <w:tcW w:w="867" w:type="dxa"/>
            <w:shd w:val="clear" w:color="auto" w:fill="F7F9FB"/>
          </w:tcPr>
          <w:p>
            <w:pPr>
              <w:pStyle w:val="TableText"/>
              <w:jc w:val="right"/>
            </w:pPr>
            <w:r>
              <w:rPr>
                <w:sz w:val="16"/>
                <w:szCs w:val="16"/>
              </w:rPr>
              <w:t xml:space="preserve">80</w:t>
            </w:r>
          </w:p>
        </w:tc>
        <w:tc>
          <w:tcPr>
            <w:tcW w:w="823" w:type="dxa"/>
            <w:shd w:val="clear" w:color="auto" w:fill="F7F9FB"/>
          </w:tcPr>
          <w:p>
            <w:pPr>
              <w:pStyle w:val="TableText"/>
              <w:jc w:val="right"/>
            </w:pPr>
            <w:r>
              <w:rPr>
                <w:sz w:val="16"/>
                <w:szCs w:val="16"/>
              </w:rPr>
              <w:t xml:space="preserve">48</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0</w:t>
            </w:r>
          </w:p>
        </w:tc>
        <w:tc>
          <w:tcPr>
            <w:tcW w:w="576" w:type="dxa"/>
            <w:shd w:val="clear" w:color="auto" w:fill="F7F9FB"/>
          </w:tcPr>
          <w:p>
            <w:pPr>
              <w:pStyle w:val="TableText"/>
              <w:jc w:val="right"/>
            </w:pPr>
            <w:r>
              <w:rPr>
                <w:b/>
                <w:bCs/>
                <w:color w:val="C62828"/>
                <w:sz w:val="16"/>
                <w:szCs w:val="16"/>
              </w:rPr>
              <w:t xml:space="preserve">32</w:t>
            </w:r>
          </w:p>
        </w:tc>
        <w:tc>
          <w:tcPr>
            <w:tcW w:w="1321" w:type="dxa"/>
            <w:shd w:val="clear" w:color="auto" w:fill="F7F9FB"/>
          </w:tcPr>
          <w:p>
            <w:pPr>
              <w:pStyle w:val="TableText"/>
              <w:jc w:val="right"/>
            </w:pPr>
            <w:r>
              <w:rPr>
                <w:b/>
                <w:bCs/>
                <w:sz w:val="16"/>
                <w:szCs w:val="16"/>
              </w:rPr>
              <w:t xml:space="preserve">32</w:t>
            </w:r>
          </w:p>
        </w:tc>
        <w:tc>
          <w:tcPr>
            <w:tcW w:w="1146" w:type="dxa"/>
            <w:shd w:val="clear" w:color="auto" w:fill="F7F9FB"/>
          </w:tcPr>
          <w:p>
            <w:pPr>
              <w:pStyle w:val="TableText"/>
              <w:spacing w:after="40"/>
            </w:pPr>
            <w:r>
              <w:rPr>
                <w:sz w:val="16"/>
                <w:szCs w:val="16"/>
              </w:rPr>
              <w:t xml:space="preserve">2 x 16-core pack</w:t>
            </w:r>
          </w:p>
          <w:p>
            <w:pPr>
              <w:pStyle w:val="TableText"/>
            </w:pPr>
            <w:r>
              <w:rPr>
                <w:color w:val="5B6475"/>
                <w:sz w:val="14"/>
                <w:szCs w:val="14"/>
              </w:rPr>
              <w:t xml:space="preserve">One-time</w:t>
            </w:r>
          </w:p>
        </w:tc>
        <w:tc>
          <w:tcPr>
            <w:tcW w:w="954" w:type="dxa"/>
            <w:shd w:val="clear" w:color="auto" w:fill="F7F9FB"/>
          </w:tcPr>
          <w:p>
            <w:pPr>
              <w:pStyle w:val="TableText"/>
              <w:jc w:val="right"/>
            </w:pPr>
            <w:r>
              <w:rPr>
                <w:sz w:val="16"/>
                <w:szCs w:val="16"/>
              </w:rPr>
              <w:t xml:space="preserve">USD 423</w:t>
            </w:r>
          </w:p>
        </w:tc>
        <w:tc>
          <w:tcPr>
            <w:tcW w:w="1001" w:type="dxa"/>
            <w:shd w:val="clear" w:color="auto" w:fill="F7F9FB"/>
          </w:tcPr>
          <w:p>
            <w:pPr>
              <w:pStyle w:val="TableText"/>
              <w:jc w:val="right"/>
            </w:pPr>
            <w:r>
              <w:rPr>
                <w:b/>
                <w:bCs/>
                <w:sz w:val="16"/>
                <w:szCs w:val="16"/>
              </w:rPr>
              <w:t xml:space="preserve">USD 13,542</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shd w:val="clear" w:color="auto" w:fill="F7F9FB"/>
          </w:tcPr>
          <w:p>
            <w:pPr>
              <w:pStyle w:val="TableText"/>
            </w:pPr>
            <w:r>
              <w:rPr>
                <w:sz w:val="16"/>
                <w:szCs w:val="16"/>
              </w:rPr>
              <w:t xml:space="preserve">Medium</w:t>
            </w:r>
          </w:p>
        </w:tc>
      </w:tr>
      <w:tr>
        <w:trPr>
          <w:cantSplit/>
        </w:trPr>
        <w:tc>
          <w:tcPr>
            <w:tcW w:w="1039" w:type="dxa"/>
          </w:tcPr>
          <w:p>
            <w:pPr>
              <w:pStyle w:val="TableText"/>
            </w:pPr>
            <w:r>
              <w:rPr>
                <w:color w:val="5B6475"/>
                <w:sz w:val="16"/>
                <w:szCs w:val="16"/>
              </w:rPr>
              <w:t xml:space="preserve">Windows Server</w:t>
            </w:r>
          </w:p>
        </w:tc>
        <w:tc>
          <w:tcPr>
            <w:tcW w:w="2055" w:type="dxa"/>
          </w:tcPr>
          <w:p>
            <w:pPr>
              <w:pStyle w:val="TableText"/>
              <w:spacing w:after="40"/>
            </w:pPr>
            <w:r>
              <w:rPr>
                <w:b/>
                <w:bCs/>
                <w:sz w:val="16"/>
                <w:szCs w:val="16"/>
              </w:rPr>
              <w:t xml:space="preserve">Windows Server Standard - core licenses (16-core / 2-core packs)</w:t>
            </w:r>
          </w:p>
          <w:p>
            <w:pPr>
              <w:pStyle w:val="TableText"/>
            </w:pPr>
            <w:r>
              <w:rPr>
                <w:color w:val="5B6475"/>
                <w:sz w:val="14"/>
                <w:szCs w:val="14"/>
              </w:rPr>
              <w:t xml:space="preserve">WS-STD-CORE</w:t>
            </w:r>
          </w:p>
        </w:tc>
        <w:tc>
          <w:tcPr>
            <w:tcW w:w="718" w:type="dxa"/>
          </w:tcPr>
          <w:p>
            <w:pPr>
              <w:pStyle w:val="TableText"/>
            </w:pPr>
            <w:r>
              <w:rPr>
                <w:sz w:val="16"/>
                <w:szCs w:val="16"/>
              </w:rPr>
              <w:t xml:space="preserve">Core</w:t>
            </w:r>
          </w:p>
        </w:tc>
        <w:tc>
          <w:tcPr>
            <w:tcW w:w="867" w:type="dxa"/>
          </w:tcPr>
          <w:p>
            <w:pPr>
              <w:pStyle w:val="TableText"/>
              <w:jc w:val="right"/>
            </w:pPr>
            <w:r>
              <w:rPr>
                <w:sz w:val="16"/>
                <w:szCs w:val="16"/>
              </w:rPr>
              <w:t xml:space="preserve">112</w:t>
            </w:r>
          </w:p>
        </w:tc>
        <w:tc>
          <w:tcPr>
            <w:tcW w:w="823" w:type="dxa"/>
          </w:tcPr>
          <w:p>
            <w:pPr>
              <w:pStyle w:val="TableText"/>
              <w:jc w:val="right"/>
            </w:pPr>
            <w:r>
              <w:rPr>
                <w:sz w:val="16"/>
                <w:szCs w:val="16"/>
              </w:rPr>
              <w:t xml:space="preserve">32</w:t>
            </w:r>
          </w:p>
        </w:tc>
        <w:tc>
          <w:tcPr>
            <w:tcW w:w="895" w:type="dxa"/>
          </w:tcPr>
          <w:p>
            <w:pPr>
              <w:pStyle w:val="TableText"/>
              <w:jc w:val="right"/>
            </w:pPr>
            <w:r>
              <w:rPr>
                <w:sz w:val="16"/>
                <w:szCs w:val="16"/>
              </w:rPr>
              <w:t xml:space="preserve">–</w:t>
            </w:r>
          </w:p>
        </w:tc>
        <w:tc>
          <w:tcPr>
            <w:tcW w:w="897" w:type="dxa"/>
          </w:tcPr>
          <w:p>
            <w:pPr>
              <w:pStyle w:val="TableText"/>
              <w:jc w:val="right"/>
            </w:pPr>
            <w:r>
              <w:rPr>
                <w:sz w:val="16"/>
                <w:szCs w:val="16"/>
              </w:rPr>
              <w:t xml:space="preserve">32</w:t>
            </w:r>
          </w:p>
        </w:tc>
        <w:tc>
          <w:tcPr>
            <w:tcW w:w="576" w:type="dxa"/>
          </w:tcPr>
          <w:p>
            <w:pPr>
              <w:pStyle w:val="TableText"/>
              <w:jc w:val="right"/>
            </w:pPr>
            <w:r>
              <w:rPr>
                <w:b/>
                <w:bCs/>
                <w:color w:val="C62828"/>
                <w:sz w:val="16"/>
                <w:szCs w:val="16"/>
              </w:rPr>
              <w:t xml:space="preserve">112</w:t>
            </w:r>
          </w:p>
        </w:tc>
        <w:tc>
          <w:tcPr>
            <w:tcW w:w="1321" w:type="dxa"/>
          </w:tcPr>
          <w:p>
            <w:pPr>
              <w:pStyle w:val="TableText"/>
              <w:jc w:val="right"/>
            </w:pPr>
            <w:r>
              <w:rPr>
                <w:b/>
                <w:bCs/>
                <w:sz w:val="16"/>
                <w:szCs w:val="16"/>
              </w:rPr>
              <w:t xml:space="preserve">112</w:t>
            </w:r>
          </w:p>
        </w:tc>
        <w:tc>
          <w:tcPr>
            <w:tcW w:w="1146" w:type="dxa"/>
          </w:tcPr>
          <w:p>
            <w:pPr>
              <w:pStyle w:val="TableText"/>
              <w:spacing w:after="40"/>
            </w:pPr>
            <w:r>
              <w:rPr>
                <w:sz w:val="16"/>
                <w:szCs w:val="16"/>
              </w:rPr>
              <w:t xml:space="preserve">7 x 16-core pack</w:t>
            </w:r>
          </w:p>
          <w:p>
            <w:pPr>
              <w:pStyle w:val="TableText"/>
            </w:pPr>
            <w:r>
              <w:rPr>
                <w:color w:val="5B6475"/>
                <w:sz w:val="14"/>
                <w:szCs w:val="14"/>
              </w:rPr>
              <w:t xml:space="preserve">One-time</w:t>
            </w:r>
          </w:p>
        </w:tc>
        <w:tc>
          <w:tcPr>
            <w:tcW w:w="954" w:type="dxa"/>
          </w:tcPr>
          <w:p>
            <w:pPr>
              <w:pStyle w:val="TableText"/>
              <w:jc w:val="right"/>
            </w:pPr>
            <w:r>
              <w:rPr>
                <w:sz w:val="16"/>
                <w:szCs w:val="16"/>
              </w:rPr>
              <w:t xml:space="preserve">USD 74</w:t>
            </w:r>
          </w:p>
        </w:tc>
        <w:tc>
          <w:tcPr>
            <w:tcW w:w="1001" w:type="dxa"/>
          </w:tcPr>
          <w:p>
            <w:pPr>
              <w:pStyle w:val="TableText"/>
              <w:jc w:val="right"/>
            </w:pPr>
            <w:r>
              <w:rPr>
                <w:b/>
                <w:bCs/>
                <w:sz w:val="16"/>
                <w:szCs w:val="16"/>
              </w:rPr>
              <w:t xml:space="preserve">USD 8,232</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tcPr>
          <w:p>
            <w:pPr>
              <w:pStyle w:val="TableText"/>
            </w:pPr>
            <w:r>
              <w:rPr>
                <w:sz w:val="16"/>
                <w:szCs w:val="16"/>
              </w:rPr>
              <w:t xml:space="preserve">Medium</w:t>
            </w:r>
          </w:p>
        </w:tc>
      </w:tr>
      <w:tr>
        <w:trPr>
          <w:cantSplit/>
        </w:trPr>
        <w:tc>
          <w:tcPr>
            <w:tcW w:w="1039" w:type="dxa"/>
            <w:shd w:val="clear" w:color="auto" w:fill="F7F9FB"/>
          </w:tcPr>
          <w:p>
            <w:pPr>
              <w:pStyle w:val="TableText"/>
            </w:pPr>
            <w:r>
              <w:rPr>
                <w:color w:val="5B6475"/>
                <w:sz w:val="16"/>
                <w:szCs w:val="16"/>
              </w:rPr>
              <w:t xml:space="preserve">Remote Desktop Services</w:t>
            </w:r>
          </w:p>
        </w:tc>
        <w:tc>
          <w:tcPr>
            <w:tcW w:w="2055" w:type="dxa"/>
            <w:shd w:val="clear" w:color="auto" w:fill="F7F9FB"/>
          </w:tcPr>
          <w:p>
            <w:pPr>
              <w:pStyle w:val="TableText"/>
              <w:spacing w:after="40"/>
            </w:pPr>
            <w:r>
              <w:rPr>
                <w:b/>
                <w:bCs/>
                <w:sz w:val="16"/>
                <w:szCs w:val="16"/>
              </w:rPr>
              <w:t xml:space="preserve">Remote Desktop Services CAL - User</w:t>
            </w:r>
          </w:p>
          <w:p>
            <w:pPr>
              <w:pStyle w:val="TableText"/>
            </w:pPr>
            <w:r>
              <w:rPr>
                <w:color w:val="5B6475"/>
                <w:sz w:val="14"/>
                <w:szCs w:val="14"/>
              </w:rPr>
              <w:t xml:space="preserve">RDS-CAL-USER</w:t>
            </w:r>
          </w:p>
        </w:tc>
        <w:tc>
          <w:tcPr>
            <w:tcW w:w="718" w:type="dxa"/>
            <w:shd w:val="clear" w:color="auto" w:fill="F7F9FB"/>
          </w:tcPr>
          <w:p>
            <w:pPr>
              <w:pStyle w:val="TableText"/>
            </w:pPr>
            <w:r>
              <w:rPr>
                <w:sz w:val="16"/>
                <w:szCs w:val="16"/>
              </w:rPr>
              <w:t xml:space="preserve">User</w:t>
            </w:r>
          </w:p>
        </w:tc>
        <w:tc>
          <w:tcPr>
            <w:tcW w:w="867" w:type="dxa"/>
            <w:shd w:val="clear" w:color="auto" w:fill="F7F9FB"/>
          </w:tcPr>
          <w:p>
            <w:pPr>
              <w:pStyle w:val="TableText"/>
              <w:jc w:val="right"/>
            </w:pPr>
            <w:r>
              <w:rPr>
                <w:sz w:val="16"/>
                <w:szCs w:val="16"/>
              </w:rPr>
              <w:t xml:space="preserve">42</w:t>
            </w:r>
          </w:p>
        </w:tc>
        <w:tc>
          <w:tcPr>
            <w:tcW w:w="823" w:type="dxa"/>
            <w:shd w:val="clear" w:color="auto" w:fill="F7F9FB"/>
          </w:tcPr>
          <w:p>
            <w:pPr>
              <w:pStyle w:val="TableText"/>
              <w:jc w:val="right"/>
            </w:pPr>
            <w:r>
              <w:rPr>
                <w:sz w:val="16"/>
                <w:szCs w:val="16"/>
              </w:rPr>
              <w:t xml:space="preserve">25</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25</w:t>
            </w:r>
          </w:p>
        </w:tc>
        <w:tc>
          <w:tcPr>
            <w:tcW w:w="576" w:type="dxa"/>
            <w:shd w:val="clear" w:color="auto" w:fill="F7F9FB"/>
          </w:tcPr>
          <w:p>
            <w:pPr>
              <w:pStyle w:val="TableText"/>
              <w:jc w:val="right"/>
            </w:pPr>
            <w:r>
              <w:rPr>
                <w:b/>
                <w:bCs/>
                <w:color w:val="C62828"/>
                <w:sz w:val="16"/>
                <w:szCs w:val="16"/>
              </w:rPr>
              <w:t xml:space="preserve">42</w:t>
            </w:r>
          </w:p>
        </w:tc>
        <w:tc>
          <w:tcPr>
            <w:tcW w:w="1321" w:type="dxa"/>
            <w:shd w:val="clear" w:color="auto" w:fill="F7F9FB"/>
          </w:tcPr>
          <w:p>
            <w:pPr>
              <w:pStyle w:val="TableText"/>
              <w:jc w:val="right"/>
            </w:pPr>
            <w:r>
              <w:rPr>
                <w:b/>
                <w:bCs/>
                <w:sz w:val="16"/>
                <w:szCs w:val="16"/>
              </w:rPr>
              <w:t xml:space="preserve">42</w:t>
            </w:r>
          </w:p>
        </w:tc>
        <w:tc>
          <w:tcPr>
            <w:tcW w:w="1146" w:type="dxa"/>
            <w:shd w:val="clear" w:color="auto" w:fill="F7F9FB"/>
          </w:tcPr>
          <w:p>
            <w:pPr>
              <w:pStyle w:val="TableText"/>
              <w:spacing w:after="40"/>
            </w:pPr>
            <w:r>
              <w:rPr>
                <w:sz w:val="16"/>
                <w:szCs w:val="16"/>
              </w:rPr>
              <w:t xml:space="preserve">42 x user licenses</w:t>
            </w:r>
          </w:p>
          <w:p>
            <w:pPr>
              <w:pStyle w:val="TableText"/>
            </w:pPr>
            <w:r>
              <w:rPr>
                <w:color w:val="5B6475"/>
                <w:sz w:val="14"/>
                <w:szCs w:val="14"/>
              </w:rPr>
              <w:t xml:space="preserve">One-time</w:t>
            </w:r>
          </w:p>
        </w:tc>
        <w:tc>
          <w:tcPr>
            <w:tcW w:w="954" w:type="dxa"/>
            <w:shd w:val="clear" w:color="auto" w:fill="F7F9FB"/>
          </w:tcPr>
          <w:p>
            <w:pPr>
              <w:pStyle w:val="TableText"/>
              <w:jc w:val="right"/>
            </w:pPr>
            <w:r>
              <w:rPr>
                <w:sz w:val="16"/>
                <w:szCs w:val="16"/>
              </w:rPr>
              <w:t xml:space="preserve">n/a</w:t>
            </w:r>
          </w:p>
        </w:tc>
        <w:tc>
          <w:tcPr>
            <w:tcW w:w="1001" w:type="dxa"/>
            <w:shd w:val="clear" w:color="auto" w:fill="F7F9FB"/>
          </w:tcPr>
          <w:p>
            <w:pPr>
              <w:pStyle w:val="TableText"/>
              <w:jc w:val="right"/>
            </w:pPr>
            <w:r>
              <w:rPr>
                <w:sz w:val="16"/>
                <w:szCs w:val="16"/>
              </w:rPr>
              <w:t xml:space="preserve">n/a</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shd w:val="clear" w:color="auto" w:fill="F7F9FB"/>
          </w:tcPr>
          <w:p>
            <w:pPr>
              <w:pStyle w:val="TableText"/>
            </w:pPr>
            <w:r>
              <w:rPr>
                <w:sz w:val="16"/>
                <w:szCs w:val="16"/>
              </w:rPr>
              <w:t xml:space="preserve">Medium</w:t>
            </w:r>
          </w:p>
        </w:tc>
      </w:tr>
      <w:tr>
        <w:trPr>
          <w:cantSplit/>
        </w:trPr>
        <w:tc>
          <w:tcPr>
            <w:tcW w:w="1039" w:type="dxa"/>
          </w:tcPr>
          <w:p>
            <w:pPr>
              <w:pStyle w:val="TableText"/>
            </w:pPr>
            <w:r>
              <w:rPr>
                <w:color w:val="5B6475"/>
                <w:sz w:val="16"/>
                <w:szCs w:val="16"/>
              </w:rPr>
              <w:t xml:space="preserve">SQL Server</w:t>
            </w:r>
          </w:p>
        </w:tc>
        <w:tc>
          <w:tcPr>
            <w:tcW w:w="2055" w:type="dxa"/>
          </w:tcPr>
          <w:p>
            <w:pPr>
              <w:pStyle w:val="TableText"/>
              <w:spacing w:after="40"/>
            </w:pPr>
            <w:r>
              <w:rPr>
                <w:b/>
                <w:bCs/>
                <w:sz w:val="16"/>
                <w:szCs w:val="16"/>
              </w:rPr>
              <w:t xml:space="preserve">SQL Server Enterprise - core licenses (2-core packs)</w:t>
            </w:r>
          </w:p>
          <w:p>
            <w:pPr>
              <w:pStyle w:val="TableText"/>
            </w:pPr>
            <w:r>
              <w:rPr>
                <w:color w:val="5B6475"/>
                <w:sz w:val="14"/>
                <w:szCs w:val="14"/>
              </w:rPr>
              <w:t xml:space="preserve">SQL-ENT-CORE</w:t>
            </w:r>
          </w:p>
        </w:tc>
        <w:tc>
          <w:tcPr>
            <w:tcW w:w="718" w:type="dxa"/>
          </w:tcPr>
          <w:p>
            <w:pPr>
              <w:pStyle w:val="TableText"/>
            </w:pPr>
            <w:r>
              <w:rPr>
                <w:sz w:val="16"/>
                <w:szCs w:val="16"/>
              </w:rPr>
              <w:t xml:space="preserve">Core</w:t>
            </w:r>
          </w:p>
        </w:tc>
        <w:tc>
          <w:tcPr>
            <w:tcW w:w="867" w:type="dxa"/>
          </w:tcPr>
          <w:p>
            <w:pPr>
              <w:pStyle w:val="TableText"/>
              <w:jc w:val="right"/>
            </w:pPr>
            <w:r>
              <w:rPr>
                <w:sz w:val="16"/>
                <w:szCs w:val="16"/>
              </w:rPr>
              <w:t xml:space="preserve">8</w:t>
            </w:r>
          </w:p>
        </w:tc>
        <w:tc>
          <w:tcPr>
            <w:tcW w:w="823" w:type="dxa"/>
          </w:tcPr>
          <w:p>
            <w:pPr>
              <w:pStyle w:val="TableText"/>
              <w:jc w:val="right"/>
            </w:pPr>
            <w:r>
              <w:rPr>
                <w:sz w:val="16"/>
                <w:szCs w:val="16"/>
              </w:rPr>
              <w:t xml:space="preserve">4</w:t>
            </w:r>
          </w:p>
        </w:tc>
        <w:tc>
          <w:tcPr>
            <w:tcW w:w="895" w:type="dxa"/>
          </w:tcPr>
          <w:p>
            <w:pPr>
              <w:pStyle w:val="TableText"/>
              <w:jc w:val="right"/>
            </w:pPr>
            <w:r>
              <w:rPr>
                <w:sz w:val="16"/>
                <w:szCs w:val="16"/>
              </w:rPr>
              <w:t xml:space="preserve">–</w:t>
            </w:r>
          </w:p>
        </w:tc>
        <w:tc>
          <w:tcPr>
            <w:tcW w:w="897" w:type="dxa"/>
          </w:tcPr>
          <w:p>
            <w:pPr>
              <w:pStyle w:val="TableText"/>
              <w:jc w:val="right"/>
            </w:pPr>
            <w:r>
              <w:rPr>
                <w:sz w:val="16"/>
                <w:szCs w:val="16"/>
              </w:rPr>
              <w:t xml:space="preserve">0</w:t>
            </w:r>
          </w:p>
        </w:tc>
        <w:tc>
          <w:tcPr>
            <w:tcW w:w="576" w:type="dxa"/>
          </w:tcPr>
          <w:p>
            <w:pPr>
              <w:pStyle w:val="TableText"/>
              <w:jc w:val="right"/>
            </w:pPr>
            <w:r>
              <w:rPr>
                <w:b/>
                <w:bCs/>
                <w:color w:val="C62828"/>
                <w:sz w:val="16"/>
                <w:szCs w:val="16"/>
              </w:rPr>
              <w:t xml:space="preserve">8</w:t>
            </w:r>
          </w:p>
        </w:tc>
        <w:tc>
          <w:tcPr>
            <w:tcW w:w="1321" w:type="dxa"/>
          </w:tcPr>
          <w:p>
            <w:pPr>
              <w:pStyle w:val="TableText"/>
              <w:jc w:val="right"/>
            </w:pPr>
            <w:r>
              <w:rPr>
                <w:b/>
                <w:bCs/>
                <w:sz w:val="16"/>
                <w:szCs w:val="16"/>
              </w:rPr>
              <w:t xml:space="preserve">8</w:t>
            </w:r>
          </w:p>
        </w:tc>
        <w:tc>
          <w:tcPr>
            <w:tcW w:w="1146" w:type="dxa"/>
          </w:tcPr>
          <w:p>
            <w:pPr>
              <w:pStyle w:val="TableText"/>
              <w:spacing w:after="40"/>
            </w:pPr>
            <w:r>
              <w:rPr>
                <w:sz w:val="16"/>
                <w:szCs w:val="16"/>
              </w:rPr>
              <w:t xml:space="preserve">4 x 2-core pack</w:t>
            </w:r>
          </w:p>
          <w:p>
            <w:pPr>
              <w:pStyle w:val="TableText"/>
            </w:pPr>
            <w:r>
              <w:rPr>
                <w:color w:val="5B6475"/>
                <w:sz w:val="14"/>
                <w:szCs w:val="14"/>
              </w:rPr>
              <w:t xml:space="preserve">One-time</w:t>
            </w:r>
          </w:p>
        </w:tc>
        <w:tc>
          <w:tcPr>
            <w:tcW w:w="954" w:type="dxa"/>
          </w:tcPr>
          <w:p>
            <w:pPr>
              <w:pStyle w:val="TableText"/>
              <w:jc w:val="right"/>
            </w:pPr>
            <w:r>
              <w:rPr>
                <w:sz w:val="16"/>
                <w:szCs w:val="16"/>
              </w:rPr>
              <w:t xml:space="preserve">USD 7,562</w:t>
            </w:r>
          </w:p>
        </w:tc>
        <w:tc>
          <w:tcPr>
            <w:tcW w:w="1001" w:type="dxa"/>
          </w:tcPr>
          <w:p>
            <w:pPr>
              <w:pStyle w:val="TableText"/>
              <w:jc w:val="right"/>
            </w:pPr>
            <w:r>
              <w:rPr>
                <w:b/>
                <w:bCs/>
                <w:sz w:val="16"/>
                <w:szCs w:val="16"/>
              </w:rPr>
              <w:t xml:space="preserve">USD 60,492</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tcPr>
          <w:p>
            <w:pPr>
              <w:pStyle w:val="TableText"/>
            </w:pPr>
            <w:r>
              <w:rPr>
                <w:sz w:val="16"/>
                <w:szCs w:val="16"/>
              </w:rPr>
              <w:t xml:space="preserve">Medium</w:t>
            </w:r>
          </w:p>
        </w:tc>
      </w:tr>
      <w:tr>
        <w:trPr>
          <w:cantSplit/>
        </w:trPr>
        <w:tc>
          <w:tcPr>
            <w:tcW w:w="1039" w:type="dxa"/>
            <w:shd w:val="clear" w:color="auto" w:fill="F7F9FB"/>
          </w:tcPr>
          <w:p>
            <w:pPr>
              <w:pStyle w:val="TableText"/>
            </w:pPr>
            <w:r>
              <w:rPr>
                <w:color w:val="5B6475"/>
                <w:sz w:val="16"/>
                <w:szCs w:val="16"/>
              </w:rPr>
              <w:t xml:space="preserve">Office</w:t>
            </w:r>
          </w:p>
        </w:tc>
        <w:tc>
          <w:tcPr>
            <w:tcW w:w="2055" w:type="dxa"/>
            <w:shd w:val="clear" w:color="auto" w:fill="F7F9FB"/>
          </w:tcPr>
          <w:p>
            <w:pPr>
              <w:pStyle w:val="TableText"/>
              <w:spacing w:after="40"/>
            </w:pPr>
            <w:r>
              <w:rPr>
                <w:b/>
                <w:bCs/>
                <w:sz w:val="16"/>
                <w:szCs w:val="16"/>
              </w:rPr>
              <w:t xml:space="preserve">Office Home &amp; Business - per device</w:t>
            </w:r>
          </w:p>
          <w:p>
            <w:pPr>
              <w:pStyle w:val="TableText"/>
            </w:pPr>
            <w:r>
              <w:rPr>
                <w:color w:val="5B6475"/>
                <w:sz w:val="14"/>
                <w:szCs w:val="14"/>
              </w:rPr>
              <w:t xml:space="preserve">OFFICE-HB</w:t>
            </w:r>
          </w:p>
        </w:tc>
        <w:tc>
          <w:tcPr>
            <w:tcW w:w="718" w:type="dxa"/>
            <w:shd w:val="clear" w:color="auto" w:fill="F7F9FB"/>
          </w:tcPr>
          <w:p>
            <w:pPr>
              <w:pStyle w:val="TableText"/>
            </w:pPr>
            <w:r>
              <w:rPr>
                <w:sz w:val="16"/>
                <w:szCs w:val="16"/>
              </w:rPr>
              <w:t xml:space="preserve">Device</w:t>
            </w:r>
          </w:p>
        </w:tc>
        <w:tc>
          <w:tcPr>
            <w:tcW w:w="867" w:type="dxa"/>
            <w:shd w:val="clear" w:color="auto" w:fill="F7F9FB"/>
          </w:tcPr>
          <w:p>
            <w:pPr>
              <w:pStyle w:val="TableText"/>
              <w:jc w:val="right"/>
            </w:pPr>
            <w:r>
              <w:rPr>
                <w:sz w:val="16"/>
                <w:szCs w:val="16"/>
              </w:rPr>
              <w:t xml:space="preserve">1</w:t>
            </w:r>
          </w:p>
        </w:tc>
        <w:tc>
          <w:tcPr>
            <w:tcW w:w="823" w:type="dxa"/>
            <w:shd w:val="clear" w:color="auto" w:fill="F7F9FB"/>
          </w:tcPr>
          <w:p>
            <w:pPr>
              <w:pStyle w:val="TableText"/>
              <w:jc w:val="right"/>
            </w:pPr>
            <w:r>
              <w:rPr>
                <w:sz w:val="16"/>
                <w:szCs w:val="16"/>
              </w:rPr>
              <w:t xml:space="preserve">0</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0</w:t>
            </w:r>
          </w:p>
        </w:tc>
        <w:tc>
          <w:tcPr>
            <w:tcW w:w="576" w:type="dxa"/>
            <w:shd w:val="clear" w:color="auto" w:fill="F7F9FB"/>
          </w:tcPr>
          <w:p>
            <w:pPr>
              <w:pStyle w:val="TableText"/>
              <w:jc w:val="right"/>
            </w:pPr>
            <w:r>
              <w:rPr>
                <w:b/>
                <w:bCs/>
                <w:color w:val="C62828"/>
                <w:sz w:val="16"/>
                <w:szCs w:val="16"/>
              </w:rPr>
              <w:t xml:space="preserve">1</w:t>
            </w:r>
          </w:p>
        </w:tc>
        <w:tc>
          <w:tcPr>
            <w:tcW w:w="1321" w:type="dxa"/>
            <w:shd w:val="clear" w:color="auto" w:fill="F7F9FB"/>
          </w:tcPr>
          <w:p>
            <w:pPr>
              <w:pStyle w:val="TableText"/>
              <w:jc w:val="right"/>
            </w:pPr>
            <w:r>
              <w:rPr>
                <w:b/>
                <w:bCs/>
                <w:sz w:val="16"/>
                <w:szCs w:val="16"/>
              </w:rPr>
              <w:t xml:space="preserve">1</w:t>
            </w:r>
          </w:p>
        </w:tc>
        <w:tc>
          <w:tcPr>
            <w:tcW w:w="1146" w:type="dxa"/>
            <w:shd w:val="clear" w:color="auto" w:fill="F7F9FB"/>
          </w:tcPr>
          <w:p>
            <w:pPr>
              <w:pStyle w:val="TableText"/>
              <w:spacing w:after="40"/>
            </w:pPr>
            <w:r>
              <w:rPr>
                <w:sz w:val="16"/>
                <w:szCs w:val="16"/>
              </w:rPr>
              <w:t xml:space="preserve">1 x device license</w:t>
            </w:r>
          </w:p>
          <w:p>
            <w:pPr>
              <w:pStyle w:val="TableText"/>
            </w:pPr>
            <w:r>
              <w:rPr>
                <w:color w:val="5B6475"/>
                <w:sz w:val="14"/>
                <w:szCs w:val="14"/>
              </w:rPr>
              <w:t xml:space="preserve">One-time</w:t>
            </w:r>
          </w:p>
        </w:tc>
        <w:tc>
          <w:tcPr>
            <w:tcW w:w="954" w:type="dxa"/>
            <w:shd w:val="clear" w:color="auto" w:fill="F7F9FB"/>
          </w:tcPr>
          <w:p>
            <w:pPr>
              <w:pStyle w:val="TableText"/>
              <w:jc w:val="right"/>
            </w:pPr>
            <w:r>
              <w:rPr>
                <w:sz w:val="16"/>
                <w:szCs w:val="16"/>
              </w:rPr>
              <w:t xml:space="preserve">USD 250</w:t>
            </w:r>
          </w:p>
        </w:tc>
        <w:tc>
          <w:tcPr>
            <w:tcW w:w="1001" w:type="dxa"/>
            <w:shd w:val="clear" w:color="auto" w:fill="F7F9FB"/>
          </w:tcPr>
          <w:p>
            <w:pPr>
              <w:pStyle w:val="TableText"/>
              <w:jc w:val="right"/>
            </w:pPr>
            <w:r>
              <w:rPr>
                <w:b/>
                <w:bCs/>
                <w:sz w:val="16"/>
                <w:szCs w:val="16"/>
              </w:rPr>
              <w:t xml:space="preserve">USD 250</w:t>
            </w:r>
          </w:p>
        </w:tc>
        <w:tc>
          <w:tcPr>
            <w:tcW w:w="1271" w:type="dxa"/>
            <w:shd w:val="clear" w:color="auto" w:fill="F0E4F7"/>
          </w:tcPr>
          <w:p>
            <w:pPr>
              <w:pStyle w:val="TableText"/>
            </w:pPr>
            <w:r>
              <w:rPr>
                <w:b/>
                <w:bCs/>
                <w:color w:val="5E1A8A"/>
                <w:sz w:val="15"/>
                <w:szCs w:val="15"/>
              </w:rPr>
              <w:t xml:space="preserve">Validation required before procurement</w:t>
            </w:r>
          </w:p>
        </w:tc>
        <w:tc>
          <w:tcPr>
            <w:tcW w:w="1121" w:type="dxa"/>
            <w:shd w:val="clear" w:color="auto" w:fill="F7F9FB"/>
          </w:tcPr>
          <w:p>
            <w:pPr>
              <w:pStyle w:val="TableText"/>
            </w:pPr>
            <w:r>
              <w:rPr>
                <w:sz w:val="16"/>
                <w:szCs w:val="16"/>
              </w:rPr>
              <w:t xml:space="preserve">Medium</w:t>
            </w:r>
          </w:p>
        </w:tc>
      </w:tr>
      <w:tr>
        <w:trPr>
          <w:cantSplit/>
        </w:trPr>
        <w:tc>
          <w:tcPr>
            <w:tcW w:w="1039" w:type="dxa"/>
          </w:tcPr>
          <w:p>
            <w:pPr>
              <w:pStyle w:val="TableText"/>
            </w:pPr>
            <w:r>
              <w:rPr>
                <w:color w:val="5B6475"/>
                <w:sz w:val="16"/>
                <w:szCs w:val="16"/>
              </w:rPr>
              <w:t xml:space="preserve">Office</w:t>
            </w:r>
          </w:p>
        </w:tc>
        <w:tc>
          <w:tcPr>
            <w:tcW w:w="2055" w:type="dxa"/>
          </w:tcPr>
          <w:p>
            <w:pPr>
              <w:pStyle w:val="TableText"/>
              <w:spacing w:after="40"/>
            </w:pPr>
            <w:r>
              <w:rPr>
                <w:b/>
                <w:bCs/>
                <w:sz w:val="16"/>
                <w:szCs w:val="16"/>
              </w:rPr>
              <w:t xml:space="preserve">Office LTSC Professional Plus - per device (Volume Licensing)</w:t>
            </w:r>
          </w:p>
          <w:p>
            <w:pPr>
              <w:pStyle w:val="TableText"/>
            </w:pPr>
            <w:r>
              <w:rPr>
                <w:color w:val="5B6475"/>
                <w:sz w:val="14"/>
                <w:szCs w:val="14"/>
              </w:rPr>
              <w:t xml:space="preserve">OFFICE-PROPLUS</w:t>
            </w:r>
          </w:p>
        </w:tc>
        <w:tc>
          <w:tcPr>
            <w:tcW w:w="718" w:type="dxa"/>
          </w:tcPr>
          <w:p>
            <w:pPr>
              <w:pStyle w:val="TableText"/>
            </w:pPr>
            <w:r>
              <w:rPr>
                <w:sz w:val="16"/>
                <w:szCs w:val="16"/>
              </w:rPr>
              <w:t xml:space="preserve">Device</w:t>
            </w:r>
          </w:p>
        </w:tc>
        <w:tc>
          <w:tcPr>
            <w:tcW w:w="867" w:type="dxa"/>
          </w:tcPr>
          <w:p>
            <w:pPr>
              <w:pStyle w:val="TableText"/>
              <w:jc w:val="right"/>
            </w:pPr>
            <w:r>
              <w:rPr>
                <w:sz w:val="16"/>
                <w:szCs w:val="16"/>
              </w:rPr>
              <w:t xml:space="preserve">42</w:t>
            </w:r>
          </w:p>
        </w:tc>
        <w:tc>
          <w:tcPr>
            <w:tcW w:w="823" w:type="dxa"/>
          </w:tcPr>
          <w:p>
            <w:pPr>
              <w:pStyle w:val="TableText"/>
              <w:jc w:val="right"/>
            </w:pPr>
            <w:r>
              <w:rPr>
                <w:sz w:val="16"/>
                <w:szCs w:val="16"/>
              </w:rPr>
              <w:t xml:space="preserve">5</w:t>
            </w:r>
          </w:p>
        </w:tc>
        <w:tc>
          <w:tcPr>
            <w:tcW w:w="895" w:type="dxa"/>
          </w:tcPr>
          <w:p>
            <w:pPr>
              <w:pStyle w:val="TableText"/>
              <w:jc w:val="right"/>
            </w:pPr>
            <w:r>
              <w:rPr>
                <w:sz w:val="16"/>
                <w:szCs w:val="16"/>
              </w:rPr>
              <w:t xml:space="preserve">–</w:t>
            </w:r>
          </w:p>
        </w:tc>
        <w:tc>
          <w:tcPr>
            <w:tcW w:w="897" w:type="dxa"/>
          </w:tcPr>
          <w:p>
            <w:pPr>
              <w:pStyle w:val="TableText"/>
              <w:jc w:val="right"/>
            </w:pPr>
            <w:r>
              <w:rPr>
                <w:sz w:val="16"/>
                <w:szCs w:val="16"/>
              </w:rPr>
              <w:t xml:space="preserve">0</w:t>
            </w:r>
          </w:p>
        </w:tc>
        <w:tc>
          <w:tcPr>
            <w:tcW w:w="576" w:type="dxa"/>
          </w:tcPr>
          <w:p>
            <w:pPr>
              <w:pStyle w:val="TableText"/>
              <w:jc w:val="right"/>
            </w:pPr>
            <w:r>
              <w:rPr>
                <w:b/>
                <w:bCs/>
                <w:color w:val="C62828"/>
                <w:sz w:val="16"/>
                <w:szCs w:val="16"/>
              </w:rPr>
              <w:t xml:space="preserve">37</w:t>
            </w:r>
          </w:p>
        </w:tc>
        <w:tc>
          <w:tcPr>
            <w:tcW w:w="1321" w:type="dxa"/>
          </w:tcPr>
          <w:p>
            <w:pPr>
              <w:pStyle w:val="TableText"/>
              <w:jc w:val="right"/>
            </w:pPr>
            <w:r>
              <w:rPr>
                <w:b/>
                <w:bCs/>
                <w:sz w:val="16"/>
                <w:szCs w:val="16"/>
              </w:rPr>
              <w:t xml:space="preserve">37</w:t>
            </w:r>
          </w:p>
        </w:tc>
        <w:tc>
          <w:tcPr>
            <w:tcW w:w="1146" w:type="dxa"/>
          </w:tcPr>
          <w:p>
            <w:pPr>
              <w:pStyle w:val="TableText"/>
              <w:spacing w:after="40"/>
            </w:pPr>
            <w:r>
              <w:rPr>
                <w:sz w:val="16"/>
                <w:szCs w:val="16"/>
              </w:rPr>
              <w:t xml:space="preserve">37 x device licenses</w:t>
            </w:r>
          </w:p>
          <w:p>
            <w:pPr>
              <w:pStyle w:val="TableText"/>
            </w:pPr>
            <w:r>
              <w:rPr>
                <w:color w:val="5B6475"/>
                <w:sz w:val="14"/>
                <w:szCs w:val="14"/>
              </w:rPr>
              <w:t xml:space="preserve">One-time</w:t>
            </w:r>
          </w:p>
        </w:tc>
        <w:tc>
          <w:tcPr>
            <w:tcW w:w="954" w:type="dxa"/>
          </w:tcPr>
          <w:p>
            <w:pPr>
              <w:pStyle w:val="TableText"/>
              <w:jc w:val="right"/>
            </w:pPr>
            <w:r>
              <w:rPr>
                <w:sz w:val="16"/>
                <w:szCs w:val="16"/>
              </w:rPr>
              <w:t xml:space="preserve">n/a</w:t>
            </w:r>
          </w:p>
        </w:tc>
        <w:tc>
          <w:tcPr>
            <w:tcW w:w="1001" w:type="dxa"/>
          </w:tcPr>
          <w:p>
            <w:pPr>
              <w:pStyle w:val="TableText"/>
              <w:jc w:val="right"/>
            </w:pPr>
            <w:r>
              <w:rPr>
                <w:sz w:val="16"/>
                <w:szCs w:val="16"/>
              </w:rPr>
              <w:t xml:space="preserve">n/a</w:t>
            </w:r>
          </w:p>
        </w:tc>
        <w:tc>
          <w:tcPr>
            <w:tcW w:w="1271" w:type="dxa"/>
            <w:shd w:val="clear" w:color="auto" w:fill="F0E4F7"/>
          </w:tcPr>
          <w:p>
            <w:pPr>
              <w:pStyle w:val="TableText"/>
            </w:pPr>
            <w:r>
              <w:rPr>
                <w:b/>
                <w:bCs/>
                <w:color w:val="5E1A8A"/>
                <w:sz w:val="15"/>
                <w:szCs w:val="15"/>
              </w:rPr>
              <w:t xml:space="preserve">Validation required before procurement</w:t>
            </w:r>
          </w:p>
        </w:tc>
        <w:tc>
          <w:tcPr>
            <w:tcW w:w="1121" w:type="dxa"/>
          </w:tcPr>
          <w:p>
            <w:pPr>
              <w:pStyle w:val="TableText"/>
            </w:pPr>
            <w:r>
              <w:rPr>
                <w:sz w:val="16"/>
                <w:szCs w:val="16"/>
              </w:rPr>
              <w:t xml:space="preserve">Low</w:t>
            </w:r>
          </w:p>
        </w:tc>
      </w:tr>
      <w:tr>
        <w:trPr>
          <w:cantSplit/>
        </w:trPr>
        <w:tc>
          <w:tcPr>
            <w:tcW w:w="1039" w:type="dxa"/>
            <w:shd w:val="clear" w:color="auto" w:fill="F7F9FB"/>
          </w:tcPr>
          <w:p>
            <w:pPr>
              <w:pStyle w:val="TableText"/>
            </w:pPr>
            <w:r>
              <w:rPr>
                <w:color w:val="5B6475"/>
                <w:sz w:val="16"/>
                <w:szCs w:val="16"/>
              </w:rPr>
              <w:t xml:space="preserve">Office</w:t>
            </w:r>
          </w:p>
        </w:tc>
        <w:tc>
          <w:tcPr>
            <w:tcW w:w="2055" w:type="dxa"/>
            <w:shd w:val="clear" w:color="auto" w:fill="F7F9FB"/>
          </w:tcPr>
          <w:p>
            <w:pPr>
              <w:pStyle w:val="TableText"/>
              <w:spacing w:after="40"/>
            </w:pPr>
            <w:r>
              <w:rPr>
                <w:b/>
                <w:bCs/>
                <w:sz w:val="16"/>
                <w:szCs w:val="16"/>
              </w:rPr>
              <w:t xml:space="preserve">Office LTSC Standard - per device (Volume Licensing)</w:t>
            </w:r>
          </w:p>
          <w:p>
            <w:pPr>
              <w:pStyle w:val="TableText"/>
            </w:pPr>
            <w:r>
              <w:rPr>
                <w:color w:val="5B6475"/>
                <w:sz w:val="14"/>
                <w:szCs w:val="14"/>
              </w:rPr>
              <w:t xml:space="preserve">OFFICE-STD</w:t>
            </w:r>
          </w:p>
        </w:tc>
        <w:tc>
          <w:tcPr>
            <w:tcW w:w="718" w:type="dxa"/>
            <w:shd w:val="clear" w:color="auto" w:fill="F7F9FB"/>
          </w:tcPr>
          <w:p>
            <w:pPr>
              <w:pStyle w:val="TableText"/>
            </w:pPr>
            <w:r>
              <w:rPr>
                <w:sz w:val="16"/>
                <w:szCs w:val="16"/>
              </w:rPr>
              <w:t xml:space="preserve">Device</w:t>
            </w:r>
          </w:p>
        </w:tc>
        <w:tc>
          <w:tcPr>
            <w:tcW w:w="867" w:type="dxa"/>
            <w:shd w:val="clear" w:color="auto" w:fill="F7F9FB"/>
          </w:tcPr>
          <w:p>
            <w:pPr>
              <w:pStyle w:val="TableText"/>
              <w:jc w:val="right"/>
            </w:pPr>
            <w:r>
              <w:rPr>
                <w:sz w:val="16"/>
                <w:szCs w:val="16"/>
              </w:rPr>
              <w:t xml:space="preserve">1</w:t>
            </w:r>
          </w:p>
        </w:tc>
        <w:tc>
          <w:tcPr>
            <w:tcW w:w="823" w:type="dxa"/>
            <w:shd w:val="clear" w:color="auto" w:fill="F7F9FB"/>
          </w:tcPr>
          <w:p>
            <w:pPr>
              <w:pStyle w:val="TableText"/>
              <w:jc w:val="right"/>
            </w:pPr>
            <w:r>
              <w:rPr>
                <w:sz w:val="16"/>
                <w:szCs w:val="16"/>
              </w:rPr>
              <w:t xml:space="preserve">0</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0</w:t>
            </w:r>
          </w:p>
        </w:tc>
        <w:tc>
          <w:tcPr>
            <w:tcW w:w="576" w:type="dxa"/>
            <w:shd w:val="clear" w:color="auto" w:fill="F7F9FB"/>
          </w:tcPr>
          <w:p>
            <w:pPr>
              <w:pStyle w:val="TableText"/>
              <w:jc w:val="right"/>
            </w:pPr>
            <w:r>
              <w:rPr>
                <w:b/>
                <w:bCs/>
                <w:color w:val="C62828"/>
                <w:sz w:val="16"/>
                <w:szCs w:val="16"/>
              </w:rPr>
              <w:t xml:space="preserve">1</w:t>
            </w:r>
          </w:p>
        </w:tc>
        <w:tc>
          <w:tcPr>
            <w:tcW w:w="1321" w:type="dxa"/>
            <w:shd w:val="clear" w:color="auto" w:fill="F7F9FB"/>
          </w:tcPr>
          <w:p>
            <w:pPr>
              <w:pStyle w:val="TableText"/>
              <w:jc w:val="right"/>
            </w:pPr>
            <w:r>
              <w:rPr>
                <w:b/>
                <w:bCs/>
                <w:sz w:val="16"/>
                <w:szCs w:val="16"/>
              </w:rPr>
              <w:t xml:space="preserve">1</w:t>
            </w:r>
          </w:p>
        </w:tc>
        <w:tc>
          <w:tcPr>
            <w:tcW w:w="1146" w:type="dxa"/>
            <w:shd w:val="clear" w:color="auto" w:fill="F7F9FB"/>
          </w:tcPr>
          <w:p>
            <w:pPr>
              <w:pStyle w:val="TableText"/>
              <w:spacing w:after="40"/>
            </w:pPr>
            <w:r>
              <w:rPr>
                <w:sz w:val="16"/>
                <w:szCs w:val="16"/>
              </w:rPr>
              <w:t xml:space="preserve">1 x device license</w:t>
            </w:r>
          </w:p>
          <w:p>
            <w:pPr>
              <w:pStyle w:val="TableText"/>
            </w:pPr>
            <w:r>
              <w:rPr>
                <w:color w:val="5B6475"/>
                <w:sz w:val="14"/>
                <w:szCs w:val="14"/>
              </w:rPr>
              <w:t xml:space="preserve">One-time</w:t>
            </w:r>
          </w:p>
        </w:tc>
        <w:tc>
          <w:tcPr>
            <w:tcW w:w="954" w:type="dxa"/>
            <w:shd w:val="clear" w:color="auto" w:fill="F7F9FB"/>
          </w:tcPr>
          <w:p>
            <w:pPr>
              <w:pStyle w:val="TableText"/>
              <w:jc w:val="right"/>
            </w:pPr>
            <w:r>
              <w:rPr>
                <w:sz w:val="16"/>
                <w:szCs w:val="16"/>
              </w:rPr>
              <w:t xml:space="preserve">n/a</w:t>
            </w:r>
          </w:p>
        </w:tc>
        <w:tc>
          <w:tcPr>
            <w:tcW w:w="1001" w:type="dxa"/>
            <w:shd w:val="clear" w:color="auto" w:fill="F7F9FB"/>
          </w:tcPr>
          <w:p>
            <w:pPr>
              <w:pStyle w:val="TableText"/>
              <w:jc w:val="right"/>
            </w:pPr>
            <w:r>
              <w:rPr>
                <w:sz w:val="16"/>
                <w:szCs w:val="16"/>
              </w:rPr>
              <w:t xml:space="preserve">n/a</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shd w:val="clear" w:color="auto" w:fill="F7F9FB"/>
          </w:tcPr>
          <w:p>
            <w:pPr>
              <w:pStyle w:val="TableText"/>
            </w:pPr>
            <w:r>
              <w:rPr>
                <w:sz w:val="16"/>
                <w:szCs w:val="16"/>
              </w:rPr>
              <w:t xml:space="preserve">Medium</w:t>
            </w:r>
          </w:p>
        </w:tc>
      </w:tr>
      <w:tr>
        <w:trPr>
          <w:cantSplit/>
        </w:trPr>
        <w:tc>
          <w:tcPr>
            <w:tcW w:w="1039" w:type="dxa"/>
          </w:tcPr>
          <w:p>
            <w:pPr>
              <w:pStyle w:val="TableText"/>
            </w:pPr>
            <w:r>
              <w:rPr>
                <w:color w:val="5B6475"/>
                <w:sz w:val="16"/>
                <w:szCs w:val="16"/>
              </w:rPr>
              <w:t xml:space="preserve">Visio</w:t>
            </w:r>
          </w:p>
        </w:tc>
        <w:tc>
          <w:tcPr>
            <w:tcW w:w="2055" w:type="dxa"/>
          </w:tcPr>
          <w:p>
            <w:pPr>
              <w:pStyle w:val="TableText"/>
              <w:spacing w:after="40"/>
            </w:pPr>
            <w:r>
              <w:rPr>
                <w:b/>
                <w:bCs/>
                <w:sz w:val="16"/>
                <w:szCs w:val="16"/>
              </w:rPr>
              <w:t xml:space="preserve">Visio LTSC Professional - per device</w:t>
            </w:r>
          </w:p>
          <w:p>
            <w:pPr>
              <w:pStyle w:val="TableText"/>
            </w:pPr>
            <w:r>
              <w:rPr>
                <w:color w:val="5B6475"/>
                <w:sz w:val="14"/>
                <w:szCs w:val="14"/>
              </w:rPr>
              <w:t xml:space="preserve">VISIO-PRO</w:t>
            </w:r>
          </w:p>
        </w:tc>
        <w:tc>
          <w:tcPr>
            <w:tcW w:w="718" w:type="dxa"/>
          </w:tcPr>
          <w:p>
            <w:pPr>
              <w:pStyle w:val="TableText"/>
            </w:pPr>
            <w:r>
              <w:rPr>
                <w:sz w:val="16"/>
                <w:szCs w:val="16"/>
              </w:rPr>
              <w:t xml:space="preserve">Device</w:t>
            </w:r>
          </w:p>
        </w:tc>
        <w:tc>
          <w:tcPr>
            <w:tcW w:w="867" w:type="dxa"/>
          </w:tcPr>
          <w:p>
            <w:pPr>
              <w:pStyle w:val="TableText"/>
              <w:jc w:val="right"/>
            </w:pPr>
            <w:r>
              <w:rPr>
                <w:sz w:val="16"/>
                <w:szCs w:val="16"/>
              </w:rPr>
              <w:t xml:space="preserve">1</w:t>
            </w:r>
          </w:p>
        </w:tc>
        <w:tc>
          <w:tcPr>
            <w:tcW w:w="823" w:type="dxa"/>
          </w:tcPr>
          <w:p>
            <w:pPr>
              <w:pStyle w:val="TableText"/>
              <w:jc w:val="right"/>
            </w:pPr>
            <w:r>
              <w:rPr>
                <w:sz w:val="16"/>
                <w:szCs w:val="16"/>
              </w:rPr>
              <w:t xml:space="preserve">0</w:t>
            </w:r>
          </w:p>
        </w:tc>
        <w:tc>
          <w:tcPr>
            <w:tcW w:w="895" w:type="dxa"/>
          </w:tcPr>
          <w:p>
            <w:pPr>
              <w:pStyle w:val="TableText"/>
              <w:jc w:val="right"/>
            </w:pPr>
            <w:r>
              <w:rPr>
                <w:sz w:val="16"/>
                <w:szCs w:val="16"/>
              </w:rPr>
              <w:t xml:space="preserve">–</w:t>
            </w:r>
          </w:p>
        </w:tc>
        <w:tc>
          <w:tcPr>
            <w:tcW w:w="897" w:type="dxa"/>
          </w:tcPr>
          <w:p>
            <w:pPr>
              <w:pStyle w:val="TableText"/>
              <w:jc w:val="right"/>
            </w:pPr>
            <w:r>
              <w:rPr>
                <w:sz w:val="16"/>
                <w:szCs w:val="16"/>
              </w:rPr>
              <w:t xml:space="preserve">0</w:t>
            </w:r>
          </w:p>
        </w:tc>
        <w:tc>
          <w:tcPr>
            <w:tcW w:w="576" w:type="dxa"/>
          </w:tcPr>
          <w:p>
            <w:pPr>
              <w:pStyle w:val="TableText"/>
              <w:jc w:val="right"/>
            </w:pPr>
            <w:r>
              <w:rPr>
                <w:b/>
                <w:bCs/>
                <w:color w:val="C62828"/>
                <w:sz w:val="16"/>
                <w:szCs w:val="16"/>
              </w:rPr>
              <w:t xml:space="preserve">1</w:t>
            </w:r>
          </w:p>
        </w:tc>
        <w:tc>
          <w:tcPr>
            <w:tcW w:w="1321" w:type="dxa"/>
          </w:tcPr>
          <w:p>
            <w:pPr>
              <w:pStyle w:val="TableText"/>
              <w:jc w:val="right"/>
            </w:pPr>
            <w:r>
              <w:rPr>
                <w:b/>
                <w:bCs/>
                <w:sz w:val="16"/>
                <w:szCs w:val="16"/>
              </w:rPr>
              <w:t xml:space="preserve">1</w:t>
            </w:r>
          </w:p>
        </w:tc>
        <w:tc>
          <w:tcPr>
            <w:tcW w:w="1146" w:type="dxa"/>
          </w:tcPr>
          <w:p>
            <w:pPr>
              <w:pStyle w:val="TableText"/>
              <w:spacing w:after="40"/>
            </w:pPr>
            <w:r>
              <w:rPr>
                <w:sz w:val="16"/>
                <w:szCs w:val="16"/>
              </w:rPr>
              <w:t xml:space="preserve">1 x device license</w:t>
            </w:r>
          </w:p>
          <w:p>
            <w:pPr>
              <w:pStyle w:val="TableText"/>
            </w:pPr>
            <w:r>
              <w:rPr>
                <w:color w:val="5B6475"/>
                <w:sz w:val="14"/>
                <w:szCs w:val="14"/>
              </w:rPr>
              <w:t xml:space="preserve">One-time</w:t>
            </w:r>
          </w:p>
        </w:tc>
        <w:tc>
          <w:tcPr>
            <w:tcW w:w="954" w:type="dxa"/>
          </w:tcPr>
          <w:p>
            <w:pPr>
              <w:pStyle w:val="TableText"/>
              <w:jc w:val="right"/>
            </w:pPr>
            <w:r>
              <w:rPr>
                <w:sz w:val="16"/>
                <w:szCs w:val="16"/>
              </w:rPr>
              <w:t xml:space="preserve">n/a</w:t>
            </w:r>
          </w:p>
        </w:tc>
        <w:tc>
          <w:tcPr>
            <w:tcW w:w="1001" w:type="dxa"/>
          </w:tcPr>
          <w:p>
            <w:pPr>
              <w:pStyle w:val="TableText"/>
              <w:jc w:val="right"/>
            </w:pPr>
            <w:r>
              <w:rPr>
                <w:sz w:val="16"/>
                <w:szCs w:val="16"/>
              </w:rPr>
              <w:t xml:space="preserve">n/a</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tcPr>
          <w:p>
            <w:pPr>
              <w:pStyle w:val="TableText"/>
            </w:pPr>
            <w:r>
              <w:rPr>
                <w:sz w:val="16"/>
                <w:szCs w:val="16"/>
              </w:rPr>
              <w:t xml:space="preserve">Medium</w:t>
            </w:r>
          </w:p>
        </w:tc>
      </w:tr>
      <w:tr>
        <w:trPr>
          <w:cantSplit/>
        </w:trPr>
        <w:tc>
          <w:tcPr>
            <w:tcW w:w="1039" w:type="dxa"/>
            <w:shd w:val="clear" w:color="auto" w:fill="F7F9FB"/>
          </w:tcPr>
          <w:p>
            <w:pPr>
              <w:pStyle w:val="TableText"/>
            </w:pPr>
            <w:r>
              <w:rPr>
                <w:color w:val="5B6475"/>
                <w:sz w:val="16"/>
                <w:szCs w:val="16"/>
              </w:rPr>
              <w:t xml:space="preserve">Visual Studio</w:t>
            </w:r>
          </w:p>
        </w:tc>
        <w:tc>
          <w:tcPr>
            <w:tcW w:w="2055" w:type="dxa"/>
            <w:shd w:val="clear" w:color="auto" w:fill="F7F9FB"/>
          </w:tcPr>
          <w:p>
            <w:pPr>
              <w:pStyle w:val="TableText"/>
              <w:spacing w:after="40"/>
            </w:pPr>
            <w:r>
              <w:rPr>
                <w:b/>
                <w:bCs/>
                <w:sz w:val="16"/>
                <w:szCs w:val="16"/>
              </w:rPr>
              <w:t xml:space="preserve">Visual Studio Professional subscription - per user</w:t>
            </w:r>
          </w:p>
          <w:p>
            <w:pPr>
              <w:pStyle w:val="TableText"/>
            </w:pPr>
            <w:r>
              <w:rPr>
                <w:color w:val="5B6475"/>
                <w:sz w:val="14"/>
                <w:szCs w:val="14"/>
              </w:rPr>
              <w:t xml:space="preserve">VS-PRO</w:t>
            </w:r>
          </w:p>
        </w:tc>
        <w:tc>
          <w:tcPr>
            <w:tcW w:w="718" w:type="dxa"/>
            <w:shd w:val="clear" w:color="auto" w:fill="F7F9FB"/>
          </w:tcPr>
          <w:p>
            <w:pPr>
              <w:pStyle w:val="TableText"/>
            </w:pPr>
            <w:r>
              <w:rPr>
                <w:sz w:val="16"/>
                <w:szCs w:val="16"/>
              </w:rPr>
              <w:t xml:space="preserve">User</w:t>
            </w:r>
          </w:p>
        </w:tc>
        <w:tc>
          <w:tcPr>
            <w:tcW w:w="867" w:type="dxa"/>
            <w:shd w:val="clear" w:color="auto" w:fill="F7F9FB"/>
          </w:tcPr>
          <w:p>
            <w:pPr>
              <w:pStyle w:val="TableText"/>
              <w:jc w:val="right"/>
            </w:pPr>
            <w:r>
              <w:rPr>
                <w:sz w:val="16"/>
                <w:szCs w:val="16"/>
              </w:rPr>
              <w:t xml:space="preserve">1</w:t>
            </w:r>
          </w:p>
        </w:tc>
        <w:tc>
          <w:tcPr>
            <w:tcW w:w="823" w:type="dxa"/>
            <w:shd w:val="clear" w:color="auto" w:fill="F7F9FB"/>
          </w:tcPr>
          <w:p>
            <w:pPr>
              <w:pStyle w:val="TableText"/>
              <w:jc w:val="right"/>
            </w:pPr>
            <w:r>
              <w:rPr>
                <w:sz w:val="16"/>
                <w:szCs w:val="16"/>
              </w:rPr>
              <w:t xml:space="preserve">0</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0</w:t>
            </w:r>
          </w:p>
        </w:tc>
        <w:tc>
          <w:tcPr>
            <w:tcW w:w="576" w:type="dxa"/>
            <w:shd w:val="clear" w:color="auto" w:fill="F7F9FB"/>
          </w:tcPr>
          <w:p>
            <w:pPr>
              <w:pStyle w:val="TableText"/>
              <w:jc w:val="right"/>
            </w:pPr>
            <w:r>
              <w:rPr>
                <w:b/>
                <w:bCs/>
                <w:color w:val="C62828"/>
                <w:sz w:val="16"/>
                <w:szCs w:val="16"/>
              </w:rPr>
              <w:t xml:space="preserve">1</w:t>
            </w:r>
          </w:p>
        </w:tc>
        <w:tc>
          <w:tcPr>
            <w:tcW w:w="1321" w:type="dxa"/>
            <w:shd w:val="clear" w:color="auto" w:fill="F7F9FB"/>
          </w:tcPr>
          <w:p>
            <w:pPr>
              <w:pStyle w:val="TableText"/>
              <w:jc w:val="right"/>
            </w:pPr>
            <w:r>
              <w:rPr>
                <w:b/>
                <w:bCs/>
                <w:sz w:val="16"/>
                <w:szCs w:val="16"/>
              </w:rPr>
              <w:t xml:space="preserve">1</w:t>
            </w:r>
          </w:p>
        </w:tc>
        <w:tc>
          <w:tcPr>
            <w:tcW w:w="1146" w:type="dxa"/>
            <w:shd w:val="clear" w:color="auto" w:fill="F7F9FB"/>
          </w:tcPr>
          <w:p>
            <w:pPr>
              <w:pStyle w:val="TableText"/>
              <w:spacing w:after="40"/>
            </w:pPr>
            <w:r>
              <w:rPr>
                <w:sz w:val="16"/>
                <w:szCs w:val="16"/>
              </w:rPr>
              <w:t xml:space="preserve">1 x user license</w:t>
            </w:r>
          </w:p>
          <w:p>
            <w:pPr>
              <w:pStyle w:val="TableText"/>
            </w:pPr>
            <w:r>
              <w:rPr>
                <w:color w:val="5B6475"/>
                <w:sz w:val="14"/>
                <w:szCs w:val="14"/>
              </w:rPr>
              <w:t xml:space="preserve">Annual subscription</w:t>
            </w:r>
          </w:p>
        </w:tc>
        <w:tc>
          <w:tcPr>
            <w:tcW w:w="954" w:type="dxa"/>
            <w:shd w:val="clear" w:color="auto" w:fill="F7F9FB"/>
          </w:tcPr>
          <w:p>
            <w:pPr>
              <w:pStyle w:val="TableText"/>
              <w:jc w:val="right"/>
            </w:pPr>
            <w:r>
              <w:rPr>
                <w:sz w:val="16"/>
                <w:szCs w:val="16"/>
              </w:rPr>
              <w:t xml:space="preserve">USD 540</w:t>
            </w:r>
          </w:p>
        </w:tc>
        <w:tc>
          <w:tcPr>
            <w:tcW w:w="1001" w:type="dxa"/>
            <w:shd w:val="clear" w:color="auto" w:fill="F7F9FB"/>
          </w:tcPr>
          <w:p>
            <w:pPr>
              <w:pStyle w:val="TableText"/>
              <w:jc w:val="right"/>
            </w:pPr>
            <w:r>
              <w:rPr>
                <w:b/>
                <w:bCs/>
                <w:sz w:val="16"/>
                <w:szCs w:val="16"/>
              </w:rPr>
              <w:t xml:space="preserve">USD 540</w:t>
            </w:r>
          </w:p>
        </w:tc>
        <w:tc>
          <w:tcPr>
            <w:tcW w:w="1271" w:type="dxa"/>
            <w:shd w:val="clear" w:color="auto" w:fill="F0E4F7"/>
          </w:tcPr>
          <w:p>
            <w:pPr>
              <w:pStyle w:val="TableText"/>
            </w:pPr>
            <w:r>
              <w:rPr>
                <w:b/>
                <w:bCs/>
                <w:color w:val="5E1A8A"/>
                <w:sz w:val="15"/>
                <w:szCs w:val="15"/>
              </w:rPr>
              <w:t xml:space="preserve">Validation required before procurement</w:t>
            </w:r>
          </w:p>
        </w:tc>
        <w:tc>
          <w:tcPr>
            <w:tcW w:w="1121" w:type="dxa"/>
            <w:shd w:val="clear" w:color="auto" w:fill="F7F9FB"/>
          </w:tcPr>
          <w:p>
            <w:pPr>
              <w:pStyle w:val="TableText"/>
            </w:pPr>
            <w:r>
              <w:rPr>
                <w:sz w:val="16"/>
                <w:szCs w:val="16"/>
              </w:rPr>
              <w:t xml:space="preserve">Low</w:t>
            </w:r>
          </w:p>
        </w:tc>
      </w:tr>
      <w:tr>
        <w:trPr>
          <w:cantSplit/>
        </w:trPr>
        <w:tc>
          <w:tcPr>
            <w:tcW w:w="1039" w:type="dxa"/>
          </w:tcPr>
          <w:p>
            <w:pPr>
              <w:pStyle w:val="TableText"/>
            </w:pPr>
            <w:r>
              <w:rPr>
                <w:color w:val="5B6475"/>
                <w:sz w:val="16"/>
                <w:szCs w:val="16"/>
              </w:rPr>
              <w:t xml:space="preserve">Microsoft Entra ID</w:t>
            </w:r>
          </w:p>
        </w:tc>
        <w:tc>
          <w:tcPr>
            <w:tcW w:w="2055" w:type="dxa"/>
          </w:tcPr>
          <w:p>
            <w:pPr>
              <w:pStyle w:val="TableText"/>
              <w:spacing w:after="40"/>
            </w:pPr>
            <w:r>
              <w:rPr>
                <w:b/>
                <w:bCs/>
                <w:sz w:val="16"/>
                <w:szCs w:val="16"/>
              </w:rPr>
              <w:t xml:space="preserve">Microsoft Entra ID P1 - per user (subscription)</w:t>
            </w:r>
          </w:p>
          <w:p>
            <w:pPr>
              <w:pStyle w:val="TableText"/>
            </w:pPr>
            <w:r>
              <w:rPr>
                <w:color w:val="5B6475"/>
                <w:sz w:val="14"/>
                <w:szCs w:val="14"/>
              </w:rPr>
              <w:t xml:space="preserve">ENTRA-P1</w:t>
            </w:r>
          </w:p>
        </w:tc>
        <w:tc>
          <w:tcPr>
            <w:tcW w:w="718" w:type="dxa"/>
          </w:tcPr>
          <w:p>
            <w:pPr>
              <w:pStyle w:val="TableText"/>
            </w:pPr>
            <w:r>
              <w:rPr>
                <w:sz w:val="16"/>
                <w:szCs w:val="16"/>
              </w:rPr>
              <w:t xml:space="preserve">User</w:t>
            </w:r>
          </w:p>
        </w:tc>
        <w:tc>
          <w:tcPr>
            <w:tcW w:w="867" w:type="dxa"/>
          </w:tcPr>
          <w:p>
            <w:pPr>
              <w:pStyle w:val="TableText"/>
              <w:jc w:val="right"/>
            </w:pPr>
            <w:r>
              <w:rPr>
                <w:sz w:val="16"/>
                <w:szCs w:val="16"/>
              </w:rPr>
              <w:t xml:space="preserve">168</w:t>
            </w:r>
          </w:p>
        </w:tc>
        <w:tc>
          <w:tcPr>
            <w:tcW w:w="823" w:type="dxa"/>
          </w:tcPr>
          <w:p>
            <w:pPr>
              <w:pStyle w:val="TableText"/>
              <w:jc w:val="right"/>
            </w:pPr>
            <w:r>
              <w:rPr>
                <w:sz w:val="16"/>
                <w:szCs w:val="16"/>
              </w:rPr>
              <w:t xml:space="preserve">150</w:t>
            </w:r>
          </w:p>
        </w:tc>
        <w:tc>
          <w:tcPr>
            <w:tcW w:w="895" w:type="dxa"/>
          </w:tcPr>
          <w:p>
            <w:pPr>
              <w:pStyle w:val="TableText"/>
              <w:jc w:val="right"/>
            </w:pPr>
            <w:r>
              <w:rPr>
                <w:sz w:val="16"/>
                <w:szCs w:val="16"/>
              </w:rPr>
              <w:t xml:space="preserve">141</w:t>
            </w:r>
          </w:p>
        </w:tc>
        <w:tc>
          <w:tcPr>
            <w:tcW w:w="897" w:type="dxa"/>
          </w:tcPr>
          <w:p>
            <w:pPr>
              <w:pStyle w:val="TableText"/>
              <w:jc w:val="right"/>
            </w:pPr>
            <w:r>
              <w:rPr>
                <w:sz w:val="16"/>
                <w:szCs w:val="16"/>
              </w:rPr>
              <w:t xml:space="preserve">9</w:t>
            </w:r>
          </w:p>
        </w:tc>
        <w:tc>
          <w:tcPr>
            <w:tcW w:w="576" w:type="dxa"/>
          </w:tcPr>
          <w:p>
            <w:pPr>
              <w:pStyle w:val="TableText"/>
              <w:jc w:val="right"/>
            </w:pPr>
            <w:r>
              <w:rPr>
                <w:b/>
                <w:bCs/>
                <w:color w:val="C62828"/>
                <w:sz w:val="16"/>
                <w:szCs w:val="16"/>
              </w:rPr>
              <w:t xml:space="preserve">18</w:t>
            </w:r>
          </w:p>
        </w:tc>
        <w:tc>
          <w:tcPr>
            <w:tcW w:w="1321" w:type="dxa"/>
          </w:tcPr>
          <w:p>
            <w:pPr>
              <w:pStyle w:val="TableText"/>
              <w:jc w:val="right"/>
            </w:pPr>
            <w:r>
              <w:rPr>
                <w:b/>
                <w:bCs/>
                <w:sz w:val="16"/>
                <w:szCs w:val="16"/>
              </w:rPr>
              <w:t xml:space="preserve">18</w:t>
            </w:r>
          </w:p>
        </w:tc>
        <w:tc>
          <w:tcPr>
            <w:tcW w:w="1146" w:type="dxa"/>
          </w:tcPr>
          <w:p>
            <w:pPr>
              <w:pStyle w:val="TableText"/>
              <w:spacing w:after="40"/>
            </w:pPr>
            <w:r>
              <w:rPr>
                <w:sz w:val="16"/>
                <w:szCs w:val="16"/>
              </w:rPr>
              <w:t xml:space="preserve">18 x user licenses</w:t>
            </w:r>
          </w:p>
          <w:p>
            <w:pPr>
              <w:pStyle w:val="TableText"/>
            </w:pPr>
            <w:r>
              <w:rPr>
                <w:color w:val="5B6475"/>
                <w:sz w:val="14"/>
                <w:szCs w:val="14"/>
              </w:rPr>
              <w:t xml:space="preserve">Annual subscription</w:t>
            </w:r>
          </w:p>
        </w:tc>
        <w:tc>
          <w:tcPr>
            <w:tcW w:w="954" w:type="dxa"/>
          </w:tcPr>
          <w:p>
            <w:pPr>
              <w:pStyle w:val="TableText"/>
              <w:jc w:val="right"/>
            </w:pPr>
            <w:r>
              <w:rPr>
                <w:sz w:val="16"/>
                <w:szCs w:val="16"/>
              </w:rPr>
              <w:t xml:space="preserve">USD 72</w:t>
            </w:r>
          </w:p>
        </w:tc>
        <w:tc>
          <w:tcPr>
            <w:tcW w:w="1001" w:type="dxa"/>
          </w:tcPr>
          <w:p>
            <w:pPr>
              <w:pStyle w:val="TableText"/>
              <w:jc w:val="right"/>
            </w:pPr>
            <w:r>
              <w:rPr>
                <w:b/>
                <w:bCs/>
                <w:sz w:val="16"/>
                <w:szCs w:val="16"/>
              </w:rPr>
              <w:t xml:space="preserve">USD 1,296</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tcPr>
          <w:p>
            <w:pPr>
              <w:pStyle w:val="TableText"/>
            </w:pPr>
            <w:r>
              <w:rPr>
                <w:sz w:val="16"/>
                <w:szCs w:val="16"/>
              </w:rPr>
              <w:t xml:space="preserve">Medium</w:t>
            </w:r>
          </w:p>
        </w:tc>
      </w:tr>
      <w:tr>
        <w:trPr>
          <w:cantSplit/>
        </w:trPr>
        <w:tc>
          <w:tcPr>
            <w:tcW w:w="1039" w:type="dxa"/>
            <w:shd w:val="clear" w:color="auto" w:fill="F7F9FB"/>
          </w:tcPr>
          <w:p>
            <w:pPr>
              <w:pStyle w:val="TableText"/>
            </w:pPr>
            <w:r>
              <w:rPr>
                <w:color w:val="5B6475"/>
                <w:sz w:val="16"/>
                <w:szCs w:val="16"/>
              </w:rPr>
              <w:t xml:space="preserve">Microsoft Entra ID</w:t>
            </w:r>
          </w:p>
        </w:tc>
        <w:tc>
          <w:tcPr>
            <w:tcW w:w="2055" w:type="dxa"/>
            <w:shd w:val="clear" w:color="auto" w:fill="F7F9FB"/>
          </w:tcPr>
          <w:p>
            <w:pPr>
              <w:pStyle w:val="TableText"/>
              <w:spacing w:after="40"/>
            </w:pPr>
            <w:r>
              <w:rPr>
                <w:b/>
                <w:bCs/>
                <w:sz w:val="16"/>
                <w:szCs w:val="16"/>
              </w:rPr>
              <w:t xml:space="preserve">Microsoft Entra ID P2 - per user (subscription)</w:t>
            </w:r>
          </w:p>
          <w:p>
            <w:pPr>
              <w:pStyle w:val="TableText"/>
            </w:pPr>
            <w:r>
              <w:rPr>
                <w:color w:val="5B6475"/>
                <w:sz w:val="14"/>
                <w:szCs w:val="14"/>
              </w:rPr>
              <w:t xml:space="preserve">ENTRA-P2</w:t>
            </w:r>
          </w:p>
        </w:tc>
        <w:tc>
          <w:tcPr>
            <w:tcW w:w="718" w:type="dxa"/>
            <w:shd w:val="clear" w:color="auto" w:fill="F7F9FB"/>
          </w:tcPr>
          <w:p>
            <w:pPr>
              <w:pStyle w:val="TableText"/>
            </w:pPr>
            <w:r>
              <w:rPr>
                <w:sz w:val="16"/>
                <w:szCs w:val="16"/>
              </w:rPr>
              <w:t xml:space="preserve">User</w:t>
            </w:r>
          </w:p>
        </w:tc>
        <w:tc>
          <w:tcPr>
            <w:tcW w:w="867" w:type="dxa"/>
            <w:shd w:val="clear" w:color="auto" w:fill="F7F9FB"/>
          </w:tcPr>
          <w:p>
            <w:pPr>
              <w:pStyle w:val="TableText"/>
              <w:jc w:val="right"/>
            </w:pPr>
            <w:r>
              <w:rPr>
                <w:sz w:val="16"/>
                <w:szCs w:val="16"/>
              </w:rPr>
              <w:t xml:space="preserve">5</w:t>
            </w:r>
          </w:p>
        </w:tc>
        <w:tc>
          <w:tcPr>
            <w:tcW w:w="823" w:type="dxa"/>
            <w:shd w:val="clear" w:color="auto" w:fill="F7F9FB"/>
          </w:tcPr>
          <w:p>
            <w:pPr>
              <w:pStyle w:val="TableText"/>
              <w:jc w:val="right"/>
            </w:pPr>
            <w:r>
              <w:rPr>
                <w:sz w:val="16"/>
                <w:szCs w:val="16"/>
              </w:rPr>
              <w:t xml:space="preserve">0</w:t>
            </w:r>
          </w:p>
        </w:tc>
        <w:tc>
          <w:tcPr>
            <w:tcW w:w="895" w:type="dxa"/>
            <w:shd w:val="clear" w:color="auto" w:fill="F7F9FB"/>
          </w:tcPr>
          <w:p>
            <w:pPr>
              <w:pStyle w:val="TableText"/>
              <w:jc w:val="right"/>
            </w:pPr>
            <w:r>
              <w:rPr>
                <w:sz w:val="16"/>
                <w:szCs w:val="16"/>
              </w:rPr>
              <w:t xml:space="preserve">–</w:t>
            </w:r>
          </w:p>
        </w:tc>
        <w:tc>
          <w:tcPr>
            <w:tcW w:w="897" w:type="dxa"/>
            <w:shd w:val="clear" w:color="auto" w:fill="F7F9FB"/>
          </w:tcPr>
          <w:p>
            <w:pPr>
              <w:pStyle w:val="TableText"/>
              <w:jc w:val="right"/>
            </w:pPr>
            <w:r>
              <w:rPr>
                <w:sz w:val="16"/>
                <w:szCs w:val="16"/>
              </w:rPr>
              <w:t xml:space="preserve">0</w:t>
            </w:r>
          </w:p>
        </w:tc>
        <w:tc>
          <w:tcPr>
            <w:tcW w:w="576" w:type="dxa"/>
            <w:shd w:val="clear" w:color="auto" w:fill="F7F9FB"/>
          </w:tcPr>
          <w:p>
            <w:pPr>
              <w:pStyle w:val="TableText"/>
              <w:jc w:val="right"/>
            </w:pPr>
            <w:r>
              <w:rPr>
                <w:b/>
                <w:bCs/>
                <w:color w:val="C62828"/>
                <w:sz w:val="16"/>
                <w:szCs w:val="16"/>
              </w:rPr>
              <w:t xml:space="preserve">5</w:t>
            </w:r>
          </w:p>
        </w:tc>
        <w:tc>
          <w:tcPr>
            <w:tcW w:w="1321" w:type="dxa"/>
            <w:shd w:val="clear" w:color="auto" w:fill="F7F9FB"/>
          </w:tcPr>
          <w:p>
            <w:pPr>
              <w:pStyle w:val="TableText"/>
              <w:jc w:val="right"/>
            </w:pPr>
            <w:r>
              <w:rPr>
                <w:b/>
                <w:bCs/>
                <w:sz w:val="16"/>
                <w:szCs w:val="16"/>
              </w:rPr>
              <w:t xml:space="preserve">5</w:t>
            </w:r>
          </w:p>
        </w:tc>
        <w:tc>
          <w:tcPr>
            <w:tcW w:w="1146" w:type="dxa"/>
            <w:shd w:val="clear" w:color="auto" w:fill="F7F9FB"/>
          </w:tcPr>
          <w:p>
            <w:pPr>
              <w:pStyle w:val="TableText"/>
              <w:spacing w:after="40"/>
            </w:pPr>
            <w:r>
              <w:rPr>
                <w:sz w:val="16"/>
                <w:szCs w:val="16"/>
              </w:rPr>
              <w:t xml:space="preserve">5 x user licenses</w:t>
            </w:r>
          </w:p>
          <w:p>
            <w:pPr>
              <w:pStyle w:val="TableText"/>
            </w:pPr>
            <w:r>
              <w:rPr>
                <w:color w:val="5B6475"/>
                <w:sz w:val="14"/>
                <w:szCs w:val="14"/>
              </w:rPr>
              <w:t xml:space="preserve">Annual subscription</w:t>
            </w:r>
          </w:p>
        </w:tc>
        <w:tc>
          <w:tcPr>
            <w:tcW w:w="954" w:type="dxa"/>
            <w:shd w:val="clear" w:color="auto" w:fill="F7F9FB"/>
          </w:tcPr>
          <w:p>
            <w:pPr>
              <w:pStyle w:val="TableText"/>
              <w:jc w:val="right"/>
            </w:pPr>
            <w:r>
              <w:rPr>
                <w:sz w:val="16"/>
                <w:szCs w:val="16"/>
              </w:rPr>
              <w:t xml:space="preserve">USD 108</w:t>
            </w:r>
          </w:p>
        </w:tc>
        <w:tc>
          <w:tcPr>
            <w:tcW w:w="1001" w:type="dxa"/>
            <w:shd w:val="clear" w:color="auto" w:fill="F7F9FB"/>
          </w:tcPr>
          <w:p>
            <w:pPr>
              <w:pStyle w:val="TableText"/>
              <w:jc w:val="right"/>
            </w:pPr>
            <w:r>
              <w:rPr>
                <w:b/>
                <w:bCs/>
                <w:sz w:val="16"/>
                <w:szCs w:val="16"/>
              </w:rPr>
              <w:t xml:space="preserve">USD 540</w:t>
            </w:r>
          </w:p>
        </w:tc>
        <w:tc>
          <w:tcPr>
            <w:tcW w:w="1271" w:type="dxa"/>
            <w:shd w:val="clear" w:color="auto" w:fill="FFF2CC"/>
          </w:tcPr>
          <w:p>
            <w:pPr>
              <w:pStyle w:val="TableText"/>
            </w:pPr>
            <w:r>
              <w:rPr>
                <w:b/>
                <w:bCs/>
                <w:color w:val="7A5600"/>
                <w:sz w:val="15"/>
                <w:szCs w:val="15"/>
              </w:rPr>
              <w:t xml:space="preserve">Potential procurement requirement</w:t>
            </w:r>
          </w:p>
        </w:tc>
        <w:tc>
          <w:tcPr>
            <w:tcW w:w="1121" w:type="dxa"/>
            <w:shd w:val="clear" w:color="auto" w:fill="F7F9FB"/>
          </w:tcPr>
          <w:p>
            <w:pPr>
              <w:pStyle w:val="TableText"/>
            </w:pPr>
            <w:r>
              <w:rPr>
                <w:sz w:val="16"/>
                <w:szCs w:val="16"/>
              </w:rPr>
              <w:t xml:space="preserve">Medium</w:t>
            </w:r>
          </w:p>
        </w:tc>
      </w:tr>
      <w:tr>
        <w:trPr>
          <w:cantSplit/>
        </w:trPr>
        <w:tc>
          <w:tcPr>
            <w:tcW w:w="14684" w:type="dxa"/>
            <w:gridSpan w:val="14"/>
            <w:shd w:val="clear" w:color="auto" w:fill="EEF2F7"/>
          </w:tcPr>
          <w:p>
            <w:pPr>
              <w:pStyle w:val="TableText"/>
              <w:jc w:val="right"/>
            </w:pPr>
            <w:r>
              <w:rPr>
                <w:b/>
                <w:bCs/>
                <w:color w:val="1F3A5F"/>
                <w:sz w:val="16"/>
                <w:szCs w:val="16"/>
              </w:rPr>
              <w:t xml:space="preserve">Indicative total (estimate): USD 82,516 one-time · USD 2,376 per year</w:t>
            </w:r>
          </w:p>
        </w:tc>
      </w:tr>
    </w:tbl>
    <w:p>
      <w:pPr>
        <w:spacing w:before="0" w:after="0" w:line="240" w:lineRule="auto"/>
        <w:rPr>
          <w:sz w:val="12"/>
          <w:szCs w:val="12"/>
        </w:rPr>
      </w:pPr>
    </w:p>
    <w:p>
      <w:pPr>
        <w:pStyle w:val="Heading2"/>
      </w:pPr>
      <w:bookmarkStart w:id="22" w:name="_TocMlat00022"/>
      <w:r>
        <w:t xml:space="preserve">Ordering, indicative cost and rationale</w:t>
      </w:r>
      <w:bookmarkEnd w:id="22"/>
    </w:p>
    <w:tbl>
      <w:tblPr>
        <w:tblStyle w:val="MlatTable"/>
        <w:tblW w:w="14684"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202"/>
        <w:gridCol w:w="1468"/>
        <w:gridCol w:w="1174"/>
        <w:gridCol w:w="1027"/>
        <w:gridCol w:w="1174"/>
        <w:gridCol w:w="2936"/>
        <w:gridCol w:w="1762"/>
        <w:gridCol w:w="2941"/>
      </w:tblGrid>
      <w:tr>
        <w:trPr>
          <w:cantSplit/>
          <w:tblHeader/>
        </w:trPr>
        <w:tc>
          <w:tcPr>
            <w:tcW w:w="2202" w:type="dxa"/>
            <w:shd w:val="clear" w:color="auto" w:fill="E9EDF3"/>
            <w:vAlign w:val="bottom"/>
          </w:tcPr>
          <w:p>
            <w:pPr>
              <w:pStyle w:val="TableText"/>
              <w:keepNext/>
            </w:pPr>
            <w:r>
              <w:rPr>
                <w:b/>
                <w:bCs/>
                <w:color w:val="1F3A5F"/>
                <w:sz w:val="16"/>
                <w:szCs w:val="16"/>
              </w:rPr>
              <w:t xml:space="preserve">License</w:t>
            </w:r>
          </w:p>
        </w:tc>
        <w:tc>
          <w:tcPr>
            <w:tcW w:w="1468" w:type="dxa"/>
            <w:shd w:val="clear" w:color="auto" w:fill="E9EDF3"/>
            <w:vAlign w:val="bottom"/>
          </w:tcPr>
          <w:p>
            <w:pPr>
              <w:pStyle w:val="TableText"/>
              <w:keepNext/>
            </w:pPr>
            <w:r>
              <w:rPr>
                <w:b/>
                <w:bCs/>
                <w:color w:val="1F3A5F"/>
                <w:sz w:val="16"/>
                <w:szCs w:val="16"/>
              </w:rPr>
              <w:t xml:space="preserve">Order as</w:t>
            </w:r>
          </w:p>
        </w:tc>
        <w:tc>
          <w:tcPr>
            <w:tcW w:w="1174" w:type="dxa"/>
            <w:shd w:val="clear" w:color="auto" w:fill="E9EDF3"/>
            <w:vAlign w:val="bottom"/>
          </w:tcPr>
          <w:p>
            <w:pPr>
              <w:pStyle w:val="TableText"/>
              <w:keepNext/>
            </w:pPr>
            <w:r>
              <w:rPr>
                <w:b/>
                <w:bCs/>
                <w:color w:val="1F3A5F"/>
                <w:sz w:val="16"/>
                <w:szCs w:val="16"/>
              </w:rPr>
              <w:t xml:space="preserve">Billing</w:t>
            </w:r>
          </w:p>
        </w:tc>
        <w:tc>
          <w:tcPr>
            <w:tcW w:w="1027" w:type="dxa"/>
            <w:shd w:val="clear" w:color="auto" w:fill="E9EDF3"/>
            <w:vAlign w:val="bottom"/>
          </w:tcPr>
          <w:p>
            <w:pPr>
              <w:pStyle w:val="TableText"/>
              <w:keepNext/>
              <w:jc w:val="right"/>
            </w:pPr>
            <w:r>
              <w:rPr>
                <w:b/>
                <w:bCs/>
                <w:color w:val="1F3A5F"/>
                <w:sz w:val="16"/>
                <w:szCs w:val="16"/>
              </w:rPr>
              <w:t xml:space="preserve">Indicative unit price</w:t>
            </w:r>
          </w:p>
        </w:tc>
        <w:tc>
          <w:tcPr>
            <w:tcW w:w="1174" w:type="dxa"/>
            <w:shd w:val="clear" w:color="auto" w:fill="E9EDF3"/>
            <w:vAlign w:val="bottom"/>
          </w:tcPr>
          <w:p>
            <w:pPr>
              <w:pStyle w:val="TableText"/>
              <w:keepNext/>
              <w:jc w:val="right"/>
            </w:pPr>
            <w:r>
              <w:rPr>
                <w:b/>
                <w:bCs/>
                <w:color w:val="1F3A5F"/>
                <w:sz w:val="16"/>
                <w:szCs w:val="16"/>
              </w:rPr>
              <w:t xml:space="preserve">Indicative cost</w:t>
            </w:r>
          </w:p>
        </w:tc>
        <w:tc>
          <w:tcPr>
            <w:tcW w:w="2936" w:type="dxa"/>
            <w:shd w:val="clear" w:color="auto" w:fill="E9EDF3"/>
            <w:vAlign w:val="bottom"/>
          </w:tcPr>
          <w:p>
            <w:pPr>
              <w:pStyle w:val="TableText"/>
              <w:keepNext/>
            </w:pPr>
            <w:r>
              <w:rPr>
                <w:b/>
                <w:bCs/>
                <w:color w:val="1F3A5F"/>
                <w:sz w:val="16"/>
                <w:szCs w:val="16"/>
              </w:rPr>
              <w:t xml:space="preserve">Rationale</w:t>
            </w:r>
          </w:p>
        </w:tc>
        <w:tc>
          <w:tcPr>
            <w:tcW w:w="1762" w:type="dxa"/>
            <w:shd w:val="clear" w:color="auto" w:fill="E9EDF3"/>
            <w:vAlign w:val="bottom"/>
          </w:tcPr>
          <w:p>
            <w:pPr>
              <w:pStyle w:val="TableText"/>
              <w:keepNext/>
            </w:pPr>
            <w:r>
              <w:rPr>
                <w:b/>
                <w:bCs/>
                <w:color w:val="1F3A5F"/>
                <w:sz w:val="16"/>
                <w:szCs w:val="16"/>
              </w:rPr>
              <w:t xml:space="preserve">Evidence</w:t>
            </w:r>
          </w:p>
        </w:tc>
        <w:tc>
          <w:tcPr>
            <w:tcW w:w="2941" w:type="dxa"/>
            <w:shd w:val="clear" w:color="auto" w:fill="E9EDF3"/>
            <w:vAlign w:val="bottom"/>
          </w:tcPr>
          <w:p>
            <w:pPr>
              <w:pStyle w:val="TableText"/>
              <w:keepNext/>
            </w:pPr>
            <w:r>
              <w:rPr>
                <w:b/>
                <w:bCs/>
                <w:color w:val="1F3A5F"/>
                <w:sz w:val="16"/>
                <w:szCs w:val="16"/>
              </w:rPr>
              <w:t xml:space="preserve">Source</w:t>
            </w:r>
          </w:p>
        </w:tc>
      </w:tr>
      <w:tr>
        <w:trPr>
          <w:cantSplit/>
        </w:trPr>
        <w:tc>
          <w:tcPr>
            <w:tcW w:w="2202" w:type="dxa"/>
          </w:tcPr>
          <w:p>
            <w:pPr>
              <w:pStyle w:val="TableText"/>
            </w:pPr>
            <w:r>
              <w:rPr>
                <w:b/>
                <w:bCs/>
                <w:sz w:val="16"/>
                <w:szCs w:val="16"/>
              </w:rPr>
              <w:t xml:space="preserve">Windows Server CAL - User</w:t>
            </w:r>
          </w:p>
        </w:tc>
        <w:tc>
          <w:tcPr>
            <w:tcW w:w="1468" w:type="dxa"/>
          </w:tcPr>
          <w:p>
            <w:pPr>
              <w:pStyle w:val="TableText"/>
            </w:pPr>
            <w:r>
              <w:rPr>
                <w:sz w:val="16"/>
                <w:szCs w:val="16"/>
              </w:rPr>
              <w:t xml:space="preserve">18 x user licenses</w:t>
            </w:r>
          </w:p>
        </w:tc>
        <w:tc>
          <w:tcPr>
            <w:tcW w:w="1174" w:type="dxa"/>
          </w:tcPr>
          <w:p>
            <w:pPr>
              <w:pStyle w:val="TableText"/>
            </w:pPr>
            <w:r>
              <w:rPr>
                <w:sz w:val="16"/>
                <w:szCs w:val="16"/>
              </w:rPr>
              <w:t xml:space="preserve">One-time</w:t>
            </w:r>
          </w:p>
        </w:tc>
        <w:tc>
          <w:tcPr>
            <w:tcW w:w="1027" w:type="dxa"/>
          </w:tcPr>
          <w:p>
            <w:pPr>
              <w:pStyle w:val="TableText"/>
              <w:jc w:val="right"/>
            </w:pPr>
            <w:r>
              <w:rPr>
                <w:sz w:val="16"/>
                <w:szCs w:val="16"/>
              </w:rPr>
              <w:t xml:space="preserve">n/a</w:t>
            </w:r>
          </w:p>
        </w:tc>
        <w:tc>
          <w:tcPr>
            <w:tcW w:w="1174" w:type="dxa"/>
          </w:tcPr>
          <w:p>
            <w:pPr>
              <w:pStyle w:val="TableText"/>
              <w:jc w:val="right"/>
            </w:pPr>
            <w:r>
              <w:rPr>
                <w:sz w:val="16"/>
                <w:szCs w:val="16"/>
              </w:rPr>
              <w:t xml:space="preserve">n/a</w:t>
            </w:r>
          </w:p>
        </w:tc>
        <w:tc>
          <w:tcPr>
            <w:tcW w:w="2936" w:type="dxa"/>
          </w:tcPr>
          <w:p>
            <w:pPr>
              <w:pStyle w:val="TableText"/>
            </w:pPr>
            <w:r>
              <w:rPr>
                <w:sz w:val="16"/>
                <w:szCs w:val="16"/>
              </w:rPr>
              <w:t xml:space="preserve">Gap of 18 user after allocating existing licenses.</w:t>
            </w:r>
          </w:p>
        </w:tc>
        <w:tc>
          <w:tcPr>
            <w:tcW w:w="1762" w:type="dxa"/>
          </w:tcPr>
          <w:p>
            <w:pPr>
              <w:pStyle w:val="TableText"/>
            </w:pPr>
            <w:r>
              <w:rPr>
                <w:sz w:val="15"/>
                <w:szCs w:val="15"/>
              </w:rPr>
              <w:t xml:space="preserve">Organization</w:t>
            </w:r>
          </w:p>
        </w:tc>
        <w:tc>
          <w:tcPr>
            <w:tcW w:w="2941" w:type="dxa"/>
          </w:tcPr>
          <w:p>
            <w:pPr>
              <w:pStyle w:val="TableText"/>
            </w:pPr>
            <w:r>
              <w:rPr>
                <w:sz w:val="16"/>
                <w:szCs w:val="16"/>
              </w:rPr>
              <w:t xml:space="preserve">Microsoft Product Terms - Windows Server CALs (https://www.microsoft.com/licensing/terms/)</w:t>
            </w:r>
          </w:p>
        </w:tc>
      </w:tr>
      <w:tr>
        <w:trPr>
          <w:cantSplit/>
        </w:trPr>
        <w:tc>
          <w:tcPr>
            <w:tcW w:w="2202" w:type="dxa"/>
            <w:shd w:val="clear" w:color="auto" w:fill="FAFBFC"/>
          </w:tcPr>
          <w:p>
            <w:pPr>
              <w:pStyle w:val="TableText"/>
            </w:pPr>
            <w:r>
              <w:rPr>
                <w:b/>
                <w:bCs/>
                <w:sz w:val="16"/>
                <w:szCs w:val="16"/>
              </w:rPr>
              <w:t xml:space="preserve">Windows Server Datacenter - core licenses (16-core / 2-core packs)</w:t>
            </w:r>
          </w:p>
        </w:tc>
        <w:tc>
          <w:tcPr>
            <w:tcW w:w="1468" w:type="dxa"/>
            <w:shd w:val="clear" w:color="auto" w:fill="FAFBFC"/>
          </w:tcPr>
          <w:p>
            <w:pPr>
              <w:pStyle w:val="TableText"/>
            </w:pPr>
            <w:r>
              <w:rPr>
                <w:sz w:val="16"/>
                <w:szCs w:val="16"/>
              </w:rPr>
              <w:t xml:space="preserve">2 x 16-core pack</w:t>
            </w:r>
          </w:p>
        </w:tc>
        <w:tc>
          <w:tcPr>
            <w:tcW w:w="1174" w:type="dxa"/>
            <w:shd w:val="clear" w:color="auto" w:fill="FAFBFC"/>
          </w:tcPr>
          <w:p>
            <w:pPr>
              <w:pStyle w:val="TableText"/>
            </w:pPr>
            <w:r>
              <w:rPr>
                <w:sz w:val="16"/>
                <w:szCs w:val="16"/>
              </w:rPr>
              <w:t xml:space="preserve">One-time</w:t>
            </w:r>
          </w:p>
        </w:tc>
        <w:tc>
          <w:tcPr>
            <w:tcW w:w="1027" w:type="dxa"/>
            <w:shd w:val="clear" w:color="auto" w:fill="FAFBFC"/>
          </w:tcPr>
          <w:p>
            <w:pPr>
              <w:pStyle w:val="TableText"/>
              <w:jc w:val="right"/>
            </w:pPr>
            <w:r>
              <w:rPr>
                <w:sz w:val="16"/>
                <w:szCs w:val="16"/>
              </w:rPr>
              <w:t xml:space="preserve">USD 423</w:t>
            </w:r>
          </w:p>
        </w:tc>
        <w:tc>
          <w:tcPr>
            <w:tcW w:w="1174" w:type="dxa"/>
            <w:shd w:val="clear" w:color="auto" w:fill="FAFBFC"/>
          </w:tcPr>
          <w:p>
            <w:pPr>
              <w:pStyle w:val="TableText"/>
              <w:jc w:val="right"/>
            </w:pPr>
            <w:r>
              <w:rPr>
                <w:sz w:val="16"/>
                <w:szCs w:val="16"/>
              </w:rPr>
              <w:t xml:space="preserve">USD 13,542</w:t>
            </w:r>
          </w:p>
        </w:tc>
        <w:tc>
          <w:tcPr>
            <w:tcW w:w="2936" w:type="dxa"/>
            <w:shd w:val="clear" w:color="auto" w:fill="FAFBFC"/>
          </w:tcPr>
          <w:p>
            <w:pPr>
              <w:pStyle w:val="TableText"/>
            </w:pPr>
            <w:r>
              <w:rPr>
                <w:sz w:val="16"/>
                <w:szCs w:val="16"/>
              </w:rPr>
              <w:t xml:space="preserve">Gap of 32 core after allocating existing licenses.</w:t>
            </w:r>
          </w:p>
        </w:tc>
        <w:tc>
          <w:tcPr>
            <w:tcW w:w="1762" w:type="dxa"/>
            <w:shd w:val="clear" w:color="auto" w:fill="FAFBFC"/>
          </w:tcPr>
          <w:p>
            <w:pPr>
              <w:pStyle w:val="TableText"/>
            </w:pPr>
            <w:r>
              <w:rPr>
                <w:sz w:val="15"/>
                <w:szCs w:val="15"/>
              </w:rPr>
              <w:t xml:space="preserve">HV01</w:t>
            </w:r>
          </w:p>
        </w:tc>
        <w:tc>
          <w:tcPr>
            <w:tcW w:w="2941" w:type="dxa"/>
            <w:shd w:val="clear" w:color="auto" w:fill="FAFBFC"/>
          </w:tcPr>
          <w:p>
            <w:pPr>
              <w:pStyle w:val="TableText"/>
            </w:pPr>
            <w:r>
              <w:rPr>
                <w:sz w:val="16"/>
                <w:szCs w:val="16"/>
              </w:rPr>
              <w:t xml:space="preserve">Microsoft Product Terms - Windows Server (Standard, Datacenter, Essentials) (https://www.microsoft.com/licensing/terms/)</w:t>
            </w:r>
          </w:p>
        </w:tc>
      </w:tr>
      <w:tr>
        <w:trPr>
          <w:cantSplit/>
        </w:trPr>
        <w:tc>
          <w:tcPr>
            <w:tcW w:w="2202" w:type="dxa"/>
          </w:tcPr>
          <w:p>
            <w:pPr>
              <w:pStyle w:val="TableText"/>
            </w:pPr>
            <w:r>
              <w:rPr>
                <w:b/>
                <w:bCs/>
                <w:sz w:val="16"/>
                <w:szCs w:val="16"/>
              </w:rPr>
              <w:t xml:space="preserve">Windows Server Standard - core licenses (16-core / 2-core packs)</w:t>
            </w:r>
          </w:p>
        </w:tc>
        <w:tc>
          <w:tcPr>
            <w:tcW w:w="1468" w:type="dxa"/>
          </w:tcPr>
          <w:p>
            <w:pPr>
              <w:pStyle w:val="TableText"/>
            </w:pPr>
            <w:r>
              <w:rPr>
                <w:sz w:val="16"/>
                <w:szCs w:val="16"/>
              </w:rPr>
              <w:t xml:space="preserve">7 x 16-core pack</w:t>
            </w:r>
          </w:p>
        </w:tc>
        <w:tc>
          <w:tcPr>
            <w:tcW w:w="1174" w:type="dxa"/>
          </w:tcPr>
          <w:p>
            <w:pPr>
              <w:pStyle w:val="TableText"/>
            </w:pPr>
            <w:r>
              <w:rPr>
                <w:sz w:val="16"/>
                <w:szCs w:val="16"/>
              </w:rPr>
              <w:t xml:space="preserve">One-time</w:t>
            </w:r>
          </w:p>
        </w:tc>
        <w:tc>
          <w:tcPr>
            <w:tcW w:w="1027" w:type="dxa"/>
          </w:tcPr>
          <w:p>
            <w:pPr>
              <w:pStyle w:val="TableText"/>
              <w:jc w:val="right"/>
            </w:pPr>
            <w:r>
              <w:rPr>
                <w:sz w:val="16"/>
                <w:szCs w:val="16"/>
              </w:rPr>
              <w:t xml:space="preserve">USD 74</w:t>
            </w:r>
          </w:p>
        </w:tc>
        <w:tc>
          <w:tcPr>
            <w:tcW w:w="1174" w:type="dxa"/>
          </w:tcPr>
          <w:p>
            <w:pPr>
              <w:pStyle w:val="TableText"/>
              <w:jc w:val="right"/>
            </w:pPr>
            <w:r>
              <w:rPr>
                <w:sz w:val="16"/>
                <w:szCs w:val="16"/>
              </w:rPr>
              <w:t xml:space="preserve">USD 8,232</w:t>
            </w:r>
          </w:p>
        </w:tc>
        <w:tc>
          <w:tcPr>
            <w:tcW w:w="2936" w:type="dxa"/>
          </w:tcPr>
          <w:p>
            <w:pPr>
              <w:pStyle w:val="TableText"/>
            </w:pPr>
            <w:r>
              <w:rPr>
                <w:sz w:val="16"/>
                <w:szCs w:val="16"/>
              </w:rPr>
              <w:t xml:space="preserve">Gap of 112 core after allocating existing licenses.</w:t>
            </w:r>
          </w:p>
        </w:tc>
        <w:tc>
          <w:tcPr>
            <w:tcW w:w="1762" w:type="dxa"/>
          </w:tcPr>
          <w:p>
            <w:pPr>
              <w:pStyle w:val="TableText"/>
            </w:pPr>
            <w:r>
              <w:rPr>
                <w:sz w:val="15"/>
                <w:szCs w:val="15"/>
              </w:rPr>
              <w:t xml:space="preserve">ESX01, ESX02</w:t>
            </w:r>
          </w:p>
        </w:tc>
        <w:tc>
          <w:tcPr>
            <w:tcW w:w="2941" w:type="dxa"/>
          </w:tcPr>
          <w:p>
            <w:pPr>
              <w:pStyle w:val="TableText"/>
            </w:pPr>
            <w:r>
              <w:rPr>
                <w:sz w:val="16"/>
                <w:szCs w:val="16"/>
              </w:rPr>
              <w:t xml:space="preserve">Microsoft Product Terms - Windows Server (Standard, Datacenter, Essentials) (https://www.microsoft.com/licensing/terms/)</w:t>
            </w:r>
          </w:p>
        </w:tc>
      </w:tr>
      <w:tr>
        <w:trPr>
          <w:cantSplit/>
        </w:trPr>
        <w:tc>
          <w:tcPr>
            <w:tcW w:w="2202" w:type="dxa"/>
            <w:shd w:val="clear" w:color="auto" w:fill="FAFBFC"/>
          </w:tcPr>
          <w:p>
            <w:pPr>
              <w:pStyle w:val="TableText"/>
            </w:pPr>
            <w:r>
              <w:rPr>
                <w:b/>
                <w:bCs/>
                <w:sz w:val="16"/>
                <w:szCs w:val="16"/>
              </w:rPr>
              <w:t xml:space="preserve">Remote Desktop Services CAL - User</w:t>
            </w:r>
          </w:p>
        </w:tc>
        <w:tc>
          <w:tcPr>
            <w:tcW w:w="1468" w:type="dxa"/>
            <w:shd w:val="clear" w:color="auto" w:fill="FAFBFC"/>
          </w:tcPr>
          <w:p>
            <w:pPr>
              <w:pStyle w:val="TableText"/>
            </w:pPr>
            <w:r>
              <w:rPr>
                <w:sz w:val="16"/>
                <w:szCs w:val="16"/>
              </w:rPr>
              <w:t xml:space="preserve">42 x user licenses</w:t>
            </w:r>
          </w:p>
        </w:tc>
        <w:tc>
          <w:tcPr>
            <w:tcW w:w="1174" w:type="dxa"/>
            <w:shd w:val="clear" w:color="auto" w:fill="FAFBFC"/>
          </w:tcPr>
          <w:p>
            <w:pPr>
              <w:pStyle w:val="TableText"/>
            </w:pPr>
            <w:r>
              <w:rPr>
                <w:sz w:val="16"/>
                <w:szCs w:val="16"/>
              </w:rPr>
              <w:t xml:space="preserve">One-time</w:t>
            </w:r>
          </w:p>
        </w:tc>
        <w:tc>
          <w:tcPr>
            <w:tcW w:w="1027" w:type="dxa"/>
            <w:shd w:val="clear" w:color="auto" w:fill="FAFBFC"/>
          </w:tcPr>
          <w:p>
            <w:pPr>
              <w:pStyle w:val="TableText"/>
              <w:jc w:val="right"/>
            </w:pPr>
            <w:r>
              <w:rPr>
                <w:sz w:val="16"/>
                <w:szCs w:val="16"/>
              </w:rPr>
              <w:t xml:space="preserve">n/a</w:t>
            </w:r>
          </w:p>
        </w:tc>
        <w:tc>
          <w:tcPr>
            <w:tcW w:w="1174" w:type="dxa"/>
            <w:shd w:val="clear" w:color="auto" w:fill="FAFBFC"/>
          </w:tcPr>
          <w:p>
            <w:pPr>
              <w:pStyle w:val="TableText"/>
              <w:jc w:val="right"/>
            </w:pPr>
            <w:r>
              <w:rPr>
                <w:sz w:val="16"/>
                <w:szCs w:val="16"/>
              </w:rPr>
              <w:t xml:space="preserve">n/a</w:t>
            </w:r>
          </w:p>
        </w:tc>
        <w:tc>
          <w:tcPr>
            <w:tcW w:w="2936" w:type="dxa"/>
            <w:shd w:val="clear" w:color="auto" w:fill="FAFBFC"/>
          </w:tcPr>
          <w:p>
            <w:pPr>
              <w:pStyle w:val="TableText"/>
            </w:pPr>
            <w:r>
              <w:rPr>
                <w:sz w:val="16"/>
                <w:szCs w:val="16"/>
              </w:rPr>
              <w:t xml:space="preserve">Gap of 42 user after allocating existing licenses.</w:t>
            </w:r>
          </w:p>
        </w:tc>
        <w:tc>
          <w:tcPr>
            <w:tcW w:w="1762" w:type="dxa"/>
            <w:shd w:val="clear" w:color="auto" w:fill="FAFBFC"/>
          </w:tcPr>
          <w:p>
            <w:pPr>
              <w:pStyle w:val="TableText"/>
            </w:pPr>
            <w:r>
              <w:rPr>
                <w:sz w:val="15"/>
                <w:szCs w:val="15"/>
              </w:rPr>
              <w:t xml:space="preserve">Organization</w:t>
            </w:r>
          </w:p>
        </w:tc>
        <w:tc>
          <w:tcPr>
            <w:tcW w:w="2941" w:type="dxa"/>
            <w:shd w:val="clear" w:color="auto" w:fill="FAFBFC"/>
          </w:tcPr>
          <w:p>
            <w:pPr>
              <w:pStyle w:val="TableText"/>
            </w:pPr>
            <w:r>
              <w:rPr>
                <w:sz w:val="16"/>
                <w:szCs w:val="16"/>
              </w:rPr>
              <w:t xml:space="preserve">Microsoft Learn - License your RDS deployment with client access licenses (CALs) (https://learn.microsoft.com/windows-server/remote/remote-desktop-services/rds-client-access-license)</w:t>
            </w:r>
          </w:p>
        </w:tc>
      </w:tr>
      <w:tr>
        <w:trPr>
          <w:cantSplit/>
        </w:trPr>
        <w:tc>
          <w:tcPr>
            <w:tcW w:w="2202" w:type="dxa"/>
          </w:tcPr>
          <w:p>
            <w:pPr>
              <w:pStyle w:val="TableText"/>
            </w:pPr>
            <w:r>
              <w:rPr>
                <w:b/>
                <w:bCs/>
                <w:sz w:val="16"/>
                <w:szCs w:val="16"/>
              </w:rPr>
              <w:t xml:space="preserve">SQL Server Enterprise - core licenses (2-core packs)</w:t>
            </w:r>
          </w:p>
        </w:tc>
        <w:tc>
          <w:tcPr>
            <w:tcW w:w="1468" w:type="dxa"/>
          </w:tcPr>
          <w:p>
            <w:pPr>
              <w:pStyle w:val="TableText"/>
            </w:pPr>
            <w:r>
              <w:rPr>
                <w:sz w:val="16"/>
                <w:szCs w:val="16"/>
              </w:rPr>
              <w:t xml:space="preserve">4 x 2-core pack</w:t>
            </w:r>
          </w:p>
        </w:tc>
        <w:tc>
          <w:tcPr>
            <w:tcW w:w="1174" w:type="dxa"/>
          </w:tcPr>
          <w:p>
            <w:pPr>
              <w:pStyle w:val="TableText"/>
            </w:pPr>
            <w:r>
              <w:rPr>
                <w:sz w:val="16"/>
                <w:szCs w:val="16"/>
              </w:rPr>
              <w:t xml:space="preserve">One-time</w:t>
            </w:r>
          </w:p>
        </w:tc>
        <w:tc>
          <w:tcPr>
            <w:tcW w:w="1027" w:type="dxa"/>
          </w:tcPr>
          <w:p>
            <w:pPr>
              <w:pStyle w:val="TableText"/>
              <w:jc w:val="right"/>
            </w:pPr>
            <w:r>
              <w:rPr>
                <w:sz w:val="16"/>
                <w:szCs w:val="16"/>
              </w:rPr>
              <w:t xml:space="preserve">USD 7,562</w:t>
            </w:r>
          </w:p>
        </w:tc>
        <w:tc>
          <w:tcPr>
            <w:tcW w:w="1174" w:type="dxa"/>
          </w:tcPr>
          <w:p>
            <w:pPr>
              <w:pStyle w:val="TableText"/>
              <w:jc w:val="right"/>
            </w:pPr>
            <w:r>
              <w:rPr>
                <w:sz w:val="16"/>
                <w:szCs w:val="16"/>
              </w:rPr>
              <w:t xml:space="preserve">USD 60,492</w:t>
            </w:r>
          </w:p>
        </w:tc>
        <w:tc>
          <w:tcPr>
            <w:tcW w:w="2936" w:type="dxa"/>
          </w:tcPr>
          <w:p>
            <w:pPr>
              <w:pStyle w:val="TableText"/>
            </w:pPr>
            <w:r>
              <w:rPr>
                <w:sz w:val="16"/>
                <w:szCs w:val="16"/>
              </w:rPr>
              <w:t xml:space="preserve">Gap of 8 core after allocating existing licenses.</w:t>
            </w:r>
          </w:p>
        </w:tc>
        <w:tc>
          <w:tcPr>
            <w:tcW w:w="1762" w:type="dxa"/>
          </w:tcPr>
          <w:p>
            <w:pPr>
              <w:pStyle w:val="TableText"/>
            </w:pPr>
            <w:r>
              <w:rPr>
                <w:sz w:val="15"/>
                <w:szCs w:val="15"/>
              </w:rPr>
              <w:t xml:space="preserve">SQL01</w:t>
            </w:r>
          </w:p>
        </w:tc>
        <w:tc>
          <w:tcPr>
            <w:tcW w:w="2941" w:type="dxa"/>
          </w:tcPr>
          <w:p>
            <w:pPr>
              <w:pStyle w:val="TableText"/>
            </w:pPr>
            <w:r>
              <w:rPr>
                <w:sz w:val="16"/>
                <w:szCs w:val="16"/>
              </w:rPr>
              <w:t xml:space="preserve">Microsoft Product Terms - SQL Server / SQL Server licensing guide (https://www.microsoft.com/licensing/docs/view/SQL-Server)</w:t>
            </w:r>
          </w:p>
        </w:tc>
      </w:tr>
      <w:tr>
        <w:trPr>
          <w:cantSplit/>
        </w:trPr>
        <w:tc>
          <w:tcPr>
            <w:tcW w:w="2202" w:type="dxa"/>
            <w:shd w:val="clear" w:color="auto" w:fill="FAFBFC"/>
          </w:tcPr>
          <w:p>
            <w:pPr>
              <w:pStyle w:val="TableText"/>
            </w:pPr>
            <w:r>
              <w:rPr>
                <w:b/>
                <w:bCs/>
                <w:sz w:val="16"/>
                <w:szCs w:val="16"/>
              </w:rPr>
              <w:t xml:space="preserve">Office Home &amp; Business - per device</w:t>
            </w:r>
          </w:p>
        </w:tc>
        <w:tc>
          <w:tcPr>
            <w:tcW w:w="1468" w:type="dxa"/>
            <w:shd w:val="clear" w:color="auto" w:fill="FAFBFC"/>
          </w:tcPr>
          <w:p>
            <w:pPr>
              <w:pStyle w:val="TableText"/>
            </w:pPr>
            <w:r>
              <w:rPr>
                <w:sz w:val="16"/>
                <w:szCs w:val="16"/>
              </w:rPr>
              <w:t xml:space="preserve">1 x device license</w:t>
            </w:r>
          </w:p>
        </w:tc>
        <w:tc>
          <w:tcPr>
            <w:tcW w:w="1174" w:type="dxa"/>
            <w:shd w:val="clear" w:color="auto" w:fill="FAFBFC"/>
          </w:tcPr>
          <w:p>
            <w:pPr>
              <w:pStyle w:val="TableText"/>
            </w:pPr>
            <w:r>
              <w:rPr>
                <w:sz w:val="16"/>
                <w:szCs w:val="16"/>
              </w:rPr>
              <w:t xml:space="preserve">One-time</w:t>
            </w:r>
          </w:p>
        </w:tc>
        <w:tc>
          <w:tcPr>
            <w:tcW w:w="1027" w:type="dxa"/>
            <w:shd w:val="clear" w:color="auto" w:fill="FAFBFC"/>
          </w:tcPr>
          <w:p>
            <w:pPr>
              <w:pStyle w:val="TableText"/>
              <w:jc w:val="right"/>
            </w:pPr>
            <w:r>
              <w:rPr>
                <w:sz w:val="16"/>
                <w:szCs w:val="16"/>
              </w:rPr>
              <w:t xml:space="preserve">USD 250</w:t>
            </w:r>
          </w:p>
        </w:tc>
        <w:tc>
          <w:tcPr>
            <w:tcW w:w="1174" w:type="dxa"/>
            <w:shd w:val="clear" w:color="auto" w:fill="FAFBFC"/>
          </w:tcPr>
          <w:p>
            <w:pPr>
              <w:pStyle w:val="TableText"/>
              <w:jc w:val="right"/>
            </w:pPr>
            <w:r>
              <w:rPr>
                <w:sz w:val="16"/>
                <w:szCs w:val="16"/>
              </w:rPr>
              <w:t xml:space="preserve">USD 250</w:t>
            </w:r>
          </w:p>
        </w:tc>
        <w:tc>
          <w:tcPr>
            <w:tcW w:w="2936" w:type="dxa"/>
            <w:shd w:val="clear" w:color="auto" w:fill="FAFBFC"/>
          </w:tcPr>
          <w:p>
            <w:pPr>
              <w:pStyle w:val="TableText"/>
            </w:pPr>
            <w:r>
              <w:rPr>
                <w:sz w:val="16"/>
                <w:szCs w:val="16"/>
              </w:rPr>
              <w:t xml:space="preserve">Gap of 1 device after allocating existing licenses.</w:t>
            </w:r>
          </w:p>
        </w:tc>
        <w:tc>
          <w:tcPr>
            <w:tcW w:w="1762" w:type="dxa"/>
            <w:shd w:val="clear" w:color="auto" w:fill="FAFBFC"/>
          </w:tcPr>
          <w:p>
            <w:pPr>
              <w:pStyle w:val="TableText"/>
            </w:pPr>
            <w:r>
              <w:rPr>
                <w:sz w:val="15"/>
                <w:szCs w:val="15"/>
              </w:rPr>
              <w:t xml:space="preserve">PC-007</w:t>
            </w:r>
          </w:p>
        </w:tc>
        <w:tc>
          <w:tcPr>
            <w:tcW w:w="2941" w:type="dxa"/>
            <w:shd w:val="clear" w:color="auto" w:fill="FAFBFC"/>
          </w:tcPr>
          <w:p>
            <w:pPr>
              <w:pStyle w:val="TableText"/>
            </w:pPr>
            <w:r>
              <w:rPr>
                <w:sz w:val="16"/>
                <w:szCs w:val="16"/>
              </w:rPr>
              <w:t xml:space="preserve">Microsoft Software License Terms (consumer Office) (https://www.microsoft.com/useterms)</w:t>
            </w:r>
          </w:p>
        </w:tc>
      </w:tr>
      <w:tr>
        <w:trPr>
          <w:cantSplit/>
        </w:trPr>
        <w:tc>
          <w:tcPr>
            <w:tcW w:w="2202" w:type="dxa"/>
          </w:tcPr>
          <w:p>
            <w:pPr>
              <w:pStyle w:val="TableText"/>
            </w:pPr>
            <w:r>
              <w:rPr>
                <w:b/>
                <w:bCs/>
                <w:sz w:val="16"/>
                <w:szCs w:val="16"/>
              </w:rPr>
              <w:t xml:space="preserve">Office LTSC Professional Plus - per device (Volume Licensing)</w:t>
            </w:r>
          </w:p>
        </w:tc>
        <w:tc>
          <w:tcPr>
            <w:tcW w:w="1468" w:type="dxa"/>
          </w:tcPr>
          <w:p>
            <w:pPr>
              <w:pStyle w:val="TableText"/>
            </w:pPr>
            <w:r>
              <w:rPr>
                <w:sz w:val="16"/>
                <w:szCs w:val="16"/>
              </w:rPr>
              <w:t xml:space="preserve">37 x device licenses</w:t>
            </w:r>
          </w:p>
        </w:tc>
        <w:tc>
          <w:tcPr>
            <w:tcW w:w="1174" w:type="dxa"/>
          </w:tcPr>
          <w:p>
            <w:pPr>
              <w:pStyle w:val="TableText"/>
            </w:pPr>
            <w:r>
              <w:rPr>
                <w:sz w:val="16"/>
                <w:szCs w:val="16"/>
              </w:rPr>
              <w:t xml:space="preserve">One-time</w:t>
            </w:r>
          </w:p>
        </w:tc>
        <w:tc>
          <w:tcPr>
            <w:tcW w:w="1027" w:type="dxa"/>
          </w:tcPr>
          <w:p>
            <w:pPr>
              <w:pStyle w:val="TableText"/>
              <w:jc w:val="right"/>
            </w:pPr>
            <w:r>
              <w:rPr>
                <w:sz w:val="16"/>
                <w:szCs w:val="16"/>
              </w:rPr>
              <w:t xml:space="preserve">n/a</w:t>
            </w:r>
          </w:p>
        </w:tc>
        <w:tc>
          <w:tcPr>
            <w:tcW w:w="1174" w:type="dxa"/>
          </w:tcPr>
          <w:p>
            <w:pPr>
              <w:pStyle w:val="TableText"/>
              <w:jc w:val="right"/>
            </w:pPr>
            <w:r>
              <w:rPr>
                <w:sz w:val="16"/>
                <w:szCs w:val="16"/>
              </w:rPr>
              <w:t xml:space="preserve">n/a</w:t>
            </w:r>
          </w:p>
        </w:tc>
        <w:tc>
          <w:tcPr>
            <w:tcW w:w="2936" w:type="dxa"/>
          </w:tcPr>
          <w:p>
            <w:pPr>
              <w:pStyle w:val="TableText"/>
            </w:pPr>
            <w:r>
              <w:rPr>
                <w:sz w:val="16"/>
                <w:szCs w:val="16"/>
              </w:rPr>
              <w:t xml:space="preserve">Gap of 37 device after allocating existing licenses.</w:t>
            </w:r>
          </w:p>
        </w:tc>
        <w:tc>
          <w:tcPr>
            <w:tcW w:w="1762" w:type="dxa"/>
          </w:tcPr>
          <w:p>
            <w:pPr>
              <w:pStyle w:val="TableText"/>
            </w:pPr>
            <w:r>
              <w:rPr>
                <w:sz w:val="15"/>
                <w:szCs w:val="15"/>
              </w:rPr>
              <w:t xml:space="preserve">RDS01</w:t>
            </w:r>
          </w:p>
        </w:tc>
        <w:tc>
          <w:tcPr>
            <w:tcW w:w="2941" w:type="dxa"/>
          </w:tcPr>
          <w:p>
            <w:pPr>
              <w:pStyle w:val="TableText"/>
            </w:pPr>
            <w:r>
              <w:rPr>
                <w:sz w:val="16"/>
                <w:szCs w:val="16"/>
              </w:rPr>
              <w:t xml:space="preserve">Microsoft Learn - Overview of shared computer activation for Microsoft 365 Apps (https://learn.microsoft.com/microsoft-365-apps/licensing-activation/overview-shared-computer-activation)</w:t>
            </w:r>
          </w:p>
        </w:tc>
      </w:tr>
      <w:tr>
        <w:trPr>
          <w:cantSplit/>
        </w:trPr>
        <w:tc>
          <w:tcPr>
            <w:tcW w:w="2202" w:type="dxa"/>
            <w:shd w:val="clear" w:color="auto" w:fill="FAFBFC"/>
          </w:tcPr>
          <w:p>
            <w:pPr>
              <w:pStyle w:val="TableText"/>
            </w:pPr>
            <w:r>
              <w:rPr>
                <w:b/>
                <w:bCs/>
                <w:sz w:val="16"/>
                <w:szCs w:val="16"/>
              </w:rPr>
              <w:t xml:space="preserve">Office LTSC Standard - per device (Volume Licensing)</w:t>
            </w:r>
          </w:p>
        </w:tc>
        <w:tc>
          <w:tcPr>
            <w:tcW w:w="1468" w:type="dxa"/>
            <w:shd w:val="clear" w:color="auto" w:fill="FAFBFC"/>
          </w:tcPr>
          <w:p>
            <w:pPr>
              <w:pStyle w:val="TableText"/>
            </w:pPr>
            <w:r>
              <w:rPr>
                <w:sz w:val="16"/>
                <w:szCs w:val="16"/>
              </w:rPr>
              <w:t xml:space="preserve">1 x device license</w:t>
            </w:r>
          </w:p>
        </w:tc>
        <w:tc>
          <w:tcPr>
            <w:tcW w:w="1174" w:type="dxa"/>
            <w:shd w:val="clear" w:color="auto" w:fill="FAFBFC"/>
          </w:tcPr>
          <w:p>
            <w:pPr>
              <w:pStyle w:val="TableText"/>
            </w:pPr>
            <w:r>
              <w:rPr>
                <w:sz w:val="16"/>
                <w:szCs w:val="16"/>
              </w:rPr>
              <w:t xml:space="preserve">One-time</w:t>
            </w:r>
          </w:p>
        </w:tc>
        <w:tc>
          <w:tcPr>
            <w:tcW w:w="1027" w:type="dxa"/>
            <w:shd w:val="clear" w:color="auto" w:fill="FAFBFC"/>
          </w:tcPr>
          <w:p>
            <w:pPr>
              <w:pStyle w:val="TableText"/>
              <w:jc w:val="right"/>
            </w:pPr>
            <w:r>
              <w:rPr>
                <w:sz w:val="16"/>
                <w:szCs w:val="16"/>
              </w:rPr>
              <w:t xml:space="preserve">n/a</w:t>
            </w:r>
          </w:p>
        </w:tc>
        <w:tc>
          <w:tcPr>
            <w:tcW w:w="1174" w:type="dxa"/>
            <w:shd w:val="clear" w:color="auto" w:fill="FAFBFC"/>
          </w:tcPr>
          <w:p>
            <w:pPr>
              <w:pStyle w:val="TableText"/>
              <w:jc w:val="right"/>
            </w:pPr>
            <w:r>
              <w:rPr>
                <w:sz w:val="16"/>
                <w:szCs w:val="16"/>
              </w:rPr>
              <w:t xml:space="preserve">n/a</w:t>
            </w:r>
          </w:p>
        </w:tc>
        <w:tc>
          <w:tcPr>
            <w:tcW w:w="2936" w:type="dxa"/>
            <w:shd w:val="clear" w:color="auto" w:fill="FAFBFC"/>
          </w:tcPr>
          <w:p>
            <w:pPr>
              <w:pStyle w:val="TableText"/>
            </w:pPr>
            <w:r>
              <w:rPr>
                <w:sz w:val="16"/>
                <w:szCs w:val="16"/>
              </w:rPr>
              <w:t xml:space="preserve">Gap of 1 device after allocating existing licenses.</w:t>
            </w:r>
          </w:p>
        </w:tc>
        <w:tc>
          <w:tcPr>
            <w:tcW w:w="1762" w:type="dxa"/>
            <w:shd w:val="clear" w:color="auto" w:fill="FAFBFC"/>
          </w:tcPr>
          <w:p>
            <w:pPr>
              <w:pStyle w:val="TableText"/>
            </w:pPr>
            <w:r>
              <w:rPr>
                <w:sz w:val="15"/>
                <w:szCs w:val="15"/>
              </w:rPr>
              <w:t xml:space="preserve">PC-012</w:t>
            </w:r>
          </w:p>
        </w:tc>
        <w:tc>
          <w:tcPr>
            <w:tcW w:w="2941" w:type="dxa"/>
            <w:shd w:val="clear" w:color="auto" w:fill="FAFBFC"/>
          </w:tcPr>
          <w:p>
            <w:pPr>
              <w:pStyle w:val="TableText"/>
            </w:pPr>
            <w:r>
              <w:rPr>
                <w:sz w:val="16"/>
                <w:szCs w:val="16"/>
              </w:rPr>
              <w:t xml:space="preserve">Microsoft Product Terms - Office / Visio / Project (https://www.microsoft.com/licensing/terms/)</w:t>
            </w:r>
          </w:p>
        </w:tc>
      </w:tr>
      <w:tr>
        <w:trPr>
          <w:cantSplit/>
        </w:trPr>
        <w:tc>
          <w:tcPr>
            <w:tcW w:w="2202" w:type="dxa"/>
          </w:tcPr>
          <w:p>
            <w:pPr>
              <w:pStyle w:val="TableText"/>
            </w:pPr>
            <w:r>
              <w:rPr>
                <w:b/>
                <w:bCs/>
                <w:sz w:val="16"/>
                <w:szCs w:val="16"/>
              </w:rPr>
              <w:t xml:space="preserve">Visio LTSC Professional - per device</w:t>
            </w:r>
          </w:p>
        </w:tc>
        <w:tc>
          <w:tcPr>
            <w:tcW w:w="1468" w:type="dxa"/>
          </w:tcPr>
          <w:p>
            <w:pPr>
              <w:pStyle w:val="TableText"/>
            </w:pPr>
            <w:r>
              <w:rPr>
                <w:sz w:val="16"/>
                <w:szCs w:val="16"/>
              </w:rPr>
              <w:t xml:space="preserve">1 x device license</w:t>
            </w:r>
          </w:p>
        </w:tc>
        <w:tc>
          <w:tcPr>
            <w:tcW w:w="1174" w:type="dxa"/>
          </w:tcPr>
          <w:p>
            <w:pPr>
              <w:pStyle w:val="TableText"/>
            </w:pPr>
            <w:r>
              <w:rPr>
                <w:sz w:val="16"/>
                <w:szCs w:val="16"/>
              </w:rPr>
              <w:t xml:space="preserve">One-time</w:t>
            </w:r>
          </w:p>
        </w:tc>
        <w:tc>
          <w:tcPr>
            <w:tcW w:w="1027" w:type="dxa"/>
          </w:tcPr>
          <w:p>
            <w:pPr>
              <w:pStyle w:val="TableText"/>
              <w:jc w:val="right"/>
            </w:pPr>
            <w:r>
              <w:rPr>
                <w:sz w:val="16"/>
                <w:szCs w:val="16"/>
              </w:rPr>
              <w:t xml:space="preserve">n/a</w:t>
            </w:r>
          </w:p>
        </w:tc>
        <w:tc>
          <w:tcPr>
            <w:tcW w:w="1174" w:type="dxa"/>
          </w:tcPr>
          <w:p>
            <w:pPr>
              <w:pStyle w:val="TableText"/>
              <w:jc w:val="right"/>
            </w:pPr>
            <w:r>
              <w:rPr>
                <w:sz w:val="16"/>
                <w:szCs w:val="16"/>
              </w:rPr>
              <w:t xml:space="preserve">n/a</w:t>
            </w:r>
          </w:p>
        </w:tc>
        <w:tc>
          <w:tcPr>
            <w:tcW w:w="2936" w:type="dxa"/>
          </w:tcPr>
          <w:p>
            <w:pPr>
              <w:pStyle w:val="TableText"/>
            </w:pPr>
            <w:r>
              <w:rPr>
                <w:sz w:val="16"/>
                <w:szCs w:val="16"/>
              </w:rPr>
              <w:t xml:space="preserve">Gap of 1 device after allocating existing licenses.</w:t>
            </w:r>
          </w:p>
        </w:tc>
        <w:tc>
          <w:tcPr>
            <w:tcW w:w="1762" w:type="dxa"/>
          </w:tcPr>
          <w:p>
            <w:pPr>
              <w:pStyle w:val="TableText"/>
            </w:pPr>
            <w:r>
              <w:rPr>
                <w:sz w:val="15"/>
                <w:szCs w:val="15"/>
              </w:rPr>
              <w:t xml:space="preserve">PC-008</w:t>
            </w:r>
          </w:p>
        </w:tc>
        <w:tc>
          <w:tcPr>
            <w:tcW w:w="2941" w:type="dxa"/>
          </w:tcPr>
          <w:p>
            <w:pPr>
              <w:pStyle w:val="TableText"/>
            </w:pPr>
            <w:r>
              <w:rPr>
                <w:sz w:val="16"/>
                <w:szCs w:val="16"/>
              </w:rPr>
              <w:t xml:space="preserve">Microsoft Product Terms - Office / Visio / Project (https://www.microsoft.com/licensing/terms/)</w:t>
            </w:r>
          </w:p>
        </w:tc>
      </w:tr>
      <w:tr>
        <w:trPr>
          <w:cantSplit/>
        </w:trPr>
        <w:tc>
          <w:tcPr>
            <w:tcW w:w="2202" w:type="dxa"/>
            <w:shd w:val="clear" w:color="auto" w:fill="FAFBFC"/>
          </w:tcPr>
          <w:p>
            <w:pPr>
              <w:pStyle w:val="TableText"/>
            </w:pPr>
            <w:r>
              <w:rPr>
                <w:b/>
                <w:bCs/>
                <w:sz w:val="16"/>
                <w:szCs w:val="16"/>
              </w:rPr>
              <w:t xml:space="preserve">Visual Studio Professional subscription - per user</w:t>
            </w:r>
          </w:p>
        </w:tc>
        <w:tc>
          <w:tcPr>
            <w:tcW w:w="1468" w:type="dxa"/>
            <w:shd w:val="clear" w:color="auto" w:fill="FAFBFC"/>
          </w:tcPr>
          <w:p>
            <w:pPr>
              <w:pStyle w:val="TableText"/>
            </w:pPr>
            <w:r>
              <w:rPr>
                <w:sz w:val="16"/>
                <w:szCs w:val="16"/>
              </w:rPr>
              <w:t xml:space="preserve">1 x user license</w:t>
            </w:r>
          </w:p>
        </w:tc>
        <w:tc>
          <w:tcPr>
            <w:tcW w:w="1174" w:type="dxa"/>
            <w:shd w:val="clear" w:color="auto" w:fill="FAFBFC"/>
          </w:tcPr>
          <w:p>
            <w:pPr>
              <w:pStyle w:val="TableText"/>
            </w:pPr>
            <w:r>
              <w:rPr>
                <w:sz w:val="16"/>
                <w:szCs w:val="16"/>
              </w:rPr>
              <w:t xml:space="preserve">Annual subscription</w:t>
            </w:r>
          </w:p>
        </w:tc>
        <w:tc>
          <w:tcPr>
            <w:tcW w:w="1027" w:type="dxa"/>
            <w:shd w:val="clear" w:color="auto" w:fill="FAFBFC"/>
          </w:tcPr>
          <w:p>
            <w:pPr>
              <w:pStyle w:val="TableText"/>
              <w:jc w:val="right"/>
            </w:pPr>
            <w:r>
              <w:rPr>
                <w:sz w:val="16"/>
                <w:szCs w:val="16"/>
              </w:rPr>
              <w:t xml:space="preserve">USD 540</w:t>
            </w:r>
          </w:p>
        </w:tc>
        <w:tc>
          <w:tcPr>
            <w:tcW w:w="1174" w:type="dxa"/>
            <w:shd w:val="clear" w:color="auto" w:fill="FAFBFC"/>
          </w:tcPr>
          <w:p>
            <w:pPr>
              <w:pStyle w:val="TableText"/>
              <w:jc w:val="right"/>
            </w:pPr>
            <w:r>
              <w:rPr>
                <w:sz w:val="16"/>
                <w:szCs w:val="16"/>
              </w:rPr>
              <w:t xml:space="preserve">USD 540</w:t>
            </w:r>
          </w:p>
        </w:tc>
        <w:tc>
          <w:tcPr>
            <w:tcW w:w="2936" w:type="dxa"/>
            <w:shd w:val="clear" w:color="auto" w:fill="FAFBFC"/>
          </w:tcPr>
          <w:p>
            <w:pPr>
              <w:pStyle w:val="TableText"/>
            </w:pPr>
            <w:r>
              <w:rPr>
                <w:sz w:val="16"/>
                <w:szCs w:val="16"/>
              </w:rPr>
              <w:t xml:space="preserve">Gap of 1 user after allocating existing licenses.</w:t>
            </w:r>
          </w:p>
        </w:tc>
        <w:tc>
          <w:tcPr>
            <w:tcW w:w="1762" w:type="dxa"/>
            <w:shd w:val="clear" w:color="auto" w:fill="FAFBFC"/>
          </w:tcPr>
          <w:p>
            <w:pPr>
              <w:pStyle w:val="TableText"/>
            </w:pPr>
            <w:r>
              <w:rPr>
                <w:sz w:val="15"/>
                <w:szCs w:val="15"/>
              </w:rPr>
              <w:t xml:space="preserve">Organization</w:t>
            </w:r>
          </w:p>
        </w:tc>
        <w:tc>
          <w:tcPr>
            <w:tcW w:w="2941" w:type="dxa"/>
            <w:shd w:val="clear" w:color="auto" w:fill="FAFBFC"/>
          </w:tcPr>
          <w:p>
            <w:pPr>
              <w:pStyle w:val="TableText"/>
            </w:pPr>
            <w:r>
              <w:rPr>
                <w:sz w:val="16"/>
                <w:szCs w:val="16"/>
              </w:rPr>
              <w:t xml:space="preserve">Visual Studio license terms (https://visualstudio.microsoft.com/license-terms/)</w:t>
            </w:r>
          </w:p>
        </w:tc>
      </w:tr>
      <w:tr>
        <w:trPr>
          <w:cantSplit/>
        </w:trPr>
        <w:tc>
          <w:tcPr>
            <w:tcW w:w="2202" w:type="dxa"/>
          </w:tcPr>
          <w:p>
            <w:pPr>
              <w:pStyle w:val="TableText"/>
            </w:pPr>
            <w:r>
              <w:rPr>
                <w:b/>
                <w:bCs/>
                <w:sz w:val="16"/>
                <w:szCs w:val="16"/>
              </w:rPr>
              <w:t xml:space="preserve">Microsoft Entra ID P1 - per user (subscription)</w:t>
            </w:r>
          </w:p>
        </w:tc>
        <w:tc>
          <w:tcPr>
            <w:tcW w:w="1468" w:type="dxa"/>
          </w:tcPr>
          <w:p>
            <w:pPr>
              <w:pStyle w:val="TableText"/>
            </w:pPr>
            <w:r>
              <w:rPr>
                <w:sz w:val="16"/>
                <w:szCs w:val="16"/>
              </w:rPr>
              <w:t xml:space="preserve">18 x user licenses</w:t>
            </w:r>
          </w:p>
        </w:tc>
        <w:tc>
          <w:tcPr>
            <w:tcW w:w="1174" w:type="dxa"/>
          </w:tcPr>
          <w:p>
            <w:pPr>
              <w:pStyle w:val="TableText"/>
            </w:pPr>
            <w:r>
              <w:rPr>
                <w:sz w:val="16"/>
                <w:szCs w:val="16"/>
              </w:rPr>
              <w:t xml:space="preserve">Annual subscription</w:t>
            </w:r>
          </w:p>
        </w:tc>
        <w:tc>
          <w:tcPr>
            <w:tcW w:w="1027" w:type="dxa"/>
          </w:tcPr>
          <w:p>
            <w:pPr>
              <w:pStyle w:val="TableText"/>
              <w:jc w:val="right"/>
            </w:pPr>
            <w:r>
              <w:rPr>
                <w:sz w:val="16"/>
                <w:szCs w:val="16"/>
              </w:rPr>
              <w:t xml:space="preserve">USD 72</w:t>
            </w:r>
          </w:p>
        </w:tc>
        <w:tc>
          <w:tcPr>
            <w:tcW w:w="1174" w:type="dxa"/>
          </w:tcPr>
          <w:p>
            <w:pPr>
              <w:pStyle w:val="TableText"/>
              <w:jc w:val="right"/>
            </w:pPr>
            <w:r>
              <w:rPr>
                <w:sz w:val="16"/>
                <w:szCs w:val="16"/>
              </w:rPr>
              <w:t xml:space="preserve">USD 1,296</w:t>
            </w:r>
          </w:p>
        </w:tc>
        <w:tc>
          <w:tcPr>
            <w:tcW w:w="2936" w:type="dxa"/>
          </w:tcPr>
          <w:p>
            <w:pPr>
              <w:pStyle w:val="TableText"/>
            </w:pPr>
            <w:r>
              <w:rPr>
                <w:sz w:val="16"/>
                <w:szCs w:val="16"/>
              </w:rPr>
              <w:t xml:space="preserve">Gap of 18 user after allocating existing licenses.</w:t>
            </w:r>
          </w:p>
        </w:tc>
        <w:tc>
          <w:tcPr>
            <w:tcW w:w="1762" w:type="dxa"/>
          </w:tcPr>
          <w:p>
            <w:pPr>
              <w:pStyle w:val="TableText"/>
            </w:pPr>
            <w:r>
              <w:rPr>
                <w:sz w:val="15"/>
                <w:szCs w:val="15"/>
              </w:rPr>
              <w:t xml:space="preserve">Demo Company (demo tenant)</w:t>
            </w:r>
          </w:p>
        </w:tc>
        <w:tc>
          <w:tcPr>
            <w:tcW w:w="2941" w:type="dxa"/>
          </w:tcPr>
          <w:p>
            <w:pPr>
              <w:pStyle w:val="TableText"/>
            </w:pPr>
            <w:r>
              <w:rPr>
                <w:sz w:val="16"/>
                <w:szCs w:val="16"/>
              </w:rPr>
              <w:t xml:space="preserve">Microsoft Learn - Microsoft Entra licensing (https://learn.microsoft.com/entra/fundamentals/licensing)</w:t>
            </w:r>
          </w:p>
        </w:tc>
      </w:tr>
      <w:tr>
        <w:trPr>
          <w:cantSplit/>
        </w:trPr>
        <w:tc>
          <w:tcPr>
            <w:tcW w:w="2202" w:type="dxa"/>
            <w:shd w:val="clear" w:color="auto" w:fill="FAFBFC"/>
          </w:tcPr>
          <w:p>
            <w:pPr>
              <w:pStyle w:val="TableText"/>
            </w:pPr>
            <w:r>
              <w:rPr>
                <w:b/>
                <w:bCs/>
                <w:sz w:val="16"/>
                <w:szCs w:val="16"/>
              </w:rPr>
              <w:t xml:space="preserve">Microsoft Entra ID P2 - per user (subscription)</w:t>
            </w:r>
          </w:p>
        </w:tc>
        <w:tc>
          <w:tcPr>
            <w:tcW w:w="1468" w:type="dxa"/>
            <w:shd w:val="clear" w:color="auto" w:fill="FAFBFC"/>
          </w:tcPr>
          <w:p>
            <w:pPr>
              <w:pStyle w:val="TableText"/>
            </w:pPr>
            <w:r>
              <w:rPr>
                <w:sz w:val="16"/>
                <w:szCs w:val="16"/>
              </w:rPr>
              <w:t xml:space="preserve">5 x user licenses</w:t>
            </w:r>
          </w:p>
        </w:tc>
        <w:tc>
          <w:tcPr>
            <w:tcW w:w="1174" w:type="dxa"/>
            <w:shd w:val="clear" w:color="auto" w:fill="FAFBFC"/>
          </w:tcPr>
          <w:p>
            <w:pPr>
              <w:pStyle w:val="TableText"/>
            </w:pPr>
            <w:r>
              <w:rPr>
                <w:sz w:val="16"/>
                <w:szCs w:val="16"/>
              </w:rPr>
              <w:t xml:space="preserve">Annual subscription</w:t>
            </w:r>
          </w:p>
        </w:tc>
        <w:tc>
          <w:tcPr>
            <w:tcW w:w="1027" w:type="dxa"/>
            <w:shd w:val="clear" w:color="auto" w:fill="FAFBFC"/>
          </w:tcPr>
          <w:p>
            <w:pPr>
              <w:pStyle w:val="TableText"/>
              <w:jc w:val="right"/>
            </w:pPr>
            <w:r>
              <w:rPr>
                <w:sz w:val="16"/>
                <w:szCs w:val="16"/>
              </w:rPr>
              <w:t xml:space="preserve">USD 108</w:t>
            </w:r>
          </w:p>
        </w:tc>
        <w:tc>
          <w:tcPr>
            <w:tcW w:w="1174" w:type="dxa"/>
            <w:shd w:val="clear" w:color="auto" w:fill="FAFBFC"/>
          </w:tcPr>
          <w:p>
            <w:pPr>
              <w:pStyle w:val="TableText"/>
              <w:jc w:val="right"/>
            </w:pPr>
            <w:r>
              <w:rPr>
                <w:sz w:val="16"/>
                <w:szCs w:val="16"/>
              </w:rPr>
              <w:t xml:space="preserve">USD 540</w:t>
            </w:r>
          </w:p>
        </w:tc>
        <w:tc>
          <w:tcPr>
            <w:tcW w:w="2936" w:type="dxa"/>
            <w:shd w:val="clear" w:color="auto" w:fill="FAFBFC"/>
          </w:tcPr>
          <w:p>
            <w:pPr>
              <w:pStyle w:val="TableText"/>
            </w:pPr>
            <w:r>
              <w:rPr>
                <w:sz w:val="16"/>
                <w:szCs w:val="16"/>
              </w:rPr>
              <w:t xml:space="preserve">Gap of 5 user after allocating existing licenses.</w:t>
            </w:r>
          </w:p>
        </w:tc>
        <w:tc>
          <w:tcPr>
            <w:tcW w:w="1762" w:type="dxa"/>
            <w:shd w:val="clear" w:color="auto" w:fill="FAFBFC"/>
          </w:tcPr>
          <w:p>
            <w:pPr>
              <w:pStyle w:val="TableText"/>
            </w:pPr>
            <w:r>
              <w:rPr>
                <w:sz w:val="15"/>
                <w:szCs w:val="15"/>
              </w:rPr>
              <w:t xml:space="preserve">Demo Company (demo tenant)</w:t>
            </w:r>
          </w:p>
        </w:tc>
        <w:tc>
          <w:tcPr>
            <w:tcW w:w="2941" w:type="dxa"/>
            <w:shd w:val="clear" w:color="auto" w:fill="FAFBFC"/>
          </w:tcPr>
          <w:p>
            <w:pPr>
              <w:pStyle w:val="TableText"/>
            </w:pPr>
            <w:r>
              <w:rPr>
                <w:sz w:val="16"/>
                <w:szCs w:val="16"/>
              </w:rPr>
              <w:t xml:space="preserve">Microsoft Learn - Microsoft Entra licensing (https://learn.microsoft.com/entra/fundamentals/licensing)</w:t>
            </w:r>
          </w:p>
        </w:tc>
      </w:tr>
    </w:tbl>
    <w:p>
      <w:pPr>
        <w:spacing w:before="0" w:after="0" w:line="240" w:lineRule="auto"/>
        <w:rPr>
          <w:sz w:val="12"/>
          <w:szCs w:val="12"/>
        </w:rPr>
      </w:pPr>
    </w:p>
    <w:p>
      <w:pPr>
        <w:spacing w:before="0" w:after="0" w:line="20" w:lineRule="exact"/>
        <w:rPr>
          <w:sz w:val="2"/>
          <w:szCs w:val="2"/>
        </w:rPr>
        <w:sectPr>
          <w:headerReference w:type="default" r:id="rIdHdr1"/>
          <w:footerReference w:type="default" r:id="rIdFtr1"/>
          <w:pgSz w:w="16838" w:h="11906" w:orient="landscape"/>
          <w:pgMar w:top="1304" w:right="1077" w:bottom="1191" w:left="1077" w:header="567" w:footer="510" w:gutter="0"/>
          <w:cols w:space="708"/>
          <w:docGrid w:linePitch="360"/>
        </w:sectPr>
      </w:pPr>
    </w:p>
    <w:p>
      <w:pPr>
        <w:pStyle w:val="Heading1"/>
      </w:pPr>
      <w:bookmarkStart w:id="23" w:name="_TocMlat00023"/>
      <w:r>
        <w:t xml:space="preserve">Major findings</w:t>
      </w:r>
      <w:bookmarkEnd w:id="23"/>
    </w:p>
    <w:p>
      <w:r>
        <w:t xml:space="preserve">41 findings were produced: 3 high, 20 medium, 10 low, 8 informational. Each finding separates the discovered fact from the licensing interpretation and names the rule, its review date and the confidence of the conclusion.</w:t>
      </w:r>
    </w:p>
    <w:p>
      <w:pPr>
        <w:pStyle w:val="Heading2"/>
      </w:pPr>
      <w:bookmarkStart w:id="24" w:name="_TocMlat00024"/>
      <w:r>
        <w:t xml:space="preserve">High severity (3)</w:t>
      </w:r>
      <w:bookmarkEnd w:id="24"/>
    </w:p>
    <w:p>
      <w:pPr>
        <w:pStyle w:val="Heading3"/>
      </w:pPr>
      <w:bookmarkStart w:id="25" w:name="_TocMlat00025"/>
      <w:r>
        <w:t xml:space="preserve">Consumer Office edition on business device</w:t>
      </w:r>
      <w:bookmarkEnd w:id="25"/>
    </w:p>
    <w:p>
      <w:pPr>
        <w:keepNext/>
        <w:spacing w:after="100"/>
      </w:pPr>
      <w:r>
        <w:rPr>
          <w:b/>
          <w:bCs/>
          <w:color w:val="A61B1B"/>
          <w:sz w:val="16"/>
          <w:szCs w:val="16"/>
          <w:shd w:val="clear" w:color="auto" w:fill="FCE4E4"/>
        </w:rPr>
        <w:t xml:space="preserve"> HIGH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Office</w:t>
      </w:r>
      <w:r>
        <w:rPr>
          <w:color w:val="5B6475"/>
          <w:sz w:val="17"/>
          <w:szCs w:val="17"/>
        </w:rPr>
        <w:t xml:space="preserve">  ·  FND-0014</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PC-007 has Office Home &amp; Student 2021 installed.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Consumer editions (Home &amp; Student, Home, Microsoft 365 Family/Personal) are not licensed for commercial use - potential licensing gap.</w:t>
            </w:r>
          </w:p>
        </w:tc>
      </w:tr>
    </w:tbl>
    <w:p>
      <w:pPr>
        <w:spacing w:before="0" w:after="0" w:line="240" w:lineRule="auto"/>
        <w:rPr>
          <w:sz w:val="12"/>
          <w:szCs w:val="12"/>
        </w:rPr>
      </w:pPr>
    </w:p>
    <w:p>
      <w:r>
        <w:rPr>
          <w:b/>
          <w:bCs/>
        </w:rPr>
        <w:t xml:space="preserve">Recommendation: </w:t>
      </w:r>
      <w:r>
        <w:t xml:space="preserve">Replace with Microsoft 365 Apps for business/enterprise or Office Home &amp; Business / LTSC.</w:t>
      </w:r>
    </w:p>
    <w:p>
      <w:pPr>
        <w:pStyle w:val="Small"/>
      </w:pPr>
      <w:r>
        <w:rPr>
          <w:b/>
          <w:bCs/>
        </w:rPr>
        <w:t xml:space="preserve">Targets: </w:t>
      </w:r>
      <w:r>
        <w:t xml:space="preserve">PC-007</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PC-007</w:t>
            </w:r>
          </w:p>
        </w:tc>
        <w:tc>
          <w:tcPr>
            <w:tcW w:w="2535" w:type="dxa"/>
          </w:tcPr>
          <w:p>
            <w:pPr>
              <w:pStyle w:val="TableText"/>
            </w:pPr>
            <w:r>
              <w:rPr>
                <w:sz w:val="16"/>
                <w:szCs w:val="16"/>
              </w:rPr>
              <w:t xml:space="preserve">Installed product</w:t>
            </w:r>
          </w:p>
        </w:tc>
        <w:tc>
          <w:tcPr>
            <w:tcW w:w="3315" w:type="dxa"/>
          </w:tcPr>
          <w:p>
            <w:pPr>
              <w:pStyle w:val="TableText"/>
            </w:pPr>
            <w:r>
              <w:rPr>
                <w:sz w:val="16"/>
                <w:szCs w:val="16"/>
              </w:rPr>
              <w:t xml:space="preserve">Office Home &amp; Student 2021 (HomeStudent2021Retail)</w:t>
            </w:r>
          </w:p>
        </w:tc>
        <w:tc>
          <w:tcPr>
            <w:tcW w:w="1757" w:type="dxa"/>
          </w:tcPr>
          <w:p>
            <w:pPr>
              <w:pStyle w:val="TableText"/>
            </w:pPr>
            <w:r>
              <w:rPr>
                <w:sz w:val="16"/>
                <w:szCs w:val="16"/>
              </w:rPr>
              <w:t xml:space="preserve">Registry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RULE-OFFICE-015</w:t>
      </w:r>
      <w:r>
        <w:rPr>
          <w:sz w:val="16"/>
          <w:szCs w:val="16"/>
        </w:rPr>
        <w:t xml:space="preserve"> v1.0 — Consumer Office editions on business devices · Last reviewed: 2026-10-01</w:t>
      </w:r>
      <w:r>
        <w:rPr>
          <w:sz w:val="16"/>
          <w:szCs w:val="16"/>
        </w:rPr>
        <w:t xml:space="preserve"> · Source: </w:t>
      </w:r>
      <w:hyperlink r:id="rId107" w:history="1">
        <w:r>
          <w:rPr>
            <w:rStyle w:val="Hyperlink"/>
            <w:sz w:val="16"/>
            <w:szCs w:val="16"/>
          </w:rPr>
          <w:t xml:space="preserve">Microsoft Software License Terms (consumer Office)</w:t>
        </w:r>
      </w:hyperlink>
      <w:r>
        <w:rPr>
          <w:color w:val="5B6475"/>
          <w:sz w:val="15"/>
          <w:szCs w:val="15"/>
        </w:rPr>
        <w:t xml:space="preserve"> (https://www.microsoft.com/useterms)</w:t>
      </w:r>
    </w:p>
    <w:p>
      <w:pPr>
        <w:pStyle w:val="Heading3"/>
      </w:pPr>
      <w:bookmarkStart w:id="26" w:name="_TocMlat00026"/>
      <w:r>
        <w:t xml:space="preserve">Windows not activated</w:t>
      </w:r>
      <w:bookmarkEnd w:id="26"/>
    </w:p>
    <w:p>
      <w:pPr>
        <w:keepNext/>
        <w:spacing w:after="100"/>
      </w:pPr>
      <w:r>
        <w:rPr>
          <w:b/>
          <w:bCs/>
          <w:color w:val="A61B1B"/>
          <w:sz w:val="16"/>
          <w:szCs w:val="16"/>
          <w:shd w:val="clear" w:color="auto" w:fill="FCE4E4"/>
        </w:rPr>
        <w:t xml:space="preserve"> HIGH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Windows</w:t>
      </w:r>
      <w:r>
        <w:rPr>
          <w:color w:val="5B6475"/>
          <w:sz w:val="17"/>
          <w:szCs w:val="17"/>
        </w:rPr>
        <w:t xml:space="preserve">  ·  FND-0010</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PC-005: Windows 11 Pro license status 'Notification' (Retail).</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missing or invalid Windows license - validation required.</w:t>
            </w:r>
          </w:p>
        </w:tc>
      </w:tr>
    </w:tbl>
    <w:p>
      <w:pPr>
        <w:spacing w:before="0" w:after="0" w:line="240" w:lineRule="auto"/>
        <w:rPr>
          <w:sz w:val="12"/>
          <w:szCs w:val="12"/>
        </w:rPr>
      </w:pPr>
    </w:p>
    <w:p>
      <w:r>
        <w:rPr>
          <w:b/>
          <w:bCs/>
        </w:rPr>
        <w:t xml:space="preserve">Recommendation: </w:t>
      </w:r>
      <w:r>
        <w:t xml:space="preserve">Activate with a valid key (KMS / Active Directory-based activation for volume clients) or procure a Windows license.</w:t>
      </w:r>
    </w:p>
    <w:p>
      <w:pPr>
        <w:pStyle w:val="Small"/>
      </w:pPr>
      <w:r>
        <w:rPr>
          <w:b/>
          <w:bCs/>
        </w:rPr>
        <w:t xml:space="preserve">Targets: </w:t>
      </w:r>
      <w:r>
        <w:t xml:space="preserve">PC-005</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11 Pro (build 26100)</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Pro</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Physical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Windows license state</w:t>
            </w:r>
          </w:p>
        </w:tc>
        <w:tc>
          <w:tcPr>
            <w:tcW w:w="3315" w:type="dxa"/>
            <w:shd w:val="clear" w:color="auto" w:fill="FAFBFC"/>
          </w:tcPr>
          <w:p>
            <w:pPr>
              <w:pStyle w:val="TableText"/>
            </w:pPr>
            <w:r>
              <w:rPr>
                <w:sz w:val="16"/>
                <w:szCs w:val="16"/>
              </w:rPr>
              <w:t xml:space="preserve">Not activated (Notification)</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Activation channel</w:t>
            </w:r>
          </w:p>
        </w:tc>
        <w:tc>
          <w:tcPr>
            <w:tcW w:w="3315" w:type="dxa"/>
          </w:tcPr>
          <w:p>
            <w:pPr>
              <w:pStyle w:val="TableText"/>
            </w:pPr>
            <w:r>
              <w:rPr>
                <w:sz w:val="16"/>
                <w:szCs w:val="16"/>
              </w:rPr>
              <w:t xml:space="preserve">Retail</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Partial product key</w:t>
            </w:r>
          </w:p>
        </w:tc>
        <w:tc>
          <w:tcPr>
            <w:tcW w:w="3315" w:type="dxa"/>
            <w:shd w:val="clear" w:color="auto" w:fill="FAFBFC"/>
          </w:tcPr>
          <w:p>
            <w:pPr>
              <w:pStyle w:val="TableText"/>
            </w:pPr>
            <w:r>
              <w:rPr>
                <w:sz w:val="16"/>
                <w:szCs w:val="16"/>
              </w:rPr>
              <w:t xml:space="preserve">DEMO2</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Grace period remaining</w:t>
            </w:r>
          </w:p>
        </w:tc>
        <w:tc>
          <w:tcPr>
            <w:tcW w:w="3315" w:type="dxa"/>
          </w:tcPr>
          <w:p>
            <w:pPr>
              <w:pStyle w:val="TableText"/>
            </w:pPr>
            <w:r>
              <w:rPr>
                <w:sz w:val="16"/>
                <w:szCs w:val="16"/>
              </w:rPr>
              <w:t xml:space="preserve">0 day(s)</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Firmware (OEM) product key</w:t>
            </w:r>
          </w:p>
        </w:tc>
        <w:tc>
          <w:tcPr>
            <w:tcW w:w="3315" w:type="dxa"/>
            <w:shd w:val="clear" w:color="auto" w:fill="FAFBFC"/>
          </w:tcPr>
          <w:p>
            <w:pPr>
              <w:pStyle w:val="TableText"/>
            </w:pPr>
            <w:r>
              <w:rPr>
                <w:sz w:val="16"/>
                <w:szCs w:val="16"/>
              </w:rPr>
              <w:t xml:space="preserve">[4.0] Professional OEM:DM (description only - the key is never read)</w:t>
            </w:r>
          </w:p>
        </w:tc>
        <w:tc>
          <w:tcPr>
            <w:tcW w:w="1757" w:type="dxa"/>
            <w:shd w:val="clear" w:color="auto" w:fill="FAFBFC"/>
          </w:tcPr>
          <w:p>
            <w:pPr>
              <w:pStyle w:val="TableText"/>
            </w:pPr>
            <w:r>
              <w:rPr>
                <w:sz w:val="16"/>
                <w:szCs w:val="16"/>
              </w:rPr>
              <w:t xml:space="preserve">WMI (SoftwareLicensingService)</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Collected via</w:t>
            </w:r>
          </w:p>
        </w:tc>
        <w:tc>
          <w:tcPr>
            <w:tcW w:w="3315" w:type="dxa"/>
          </w:tcPr>
          <w:p>
            <w:pPr>
              <w:pStyle w:val="TableText"/>
            </w:pPr>
            <w:r>
              <w:rPr>
                <w:sz w:val="16"/>
                <w:szCs w:val="16"/>
              </w:rPr>
              <w:t xml:space="preserve">WMI / DCOM (TCP 135) - 10.10.30.105 [Range 10.10.30.0/24] as Domain admin (DEMO)</w:t>
            </w:r>
          </w:p>
        </w:tc>
        <w:tc>
          <w:tcPr>
            <w:tcW w:w="1757" w:type="dxa"/>
          </w:tcPr>
          <w:p>
            <w:pPr>
              <w:pStyle w:val="TableText"/>
            </w:pPr>
            <w:r>
              <w:rPr>
                <w:sz w:val="16"/>
                <w:szCs w:val="16"/>
              </w:rPr>
              <w:t xml:space="preserve">Scanned (WMI)</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RULE-WINCLIENT-010</w:t>
      </w:r>
      <w:r>
        <w:rPr>
          <w:sz w:val="16"/>
          <w:szCs w:val="16"/>
        </w:rPr>
        <w:t xml:space="preserve"> v1.1 — Windows activation and license state (servers and clients) · Last reviewed: 2026-10-02</w:t>
      </w:r>
      <w:r>
        <w:rPr>
          <w:sz w:val="16"/>
          <w:szCs w:val="16"/>
        </w:rPr>
        <w:t xml:space="preserve"> · Source: </w:t>
      </w:r>
      <w:hyperlink r:id="rId108" w:history="1">
        <w:r>
          <w:rPr>
            <w:rStyle w:val="Hyperlink"/>
            <w:sz w:val="16"/>
            <w:szCs w:val="16"/>
          </w:rPr>
          <w:t xml:space="preserve">Microsoft Learn - Windows commercial licensing overview</w:t>
        </w:r>
      </w:hyperlink>
      <w:r>
        <w:rPr>
          <w:color w:val="5B6475"/>
          <w:sz w:val="15"/>
          <w:szCs w:val="15"/>
        </w:rPr>
        <w:t xml:space="preserve"> (https://learn.microsoft.com/windows/whats-new/windows-licensing)</w:t>
      </w:r>
    </w:p>
    <w:p>
      <w:pPr>
        <w:pStyle w:val="Heading3"/>
      </w:pPr>
      <w:bookmarkStart w:id="27" w:name="_TocMlat00027"/>
      <w:r>
        <w:t xml:space="preserve">Windows Server: no product key installed</w:t>
      </w:r>
      <w:bookmarkEnd w:id="27"/>
    </w:p>
    <w:p>
      <w:pPr>
        <w:keepNext/>
        <w:spacing w:after="100"/>
      </w:pPr>
      <w:r>
        <w:rPr>
          <w:b/>
          <w:bCs/>
          <w:color w:val="A61B1B"/>
          <w:sz w:val="16"/>
          <w:szCs w:val="16"/>
          <w:shd w:val="clear" w:color="auto" w:fill="FCE4E4"/>
        </w:rPr>
        <w:t xml:space="preserve"> HIGH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Windows Server</w:t>
      </w:r>
      <w:r>
        <w:rPr>
          <w:color w:val="5B6475"/>
          <w:sz w:val="17"/>
          <w:szCs w:val="17"/>
        </w:rPr>
        <w:t xml:space="preserve">  ·  FND-0012</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FS01: the Windows licensing service answered but no Windows product key is installed (Windows Server 2016 Standard).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validation required. Potential requirement: a qualifying Windows Server license. The server is counted in the Windows Server core-license calculation of its host (or as a physical server); without an installed product key Windows Server is not activated.</w:t>
            </w:r>
          </w:p>
        </w:tc>
      </w:tr>
    </w:tbl>
    <w:p>
      <w:pPr>
        <w:spacing w:before="0" w:after="0" w:line="240" w:lineRule="auto"/>
        <w:rPr>
          <w:sz w:val="12"/>
          <w:szCs w:val="12"/>
        </w:rPr>
      </w:pPr>
    </w:p>
    <w:p>
      <w:r>
        <w:rPr>
          <w:b/>
          <w:bCs/>
        </w:rPr>
        <w:t xml:space="preserve">Recommendation: </w:t>
      </w:r>
      <w:r>
        <w:t xml:space="preserve">Install and activate a product key matching the edition (KMS client setup key, MAK, AVMA or retail) and confirm the Windows Server licenses assigned to the hardware.</w:t>
      </w:r>
    </w:p>
    <w:p>
      <w:pPr>
        <w:pStyle w:val="Small"/>
      </w:pPr>
      <w:r>
        <w:rPr>
          <w:b/>
          <w:bCs/>
        </w:rPr>
        <w:t xml:space="preserve">Targets: </w:t>
      </w:r>
      <w:r>
        <w:t xml:space="preserve">FS01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FS01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2016 Standard (build 14393)</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FS01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FS01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(Hyper-V)</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FS01</w:t>
            </w:r>
          </w:p>
        </w:tc>
        <w:tc>
          <w:tcPr>
            <w:tcW w:w="2535" w:type="dxa"/>
            <w:shd w:val="clear" w:color="auto" w:fill="FAFBFC"/>
          </w:tcPr>
          <w:p>
            <w:pPr>
              <w:pStyle w:val="TableText"/>
            </w:pPr>
            <w:r>
              <w:rPr>
                <w:sz w:val="16"/>
                <w:szCs w:val="16"/>
              </w:rPr>
              <w:t xml:space="preserve">Windows license state</w:t>
            </w:r>
          </w:p>
        </w:tc>
        <w:tc>
          <w:tcPr>
            <w:tcW w:w="3315" w:type="dxa"/>
            <w:shd w:val="clear" w:color="auto" w:fill="FAFBFC"/>
          </w:tcPr>
          <w:p>
            <w:pPr>
              <w:pStyle w:val="TableText"/>
            </w:pPr>
            <w:r>
              <w:rPr>
                <w:sz w:val="16"/>
                <w:szCs w:val="16"/>
              </w:rPr>
              <w:t xml:space="preserve">No product key installed</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FS01</w:t>
            </w:r>
          </w:p>
        </w:tc>
        <w:tc>
          <w:tcPr>
            <w:tcW w:w="2535" w:type="dxa"/>
          </w:tcPr>
          <w:p>
            <w:pPr>
              <w:pStyle w:val="TableText"/>
            </w:pPr>
            <w:r>
              <w:rPr>
                <w:sz w:val="16"/>
                <w:szCs w:val="16"/>
              </w:rPr>
              <w:t xml:space="preserve">Collected via</w:t>
            </w:r>
          </w:p>
        </w:tc>
        <w:tc>
          <w:tcPr>
            <w:tcW w:w="3315" w:type="dxa"/>
          </w:tcPr>
          <w:p>
            <w:pPr>
              <w:pStyle w:val="TableText"/>
            </w:pPr>
            <w:r>
              <w:rPr>
                <w:sz w:val="16"/>
                <w:szCs w:val="16"/>
              </w:rPr>
              <w:t xml:space="preserve">WMI / DCOM (TCP 135) - 10.10.20.12 [Range 10.10.20.0/24] as Domain admin (DEMO)</w:t>
            </w:r>
          </w:p>
        </w:tc>
        <w:tc>
          <w:tcPr>
            <w:tcW w:w="1757" w:type="dxa"/>
          </w:tcPr>
          <w:p>
            <w:pPr>
              <w:pStyle w:val="TableText"/>
            </w:pPr>
            <w:r>
              <w:rPr>
                <w:sz w:val="16"/>
                <w:szCs w:val="16"/>
              </w:rPr>
              <w:t xml:space="preserve">Scanned (WMI)</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RULE-WINCLIENT-010</w:t>
      </w:r>
      <w:r>
        <w:rPr>
          <w:sz w:val="16"/>
          <w:szCs w:val="16"/>
        </w:rPr>
        <w:t xml:space="preserve"> v1.1 — Windows activation and license state (servers and clients) · Last reviewed: 2026-10-02</w:t>
      </w:r>
      <w:r>
        <w:rPr>
          <w:sz w:val="16"/>
          <w:szCs w:val="16"/>
        </w:rPr>
        <w:t xml:space="preserve"> · Source: </w:t>
      </w:r>
      <w:hyperlink r:id="rId109" w:history="1">
        <w:r>
          <w:rPr>
            <w:rStyle w:val="Hyperlink"/>
            <w:sz w:val="16"/>
            <w:szCs w:val="16"/>
          </w:rPr>
          <w:t xml:space="preserve">Microsoft Learn - Windows commercial licensing overview</w:t>
        </w:r>
      </w:hyperlink>
      <w:r>
        <w:rPr>
          <w:color w:val="5B6475"/>
          <w:sz w:val="15"/>
          <w:szCs w:val="15"/>
        </w:rPr>
        <w:t xml:space="preserve"> (https://learn.microsoft.com/windows/whats-new/windows-licensing)</w:t>
      </w:r>
    </w:p>
    <w:p>
      <w:pPr>
        <w:pStyle w:val="Heading2"/>
      </w:pPr>
      <w:bookmarkStart w:id="28" w:name="_TocMlat00028"/>
      <w:r>
        <w:t xml:space="preserve">Medium severity (20)</w:t>
      </w:r>
      <w:bookmarkEnd w:id="28"/>
    </w:p>
    <w:p>
      <w:pPr>
        <w:pStyle w:val="Heading3"/>
      </w:pPr>
      <w:bookmarkStart w:id="29" w:name="_TocMlat00029"/>
      <w:r>
        <w:t xml:space="preserve">4 active AD servers were not assessed</w:t>
      </w:r>
      <w:bookmarkEnd w:id="29"/>
    </w:p>
    <w:p>
      <w:pPr>
        <w:keepNext/>
        <w:spacing w:after="100"/>
      </w:pPr>
      <w:r>
        <w:rPr>
          <w:b/>
          <w:bCs/>
          <w:color w:val="7A5600"/>
          <w:sz w:val="16"/>
          <w:szCs w:val="16"/>
          <w:shd w:val="clear" w:color="auto" w:fill="FFF2CC"/>
        </w:rPr>
        <w:t xml:space="preserve"> MEDIUM </w:t>
      </w:r>
      <w:r>
        <w:rPr>
          <w:sz w:val="17"/>
          <w:szCs w:val="17"/>
        </w:rPr>
        <w:t xml:space="preserve">  </w:t>
      </w:r>
      <w:r>
        <w:rPr>
          <w:b/>
          <w:bCs/>
          <w:color w:val="4A5160"/>
          <w:sz w:val="17"/>
          <w:szCs w:val="17"/>
          <w:shd w:val="clear" w:color="auto" w:fill="ECEEF2"/>
        </w:rPr>
        <w:t xml:space="preserve"> Unable to Determine </w:t>
      </w:r>
      <w:r>
        <w:rPr>
          <w:color w:val="5B6475"/>
          <w:sz w:val="17"/>
          <w:szCs w:val="17"/>
        </w:rPr>
        <w:t xml:space="preserve">   Confidence: Medium</w:t>
      </w:r>
      <w:r>
        <w:rPr>
          <w:color w:val="5B6475"/>
          <w:sz w:val="17"/>
          <w:szCs w:val="17"/>
        </w:rPr>
        <w:t xml:space="preserve">  ·  Data collection</w:t>
      </w:r>
      <w:r>
        <w:rPr>
          <w:color w:val="5B6475"/>
          <w:sz w:val="17"/>
          <w:szCs w:val="17"/>
        </w:rPr>
        <w:t xml:space="preserve">  ·  FND-0037</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4 enabled server computer objects with recent logons in Active Directory were not inventoried (e.g. PRINT01, WEB01, WEB02, APP02).</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Windows Server, SQL Server and other server licensing for these machines is not included in the calculation.</w:t>
            </w:r>
          </w:p>
        </w:tc>
      </w:tr>
    </w:tbl>
    <w:p>
      <w:pPr>
        <w:spacing w:before="0" w:after="0" w:line="240" w:lineRule="auto"/>
        <w:rPr>
          <w:sz w:val="12"/>
          <w:szCs w:val="12"/>
        </w:rPr>
      </w:pPr>
    </w:p>
    <w:p>
      <w:r>
        <w:rPr>
          <w:b/>
          <w:bCs/>
        </w:rPr>
        <w:t xml:space="preserve">Recommendation: </w:t>
      </w:r>
      <w:r>
        <w:t xml:space="preserve">Scan these servers (Windows Servers scope) or import their collector files.</w:t>
      </w:r>
    </w:p>
    <w:p>
      <w:pPr>
        <w:pStyle w:val="Small"/>
      </w:pPr>
      <w:r>
        <w:rPr>
          <w:b/>
          <w:bCs/>
        </w:rPr>
        <w:t xml:space="preserve">Targets: </w:t>
      </w:r>
      <w:r>
        <w:t xml:space="preserve">PRINT01, WEB01, WEB02, APP02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PRINT01</w:t>
            </w:r>
          </w:p>
        </w:tc>
        <w:tc>
          <w:tcPr>
            <w:tcW w:w="2535" w:type="dxa"/>
          </w:tcPr>
          <w:p>
            <w:pPr>
              <w:pStyle w:val="TableText"/>
            </w:pPr>
            <w:r>
              <w:rPr>
                <w:sz w:val="16"/>
                <w:szCs w:val="16"/>
              </w:rPr>
              <w:t xml:space="preserve">Active Directory computer</w:t>
            </w:r>
          </w:p>
        </w:tc>
        <w:tc>
          <w:tcPr>
            <w:tcW w:w="3315" w:type="dxa"/>
          </w:tcPr>
          <w:p>
            <w:pPr>
              <w:pStyle w:val="TableText"/>
            </w:pPr>
            <w:r>
              <w:rPr>
                <w:sz w:val="16"/>
                <w:szCs w:val="16"/>
              </w:rPr>
              <w:t xml:space="preserve">Server, enabled, active</w:t>
            </w:r>
          </w:p>
        </w:tc>
        <w:tc>
          <w:tcPr>
            <w:tcW w:w="1757" w:type="dxa"/>
          </w:tcPr>
          <w:p>
            <w:pPr>
              <w:pStyle w:val="TableText"/>
            </w:pPr>
            <w:r>
              <w:rPr>
                <w:sz w:val="16"/>
                <w:szCs w:val="16"/>
              </w:rPr>
              <w:t xml:space="preserve">Active Directory</w:t>
            </w:r>
          </w:p>
        </w:tc>
      </w:tr>
      <w:tr>
        <w:trPr>
          <w:cantSplit/>
        </w:trPr>
        <w:tc>
          <w:tcPr>
            <w:tcW w:w="2145" w:type="dxa"/>
            <w:shd w:val="clear" w:color="auto" w:fill="FAFBFC"/>
          </w:tcPr>
          <w:p>
            <w:pPr>
              <w:pStyle w:val="TableText"/>
            </w:pPr>
            <w:r>
              <w:rPr>
                <w:sz w:val="16"/>
                <w:szCs w:val="16"/>
              </w:rPr>
              <w:t xml:space="preserve">WEB01</w:t>
            </w:r>
          </w:p>
        </w:tc>
        <w:tc>
          <w:tcPr>
            <w:tcW w:w="2535" w:type="dxa"/>
            <w:shd w:val="clear" w:color="auto" w:fill="FAFBFC"/>
          </w:tcPr>
          <w:p>
            <w:pPr>
              <w:pStyle w:val="TableText"/>
            </w:pPr>
            <w:r>
              <w:rPr>
                <w:sz w:val="16"/>
                <w:szCs w:val="16"/>
              </w:rPr>
              <w:t xml:space="preserve">Active Directory computer</w:t>
            </w:r>
          </w:p>
        </w:tc>
        <w:tc>
          <w:tcPr>
            <w:tcW w:w="3315" w:type="dxa"/>
            <w:shd w:val="clear" w:color="auto" w:fill="FAFBFC"/>
          </w:tcPr>
          <w:p>
            <w:pPr>
              <w:pStyle w:val="TableText"/>
            </w:pPr>
            <w:r>
              <w:rPr>
                <w:sz w:val="16"/>
                <w:szCs w:val="16"/>
              </w:rPr>
              <w:t xml:space="preserve">Server, enabled, active</w:t>
            </w:r>
          </w:p>
        </w:tc>
        <w:tc>
          <w:tcPr>
            <w:tcW w:w="1757" w:type="dxa"/>
            <w:shd w:val="clear" w:color="auto" w:fill="FAFBFC"/>
          </w:tcPr>
          <w:p>
            <w:pPr>
              <w:pStyle w:val="TableText"/>
            </w:pPr>
            <w:r>
              <w:rPr>
                <w:sz w:val="16"/>
                <w:szCs w:val="16"/>
              </w:rPr>
              <w:t xml:space="preserve">Active Directory</w:t>
            </w:r>
          </w:p>
        </w:tc>
      </w:tr>
      <w:tr>
        <w:trPr>
          <w:cantSplit/>
        </w:trPr>
        <w:tc>
          <w:tcPr>
            <w:tcW w:w="2145" w:type="dxa"/>
          </w:tcPr>
          <w:p>
            <w:pPr>
              <w:pStyle w:val="TableText"/>
            </w:pPr>
            <w:r>
              <w:rPr>
                <w:sz w:val="16"/>
                <w:szCs w:val="16"/>
              </w:rPr>
              <w:t xml:space="preserve">WEB02</w:t>
            </w:r>
          </w:p>
        </w:tc>
        <w:tc>
          <w:tcPr>
            <w:tcW w:w="2535" w:type="dxa"/>
          </w:tcPr>
          <w:p>
            <w:pPr>
              <w:pStyle w:val="TableText"/>
            </w:pPr>
            <w:r>
              <w:rPr>
                <w:sz w:val="16"/>
                <w:szCs w:val="16"/>
              </w:rPr>
              <w:t xml:space="preserve">Active Directory computer</w:t>
            </w:r>
          </w:p>
        </w:tc>
        <w:tc>
          <w:tcPr>
            <w:tcW w:w="3315" w:type="dxa"/>
          </w:tcPr>
          <w:p>
            <w:pPr>
              <w:pStyle w:val="TableText"/>
            </w:pPr>
            <w:r>
              <w:rPr>
                <w:sz w:val="16"/>
                <w:szCs w:val="16"/>
              </w:rPr>
              <w:t xml:space="preserve">Server, enabled, active</w:t>
            </w:r>
          </w:p>
        </w:tc>
        <w:tc>
          <w:tcPr>
            <w:tcW w:w="1757" w:type="dxa"/>
          </w:tcPr>
          <w:p>
            <w:pPr>
              <w:pStyle w:val="TableText"/>
            </w:pPr>
            <w:r>
              <w:rPr>
                <w:sz w:val="16"/>
                <w:szCs w:val="16"/>
              </w:rPr>
              <w:t xml:space="preserve">Active Directory</w:t>
            </w:r>
          </w:p>
        </w:tc>
      </w:tr>
      <w:tr>
        <w:trPr>
          <w:cantSplit/>
        </w:trPr>
        <w:tc>
          <w:tcPr>
            <w:tcW w:w="2145" w:type="dxa"/>
            <w:shd w:val="clear" w:color="auto" w:fill="FAFBFC"/>
          </w:tcPr>
          <w:p>
            <w:pPr>
              <w:pStyle w:val="TableText"/>
            </w:pPr>
            <w:r>
              <w:rPr>
                <w:sz w:val="16"/>
                <w:szCs w:val="16"/>
              </w:rPr>
              <w:t xml:space="preserve">APP02</w:t>
            </w:r>
          </w:p>
        </w:tc>
        <w:tc>
          <w:tcPr>
            <w:tcW w:w="2535" w:type="dxa"/>
            <w:shd w:val="clear" w:color="auto" w:fill="FAFBFC"/>
          </w:tcPr>
          <w:p>
            <w:pPr>
              <w:pStyle w:val="TableText"/>
            </w:pPr>
            <w:r>
              <w:rPr>
                <w:sz w:val="16"/>
                <w:szCs w:val="16"/>
              </w:rPr>
              <w:t xml:space="preserve">Active Directory computer</w:t>
            </w:r>
          </w:p>
        </w:tc>
        <w:tc>
          <w:tcPr>
            <w:tcW w:w="3315" w:type="dxa"/>
            <w:shd w:val="clear" w:color="auto" w:fill="FAFBFC"/>
          </w:tcPr>
          <w:p>
            <w:pPr>
              <w:pStyle w:val="TableText"/>
            </w:pPr>
            <w:r>
              <w:rPr>
                <w:sz w:val="16"/>
                <w:szCs w:val="16"/>
              </w:rPr>
              <w:t xml:space="preserve">Server, enabled, active</w:t>
            </w:r>
          </w:p>
        </w:tc>
        <w:tc>
          <w:tcPr>
            <w:tcW w:w="1757" w:type="dxa"/>
            <w:shd w:val="clear" w:color="auto" w:fill="FAFBFC"/>
          </w:tcPr>
          <w:p>
            <w:pPr>
              <w:pStyle w:val="TableText"/>
            </w:pPr>
            <w:r>
              <w:rPr>
                <w:sz w:val="16"/>
                <w:szCs w:val="16"/>
              </w:rPr>
              <w:t xml:space="preserve">Active Directory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RULE-HYGIENE-029</w:t>
      </w:r>
      <w:r>
        <w:rPr>
          <w:sz w:val="16"/>
          <w:szCs w:val="16"/>
        </w:rPr>
        <w:t xml:space="preserve"> v1.0 — Licensing hygiene (evaluation editions, activation channels, data coverage) · Last reviewed: 2026-10-01</w:t>
      </w:r>
      <w:r>
        <w:rPr>
          <w:sz w:val="16"/>
          <w:szCs w:val="16"/>
        </w:rPr>
        <w:t xml:space="preserve"> · Source: </w:t>
      </w:r>
      <w:hyperlink r:id="rId110" w:history="1">
        <w:r>
          <w:rPr>
            <w:rStyle w:val="Hyperlink"/>
            <w:sz w:val="16"/>
            <w:szCs w:val="16"/>
          </w:rPr>
          <w:t xml:space="preserve">Microsoft Product Terms</w:t>
        </w:r>
      </w:hyperlink>
      <w:r>
        <w:rPr>
          <w:color w:val="5B6475"/>
          <w:sz w:val="15"/>
          <w:szCs w:val="15"/>
        </w:rPr>
        <w:t xml:space="preserve"> (https://www.microsoft.com/licensing/terms/)</w:t>
      </w:r>
    </w:p>
    <w:p>
      <w:pPr>
        <w:pStyle w:val="Heading3"/>
      </w:pPr>
      <w:bookmarkStart w:id="30" w:name="_TocMlat00030"/>
      <w:r>
        <w:t xml:space="preserve">Conditional Access in use - Entra ID P1 coverage not confirmed</w:t>
      </w:r>
      <w:bookmarkEnd w:id="30"/>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Identity</w:t>
      </w:r>
      <w:r>
        <w:rPr>
          <w:color w:val="5B6475"/>
          <w:sz w:val="17"/>
          <w:szCs w:val="17"/>
        </w:rPr>
        <w:t xml:space="preserve">  ·  FND-0017</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6 Conditional Access policies are enabled; 141 of 168 enabled members have Entra ID P1/P2 assigned.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validation required.</w:t>
            </w:r>
          </w:p>
        </w:tc>
      </w:tr>
    </w:tbl>
    <w:p>
      <w:pPr>
        <w:spacing w:before="0" w:after="0" w:line="240" w:lineRule="auto"/>
        <w:rPr>
          <w:sz w:val="12"/>
          <w:szCs w:val="12"/>
        </w:rPr>
      </w:pPr>
    </w:p>
    <w:p>
      <w:r>
        <w:rPr>
          <w:b/>
          <w:bCs/>
        </w:rPr>
        <w:t xml:space="preserve">Recommendation: </w:t>
      </w:r>
      <w:r>
        <w:t xml:space="preserve">Assign Entra ID P1 (or a suite including it) to all users in policy scope.</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Enabled Conditional Access policies</w:t>
            </w:r>
          </w:p>
        </w:tc>
        <w:tc>
          <w:tcPr>
            <w:tcW w:w="3315" w:type="dxa"/>
          </w:tcPr>
          <w:p>
            <w:pPr>
              <w:pStyle w:val="TableText"/>
            </w:pPr>
            <w:r>
              <w:rPr>
                <w:sz w:val="16"/>
                <w:szCs w:val="16"/>
              </w:rPr>
              <w:t xml:space="preserve">6</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Report-only policies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A policy targets all users</w:t>
            </w:r>
          </w:p>
        </w:tc>
        <w:tc>
          <w:tcPr>
            <w:tcW w:w="3315" w:type="dxa"/>
          </w:tcPr>
          <w:p>
            <w:pPr>
              <w:pStyle w:val="TableText"/>
            </w:pPr>
            <w:r>
              <w:rPr>
                <w:sz w:val="16"/>
                <w:szCs w:val="16"/>
              </w:rPr>
              <w:t xml:space="preserve">True</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Enabled member users</w:t>
            </w:r>
          </w:p>
        </w:tc>
        <w:tc>
          <w:tcPr>
            <w:tcW w:w="3315" w:type="dxa"/>
            <w:shd w:val="clear" w:color="auto" w:fill="FAFBFC"/>
          </w:tcPr>
          <w:p>
            <w:pPr>
              <w:pStyle w:val="TableText"/>
            </w:pPr>
            <w:r>
              <w:rPr>
                <w:sz w:val="16"/>
                <w:szCs w:val="16"/>
              </w:rPr>
              <w:t xml:space="preserve">168</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Entra ID P1/P2 assigned</w:t>
            </w:r>
          </w:p>
        </w:tc>
        <w:tc>
          <w:tcPr>
            <w:tcW w:w="3315" w:type="dxa"/>
          </w:tcPr>
          <w:p>
            <w:pPr>
              <w:pStyle w:val="TableText"/>
            </w:pPr>
            <w:r>
              <w:rPr>
                <w:sz w:val="16"/>
                <w:szCs w:val="16"/>
              </w:rPr>
              <w:t xml:space="preserve">141</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RULE-ENTRA-023</w:t>
      </w:r>
      <w:r>
        <w:rPr>
          <w:sz w:val="16"/>
          <w:szCs w:val="16"/>
        </w:rPr>
        <w:t xml:space="preserve"> v1.0 — Microsoft Entra ID P1 features (Conditional Access) · Last reviewed: 2026-10-01</w:t>
      </w:r>
      <w:r>
        <w:rPr>
          <w:sz w:val="16"/>
          <w:szCs w:val="16"/>
        </w:rPr>
        <w:t xml:space="preserve"> · Source: </w:t>
      </w:r>
      <w:hyperlink r:id="rId111" w:history="1">
        <w:r>
          <w:rPr>
            <w:rStyle w:val="Hyperlink"/>
            <w:sz w:val="16"/>
            <w:szCs w:val="16"/>
          </w:rPr>
          <w:t xml:space="preserve">Microsoft Learn - Microsoft Entra licensing</w:t>
        </w:r>
      </w:hyperlink>
      <w:r>
        <w:rPr>
          <w:color w:val="5B6475"/>
          <w:sz w:val="15"/>
          <w:szCs w:val="15"/>
        </w:rPr>
        <w:t xml:space="preserve"> (https://learn.microsoft.com/entra/fundamentals/licensing)</w:t>
      </w:r>
    </w:p>
    <w:p>
      <w:pPr>
        <w:pStyle w:val="Heading3"/>
      </w:pPr>
      <w:bookmarkStart w:id="31" w:name="_TocMlat00031"/>
      <w:r>
        <w:t xml:space="preserve">Identity Protection (risk-based) features in use</w:t>
      </w:r>
      <w:bookmarkEnd w:id="31"/>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Identity</w:t>
      </w:r>
      <w:r>
        <w:rPr>
          <w:color w:val="5B6475"/>
          <w:sz w:val="17"/>
          <w:szCs w:val="17"/>
        </w:rPr>
        <w:t xml:space="preserve">  ·  FND-0018</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Risk-based policies: 1; users at risk: 2; P2-licensed users: 0.</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validation required: users protected by risk-based policies need Entra ID P2.</w:t>
            </w:r>
          </w:p>
        </w:tc>
      </w:tr>
    </w:tbl>
    <w:p>
      <w:pPr>
        <w:spacing w:before="0" w:after="0" w:line="240" w:lineRule="auto"/>
        <w:rPr>
          <w:sz w:val="12"/>
          <w:szCs w:val="12"/>
        </w:rPr>
      </w:pPr>
    </w:p>
    <w:p>
      <w:r>
        <w:rPr>
          <w:b/>
          <w:bCs/>
        </w:rPr>
        <w:t xml:space="preserve">Recommendation: </w:t>
      </w:r>
      <w:r>
        <w:t xml:space="preserve">Validate the in-scope population and P2 assignment.</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Risk-based Conditional Access policies</w:t>
            </w:r>
          </w:p>
        </w:tc>
        <w:tc>
          <w:tcPr>
            <w:tcW w:w="3315" w:type="dxa"/>
          </w:tcPr>
          <w:p>
            <w:pPr>
              <w:pStyle w:val="TableText"/>
            </w:pPr>
            <w:r>
              <w:rPr>
                <w:sz w:val="16"/>
                <w:szCs w:val="16"/>
              </w:rPr>
              <w:t xml:space="preserve">1</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Users currently at risk</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Entra ID P2 assigned</w:t>
            </w:r>
          </w:p>
        </w:tc>
        <w:tc>
          <w:tcPr>
            <w:tcW w:w="3315" w:type="dxa"/>
          </w:tcPr>
          <w:p>
            <w:pPr>
              <w:pStyle w:val="TableText"/>
            </w:pPr>
            <w:r>
              <w:rPr>
                <w:sz w:val="16"/>
                <w:szCs w:val="16"/>
              </w:rPr>
              <w:t xml:space="preserve">0</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RULE-ENTRA-024</w:t>
      </w:r>
      <w:r>
        <w:rPr>
          <w:sz w:val="16"/>
          <w:szCs w:val="16"/>
        </w:rPr>
        <w:t xml:space="preserve"> v1.0 — Microsoft Entra ID P2 / ID Governance features · Last reviewed: 2026-10-01</w:t>
      </w:r>
      <w:r>
        <w:rPr>
          <w:sz w:val="16"/>
          <w:szCs w:val="16"/>
        </w:rPr>
        <w:t xml:space="preserve"> · Source: </w:t>
      </w:r>
      <w:hyperlink r:id="rId112" w:history="1">
        <w:r>
          <w:rPr>
            <w:rStyle w:val="Hyperlink"/>
            <w:sz w:val="16"/>
            <w:szCs w:val="16"/>
          </w:rPr>
          <w:t xml:space="preserve">Microsoft Learn - Microsoft Entra licensing</w:t>
        </w:r>
      </w:hyperlink>
      <w:r>
        <w:rPr>
          <w:color w:val="5B6475"/>
          <w:sz w:val="15"/>
          <w:szCs w:val="15"/>
        </w:rPr>
        <w:t xml:space="preserve"> (https://learn.microsoft.com/entra/fundamentals/licensing)</w:t>
      </w:r>
    </w:p>
    <w:p>
      <w:pPr>
        <w:pStyle w:val="Heading3"/>
      </w:pPr>
      <w:bookmarkStart w:id="32" w:name="_TocMlat00032"/>
      <w:r>
        <w:t xml:space="preserve">License line could not be mapped</w:t>
      </w:r>
      <w:bookmarkEnd w:id="32"/>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License inventory</w:t>
      </w:r>
      <w:r>
        <w:rPr>
          <w:color w:val="5B6475"/>
          <w:sz w:val="17"/>
          <w:szCs w:val="17"/>
        </w:rPr>
        <w:t xml:space="preserve">  ·  FND-0038</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License line 'Third-party backup agent (non-Microsoft)' (SKU 'BKP-AGENT-01', qty 50) does not match any SKU in the licensing rules catalog.</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The line is not used in the gap analysis, so coverage may be understated.</w:t>
            </w:r>
          </w:p>
        </w:tc>
      </w:tr>
    </w:tbl>
    <w:p>
      <w:pPr>
        <w:spacing w:before="0" w:after="0" w:line="240" w:lineRule="auto"/>
        <w:rPr>
          <w:sz w:val="12"/>
          <w:szCs w:val="12"/>
        </w:rPr>
      </w:pPr>
    </w:p>
    <w:p>
      <w:r>
        <w:rPr>
          <w:b/>
          <w:bCs/>
        </w:rPr>
        <w:t xml:space="preserve">Recommendation: </w:t>
      </w:r>
      <w:r>
        <w:t xml:space="preserve">Set the SKU column to a catalog SKU id (see the SKU Reference) or extend the rules package.</w:t>
      </w:r>
    </w:p>
    <w:p>
      <w:pPr>
        <w:pStyle w:val="Small"/>
      </w:pPr>
      <w:r>
        <w:rPr>
          <w:b/>
          <w:bCs/>
        </w:rPr>
        <w:t xml:space="preserve">Targets: </w:t>
      </w:r>
      <w:r>
        <w:t xml:space="preserve">Third-party backup agent (non-Microsoft)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Third-party backup agent (non-Microsoft)</w:t>
            </w:r>
          </w:p>
        </w:tc>
        <w:tc>
          <w:tcPr>
            <w:tcW w:w="2535" w:type="dxa"/>
          </w:tcPr>
          <w:p>
            <w:pPr>
              <w:pStyle w:val="TableText"/>
            </w:pPr>
            <w:r>
              <w:rPr>
                <w:sz w:val="16"/>
                <w:szCs w:val="16"/>
              </w:rPr>
              <w:t xml:space="preserve">License inventory line</w:t>
            </w:r>
          </w:p>
        </w:tc>
        <w:tc>
          <w:tcPr>
            <w:tcW w:w="3315" w:type="dxa"/>
          </w:tcPr>
          <w:p>
            <w:pPr>
              <w:pStyle w:val="TableText"/>
            </w:pPr>
            <w:r>
              <w:rPr>
                <w:sz w:val="16"/>
                <w:szCs w:val="16"/>
              </w:rPr>
              <w:t xml:space="preserve">License line 'Third-party backup agent (non-Microsoft)' (SKU 'BKP-AGENT-01', qty 50) does not match any SKU in the licensing rules catalog.</w:t>
            </w:r>
          </w:p>
        </w:tc>
        <w:tc>
          <w:tcPr>
            <w:tcW w:w="1757" w:type="dxa"/>
          </w:tcPr>
          <w:p>
            <w:pPr>
              <w:pStyle w:val="TableText"/>
            </w:pPr>
            <w:r>
              <w:rPr>
                <w:sz w:val="16"/>
                <w:szCs w:val="16"/>
              </w:rPr>
              <w:t xml:space="preserve">Customer input</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RULE-INVENTORY-030</w:t>
      </w:r>
      <w:r>
        <w:rPr>
          <w:sz w:val="16"/>
          <w:szCs w:val="16"/>
        </w:rPr>
        <w:t xml:space="preserve"> v1.0 — License inventory validation · Last reviewed: 2026-10-01</w:t>
      </w:r>
      <w:r>
        <w:rPr>
          <w:sz w:val="16"/>
          <w:szCs w:val="16"/>
        </w:rPr>
        <w:t xml:space="preserve"> · Source: </w:t>
      </w:r>
      <w:hyperlink r:id="rId113" w:history="1">
        <w:r>
          <w:rPr>
            <w:rStyle w:val="Hyperlink"/>
            <w:sz w:val="16"/>
            <w:szCs w:val="16"/>
          </w:rPr>
          <w:t xml:space="preserve">Customer license records</w:t>
        </w:r>
      </w:hyperlink>
      <w:r>
        <w:rPr>
          <w:color w:val="5B6475"/>
          <w:sz w:val="15"/>
          <w:szCs w:val="15"/>
        </w:rPr>
        <w:t xml:space="preserve"> (https://www.microsoft.com/licensing/terms/)</w:t>
      </w:r>
    </w:p>
    <w:p>
      <w:pPr>
        <w:pStyle w:val="Heading3"/>
      </w:pPr>
      <w:bookmarkStart w:id="33" w:name="_TocMlat00033"/>
      <w:r>
        <w:t xml:space="preserve">Licenses held at an earlier version: Remote Desktop Services CAL (User)</w:t>
      </w:r>
      <w:bookmarkEnd w:id="33"/>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License inventory</w:t>
      </w:r>
      <w:r>
        <w:rPr>
          <w:color w:val="5B6475"/>
          <w:sz w:val="17"/>
          <w:szCs w:val="17"/>
        </w:rPr>
        <w:t xml:space="preserve">  ·  FND-0041</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25 user license(s) are held but not applied: RDS 2019 CAL - User [Excel] (25 unused, version 2019) - earlier than the deployed version 2022 and no Software Assurance recorded.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Licenses must be of the same or later version as the deployed software unless Software Assurance (or equivalent version rights) applies; they therefore do not reduce the potential gap of 42.</w:t>
            </w:r>
          </w:p>
        </w:tc>
      </w:tr>
    </w:tbl>
    <w:p>
      <w:pPr>
        <w:spacing w:before="0" w:after="0" w:line="240" w:lineRule="auto"/>
        <w:rPr>
          <w:sz w:val="12"/>
          <w:szCs w:val="12"/>
        </w:rPr>
      </w:pPr>
    </w:p>
    <w:p>
      <w:r>
        <w:rPr>
          <w:b/>
          <w:bCs/>
        </w:rPr>
        <w:t xml:space="preserve">Recommendation: </w:t>
      </w:r>
      <w:r>
        <w:t xml:space="preserve">Confirm whether Software Assurance or newer-version rights exist (update the license inventory), or plan an upgrade of the licenses.</w:t>
      </w:r>
    </w:p>
    <w:p>
      <w:pPr>
        <w:pStyle w:val="Small"/>
      </w:pPr>
      <w:r>
        <w:rPr>
          <w:b/>
          <w:bCs/>
        </w:rPr>
        <w:t xml:space="preserve">Targets: </w:t>
      </w:r>
      <w:r>
        <w:t xml:space="preserve">Organization</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Version-ineligible licenses</w:t>
            </w:r>
          </w:p>
        </w:tc>
        <w:tc>
          <w:tcPr>
            <w:tcW w:w="3315" w:type="dxa"/>
          </w:tcPr>
          <w:p>
            <w:pPr>
              <w:pStyle w:val="TableText"/>
            </w:pPr>
            <w:r>
              <w:rPr>
                <w:sz w:val="16"/>
                <w:szCs w:val="16"/>
              </w:rPr>
              <w:t xml:space="preserve">RDS 2019 CAL - User [Excel] (25 unused, version 2019) - earlier than the deployed version 2022 and no Software Assurance recorded</w:t>
            </w:r>
          </w:p>
        </w:tc>
        <w:tc>
          <w:tcPr>
            <w:tcW w:w="1757" w:type="dxa"/>
          </w:tcPr>
          <w:p>
            <w:pPr>
              <w:pStyle w:val="TableText"/>
            </w:pPr>
            <w:r>
              <w:rPr>
                <w:sz w:val="16"/>
                <w:szCs w:val="16"/>
              </w:rPr>
              <w:t xml:space="preserve">License inventory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RULE-INVENTORY-030</w:t>
      </w:r>
      <w:r>
        <w:rPr>
          <w:sz w:val="16"/>
          <w:szCs w:val="16"/>
        </w:rPr>
        <w:t xml:space="preserve"> v1.0 — License inventory validation · Last reviewed: 2026-10-01</w:t>
      </w:r>
      <w:r>
        <w:rPr>
          <w:sz w:val="16"/>
          <w:szCs w:val="16"/>
        </w:rPr>
        <w:t xml:space="preserve"> · Source: </w:t>
      </w:r>
      <w:hyperlink r:id="rId114" w:history="1">
        <w:r>
          <w:rPr>
            <w:rStyle w:val="Hyperlink"/>
            <w:sz w:val="16"/>
            <w:szCs w:val="16"/>
          </w:rPr>
          <w:t xml:space="preserve">Customer license records</w:t>
        </w:r>
      </w:hyperlink>
      <w:r>
        <w:rPr>
          <w:color w:val="5B6475"/>
          <w:sz w:val="15"/>
          <w:szCs w:val="15"/>
        </w:rPr>
        <w:t xml:space="preserve"> (https://www.microsoft.com/licensing/terms/)</w:t>
      </w:r>
    </w:p>
    <w:p>
      <w:pPr>
        <w:pStyle w:val="Heading3"/>
      </w:pPr>
      <w:bookmarkStart w:id="34" w:name="_TocMlat00034"/>
      <w:r>
        <w:t xml:space="preserve">Licenses held at an earlier version: Windows Server CAL (User)</w:t>
      </w:r>
      <w:bookmarkEnd w:id="34"/>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License inventory</w:t>
      </w:r>
      <w:r>
        <w:rPr>
          <w:color w:val="5B6475"/>
          <w:sz w:val="17"/>
          <w:szCs w:val="17"/>
        </w:rPr>
        <w:t xml:space="preserve">  ·  FND-0040</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100 user license(s) are held but not applied: Windows Server 2019 CAL - User [Excel] (100 unused, version 2019) - earlier than the deployed version 2022 and no Software Assurance recorded.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Licenses must be of the same or later version as the deployed software unless Software Assurance (or equivalent version rights) applies; they therefore do not reduce the potential gap of 18.</w:t>
            </w:r>
          </w:p>
        </w:tc>
      </w:tr>
    </w:tbl>
    <w:p>
      <w:pPr>
        <w:spacing w:before="0" w:after="0" w:line="240" w:lineRule="auto"/>
        <w:rPr>
          <w:sz w:val="12"/>
          <w:szCs w:val="12"/>
        </w:rPr>
      </w:pPr>
    </w:p>
    <w:p>
      <w:r>
        <w:rPr>
          <w:b/>
          <w:bCs/>
        </w:rPr>
        <w:t xml:space="preserve">Recommendation: </w:t>
      </w:r>
      <w:r>
        <w:t xml:space="preserve">Confirm whether Software Assurance or newer-version rights exist (update the license inventory), or plan an upgrade of the licenses.</w:t>
      </w:r>
    </w:p>
    <w:p>
      <w:pPr>
        <w:pStyle w:val="Small"/>
      </w:pPr>
      <w:r>
        <w:rPr>
          <w:b/>
          <w:bCs/>
        </w:rPr>
        <w:t xml:space="preserve">Targets: </w:t>
      </w:r>
      <w:r>
        <w:t xml:space="preserve">Organization</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Version-ineligible licenses</w:t>
            </w:r>
          </w:p>
        </w:tc>
        <w:tc>
          <w:tcPr>
            <w:tcW w:w="3315" w:type="dxa"/>
          </w:tcPr>
          <w:p>
            <w:pPr>
              <w:pStyle w:val="TableText"/>
            </w:pPr>
            <w:r>
              <w:rPr>
                <w:sz w:val="16"/>
                <w:szCs w:val="16"/>
              </w:rPr>
              <w:t xml:space="preserve">Windows Server 2019 CAL - User [Excel] (100 unused, version 2019) - earlier than the deployed version 2022 and no Software Assurance recorded</w:t>
            </w:r>
          </w:p>
        </w:tc>
        <w:tc>
          <w:tcPr>
            <w:tcW w:w="1757" w:type="dxa"/>
          </w:tcPr>
          <w:p>
            <w:pPr>
              <w:pStyle w:val="TableText"/>
            </w:pPr>
            <w:r>
              <w:rPr>
                <w:sz w:val="16"/>
                <w:szCs w:val="16"/>
              </w:rPr>
              <w:t xml:space="preserve">License inventory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RULE-INVENTORY-030</w:t>
      </w:r>
      <w:r>
        <w:rPr>
          <w:sz w:val="16"/>
          <w:szCs w:val="16"/>
        </w:rPr>
        <w:t xml:space="preserve"> v1.0 — License inventory validation · Last reviewed: 2026-10-01</w:t>
      </w:r>
      <w:r>
        <w:rPr>
          <w:sz w:val="16"/>
          <w:szCs w:val="16"/>
        </w:rPr>
        <w:t xml:space="preserve"> · Source: </w:t>
      </w:r>
      <w:hyperlink r:id="rId115" w:history="1">
        <w:r>
          <w:rPr>
            <w:rStyle w:val="Hyperlink"/>
            <w:sz w:val="16"/>
            <w:szCs w:val="16"/>
          </w:rPr>
          <w:t xml:space="preserve">Customer license records</w:t>
        </w:r>
      </w:hyperlink>
      <w:r>
        <w:rPr>
          <w:color w:val="5B6475"/>
          <w:sz w:val="15"/>
          <w:szCs w:val="15"/>
        </w:rPr>
        <w:t xml:space="preserve"> (https://www.microsoft.com/licensing/terms/)</w:t>
      </w:r>
    </w:p>
    <w:p>
      <w:pPr>
        <w:pStyle w:val="Heading3"/>
      </w:pPr>
      <w:bookmarkStart w:id="35" w:name="_TocMlat00035"/>
      <w:r>
        <w:t xml:space="preserve">Licenses held at an earlier version: Windows Server Standard core license</w:t>
      </w:r>
      <w:bookmarkEnd w:id="35"/>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License inventory</w:t>
      </w:r>
      <w:r>
        <w:rPr>
          <w:color w:val="5B6475"/>
          <w:sz w:val="17"/>
          <w:szCs w:val="17"/>
        </w:rPr>
        <w:t xml:space="preserve">  ·  FND-0039</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32 core license(s) are held but not applied: Windows Server 2019 Standard - core licenses [Excel] (32 unused, version 2019) - earlier than the deployed version 2022 and no Software Assurance recorded.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Licenses must be of the same or later version as the deployed software unless Software Assurance (or equivalent version rights) applies; they therefore do not reduce the potential gap of 112.</w:t>
            </w:r>
          </w:p>
        </w:tc>
      </w:tr>
    </w:tbl>
    <w:p>
      <w:pPr>
        <w:spacing w:before="0" w:after="0" w:line="240" w:lineRule="auto"/>
        <w:rPr>
          <w:sz w:val="12"/>
          <w:szCs w:val="12"/>
        </w:rPr>
      </w:pPr>
    </w:p>
    <w:p>
      <w:r>
        <w:rPr>
          <w:b/>
          <w:bCs/>
        </w:rPr>
        <w:t xml:space="preserve">Recommendation: </w:t>
      </w:r>
      <w:r>
        <w:t xml:space="preserve">Confirm whether Software Assurance or newer-version rights exist (update the license inventory), or plan an upgrade of the licenses.</w:t>
      </w:r>
    </w:p>
    <w:p>
      <w:pPr>
        <w:pStyle w:val="Small"/>
      </w:pPr>
      <w:r>
        <w:rPr>
          <w:b/>
          <w:bCs/>
        </w:rPr>
        <w:t xml:space="preserve">Targets: </w:t>
      </w:r>
      <w:r>
        <w:t xml:space="preserve">ESX01, ESX02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Version-ineligible licenses</w:t>
            </w:r>
          </w:p>
        </w:tc>
        <w:tc>
          <w:tcPr>
            <w:tcW w:w="3315" w:type="dxa"/>
          </w:tcPr>
          <w:p>
            <w:pPr>
              <w:pStyle w:val="TableText"/>
            </w:pPr>
            <w:r>
              <w:rPr>
                <w:sz w:val="16"/>
                <w:szCs w:val="16"/>
              </w:rPr>
              <w:t xml:space="preserve">Windows Server 2019 Standard - core licenses [Excel] (32 unused, version 2019) - earlier than the deployed version 2022 and no Software Assurance recorded</w:t>
            </w:r>
          </w:p>
        </w:tc>
        <w:tc>
          <w:tcPr>
            <w:tcW w:w="1757" w:type="dxa"/>
          </w:tcPr>
          <w:p>
            <w:pPr>
              <w:pStyle w:val="TableText"/>
            </w:pPr>
            <w:r>
              <w:rPr>
                <w:sz w:val="16"/>
                <w:szCs w:val="16"/>
              </w:rPr>
              <w:t xml:space="preserve">License inventory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RULE-INVENTORY-030</w:t>
      </w:r>
      <w:r>
        <w:rPr>
          <w:sz w:val="16"/>
          <w:szCs w:val="16"/>
        </w:rPr>
        <w:t xml:space="preserve"> v1.0 — License inventory validation · Last reviewed: 2026-10-01</w:t>
      </w:r>
      <w:r>
        <w:rPr>
          <w:sz w:val="16"/>
          <w:szCs w:val="16"/>
        </w:rPr>
        <w:t xml:space="preserve"> · Source: </w:t>
      </w:r>
      <w:hyperlink r:id="rId116" w:history="1">
        <w:r>
          <w:rPr>
            <w:rStyle w:val="Hyperlink"/>
            <w:sz w:val="16"/>
            <w:szCs w:val="16"/>
          </w:rPr>
          <w:t xml:space="preserve">Customer license records</w:t>
        </w:r>
      </w:hyperlink>
      <w:r>
        <w:rPr>
          <w:color w:val="5B6475"/>
          <w:sz w:val="15"/>
          <w:szCs w:val="15"/>
        </w:rPr>
        <w:t xml:space="preserve"> (https://www.microsoft.com/licensing/terms/)</w:t>
      </w:r>
    </w:p>
    <w:p>
      <w:pPr>
        <w:pStyle w:val="Heading3"/>
      </w:pPr>
      <w:bookmarkStart w:id="36" w:name="_TocMlat00036"/>
      <w:r>
        <w:t xml:space="preserve">Exchange Server 2019 is out of support</w:t>
      </w:r>
      <w:bookmarkEnd w:id="36"/>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Lifecycle</w:t>
      </w:r>
      <w:r>
        <w:rPr>
          <w:color w:val="5B6475"/>
          <w:sz w:val="17"/>
          <w:szCs w:val="17"/>
        </w:rPr>
        <w:t xml:space="preserve">  ·  FND-0033</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machine(s) run Exchange Server 2019; extended support ended on 2025-10-14.</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No security updates without Extended Security Updates (ESU) where offered - upgrade or ESU licensing may be required.</w:t>
            </w:r>
          </w:p>
        </w:tc>
      </w:tr>
    </w:tbl>
    <w:p>
      <w:pPr>
        <w:spacing w:before="0" w:after="0" w:line="240" w:lineRule="auto"/>
        <w:rPr>
          <w:sz w:val="12"/>
          <w:szCs w:val="12"/>
        </w:rPr>
      </w:pPr>
    </w:p>
    <w:p>
      <w:r>
        <w:rPr>
          <w:b/>
          <w:bCs/>
        </w:rPr>
        <w:t xml:space="preserve">Recommendation: </w:t>
      </w:r>
      <w:r>
        <w:t xml:space="preserve">Upgrade to a supported version or procure ESU. </w:t>
      </w:r>
    </w:p>
    <w:p>
      <w:pPr>
        <w:pStyle w:val="Small"/>
      </w:pPr>
      <w:r>
        <w:rPr>
          <w:b/>
          <w:bCs/>
        </w:rPr>
        <w:t xml:space="preserve">Targets: </w:t>
      </w:r>
      <w:r>
        <w:t xml:space="preserve">EXCH01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EXCH01</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Exchange Server 2019</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Lifecycle</w:t>
            </w:r>
          </w:p>
        </w:tc>
        <w:tc>
          <w:tcPr>
            <w:tcW w:w="2535" w:type="dxa"/>
            <w:shd w:val="clear" w:color="auto" w:fill="FAFBFC"/>
          </w:tcPr>
          <w:p>
            <w:pPr>
              <w:pStyle w:val="TableText"/>
            </w:pPr>
            <w:r>
              <w:rPr>
                <w:sz w:val="16"/>
                <w:szCs w:val="16"/>
              </w:rPr>
              <w:t xml:space="preserve">End of extended support</w:t>
            </w:r>
          </w:p>
        </w:tc>
        <w:tc>
          <w:tcPr>
            <w:tcW w:w="3315" w:type="dxa"/>
            <w:shd w:val="clear" w:color="auto" w:fill="FAFBFC"/>
          </w:tcPr>
          <w:p>
            <w:pPr>
              <w:pStyle w:val="TableText"/>
            </w:pPr>
            <w:r>
              <w:rPr>
                <w:sz w:val="16"/>
                <w:szCs w:val="16"/>
              </w:rPr>
              <w:t xml:space="preserve">2025-10-14</w:t>
            </w:r>
          </w:p>
        </w:tc>
        <w:tc>
          <w:tcPr>
            <w:tcW w:w="1757" w:type="dxa"/>
            <w:shd w:val="clear" w:color="auto" w:fill="FAFBFC"/>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17"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37" w:name="_TocMlat00037"/>
      <w:r>
        <w:t xml:space="preserve">Office 2016 is out of support</w:t>
      </w:r>
      <w:bookmarkEnd w:id="37"/>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Lifecycle</w:t>
      </w:r>
      <w:r>
        <w:rPr>
          <w:color w:val="5B6475"/>
          <w:sz w:val="17"/>
          <w:szCs w:val="17"/>
        </w:rPr>
        <w:t xml:space="preserve">  ·  FND-0036</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machine(s) run Office 2016; extended support ended on 2025-10-14.</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No security updates without Extended Security Updates (ESU) where offered - upgrade or ESU licensing may be required.</w:t>
            </w:r>
          </w:p>
        </w:tc>
      </w:tr>
    </w:tbl>
    <w:p>
      <w:pPr>
        <w:spacing w:before="0" w:after="0" w:line="240" w:lineRule="auto"/>
        <w:rPr>
          <w:sz w:val="12"/>
          <w:szCs w:val="12"/>
        </w:rPr>
      </w:pPr>
    </w:p>
    <w:p>
      <w:r>
        <w:rPr>
          <w:b/>
          <w:bCs/>
        </w:rPr>
        <w:t xml:space="preserve">Recommendation: </w:t>
      </w:r>
      <w:r>
        <w:t xml:space="preserve">Upgrade to a supported version or procure ESU. </w:t>
      </w:r>
    </w:p>
    <w:p>
      <w:pPr>
        <w:pStyle w:val="Small"/>
      </w:pPr>
      <w:r>
        <w:rPr>
          <w:b/>
          <w:bCs/>
        </w:rPr>
        <w:t xml:space="preserve">Targets: </w:t>
      </w:r>
      <w:r>
        <w:t xml:space="preserve">PC-012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PC-012</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Office 2016</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Lifecycle</w:t>
            </w:r>
          </w:p>
        </w:tc>
        <w:tc>
          <w:tcPr>
            <w:tcW w:w="2535" w:type="dxa"/>
            <w:shd w:val="clear" w:color="auto" w:fill="FAFBFC"/>
          </w:tcPr>
          <w:p>
            <w:pPr>
              <w:pStyle w:val="TableText"/>
            </w:pPr>
            <w:r>
              <w:rPr>
                <w:sz w:val="16"/>
                <w:szCs w:val="16"/>
              </w:rPr>
              <w:t xml:space="preserve">End of extended support</w:t>
            </w:r>
          </w:p>
        </w:tc>
        <w:tc>
          <w:tcPr>
            <w:tcW w:w="3315" w:type="dxa"/>
            <w:shd w:val="clear" w:color="auto" w:fill="FAFBFC"/>
          </w:tcPr>
          <w:p>
            <w:pPr>
              <w:pStyle w:val="TableText"/>
            </w:pPr>
            <w:r>
              <w:rPr>
                <w:sz w:val="16"/>
                <w:szCs w:val="16"/>
              </w:rPr>
              <w:t xml:space="preserve">2025-10-14</w:t>
            </w:r>
          </w:p>
        </w:tc>
        <w:tc>
          <w:tcPr>
            <w:tcW w:w="1757" w:type="dxa"/>
            <w:shd w:val="clear" w:color="auto" w:fill="FAFBFC"/>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18"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38" w:name="_TocMlat00038"/>
      <w:r>
        <w:t xml:space="preserve">Windows 10 is out of support</w:t>
      </w:r>
      <w:bookmarkEnd w:id="38"/>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Lifecycle</w:t>
      </w:r>
      <w:r>
        <w:rPr>
          <w:color w:val="5B6475"/>
          <w:sz w:val="17"/>
          <w:szCs w:val="17"/>
        </w:rPr>
        <w:t xml:space="preserve">  ·  FND-0035</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machine(s) run Windows 10; extended support ended on 2025-10-14.</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No security updates without Extended Security Updates (ESU) where offered - upgrade or ESU licensing may be required.</w:t>
            </w:r>
          </w:p>
        </w:tc>
      </w:tr>
    </w:tbl>
    <w:p>
      <w:pPr>
        <w:spacing w:before="0" w:after="0" w:line="240" w:lineRule="auto"/>
        <w:rPr>
          <w:sz w:val="12"/>
          <w:szCs w:val="12"/>
        </w:rPr>
      </w:pPr>
    </w:p>
    <w:p>
      <w:r>
        <w:rPr>
          <w:b/>
          <w:bCs/>
        </w:rPr>
        <w:t xml:space="preserve">Recommendation: </w:t>
      </w:r>
      <w:r>
        <w:t xml:space="preserve">Upgrade to a supported version or procure ESU. Commercial Extended Security Updates available for up to three years; LTSC editions follow their own lifecycle.</w:t>
      </w:r>
    </w:p>
    <w:p>
      <w:pPr>
        <w:pStyle w:val="Small"/>
      </w:pPr>
      <w:r>
        <w:rPr>
          <w:b/>
          <w:bCs/>
        </w:rPr>
        <w:t xml:space="preserve">Targets: </w:t>
      </w:r>
      <w:r>
        <w:t xml:space="preserve">PC-011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PC-011</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Windows 10</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Lifecycle</w:t>
            </w:r>
          </w:p>
        </w:tc>
        <w:tc>
          <w:tcPr>
            <w:tcW w:w="2535" w:type="dxa"/>
            <w:shd w:val="clear" w:color="auto" w:fill="FAFBFC"/>
          </w:tcPr>
          <w:p>
            <w:pPr>
              <w:pStyle w:val="TableText"/>
            </w:pPr>
            <w:r>
              <w:rPr>
                <w:sz w:val="16"/>
                <w:szCs w:val="16"/>
              </w:rPr>
              <w:t xml:space="preserve">End of extended support</w:t>
            </w:r>
          </w:p>
        </w:tc>
        <w:tc>
          <w:tcPr>
            <w:tcW w:w="3315" w:type="dxa"/>
            <w:shd w:val="clear" w:color="auto" w:fill="FAFBFC"/>
          </w:tcPr>
          <w:p>
            <w:pPr>
              <w:pStyle w:val="TableText"/>
            </w:pPr>
            <w:r>
              <w:rPr>
                <w:sz w:val="16"/>
                <w:szCs w:val="16"/>
              </w:rPr>
              <w:t xml:space="preserve">2025-10-14</w:t>
            </w:r>
          </w:p>
        </w:tc>
        <w:tc>
          <w:tcPr>
            <w:tcW w:w="1757" w:type="dxa"/>
            <w:shd w:val="clear" w:color="auto" w:fill="FAFBFC"/>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19"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39" w:name="_TocMlat00039"/>
      <w:r>
        <w:t xml:space="preserve">Trial subscription: ENTERPRISEPREMIUM</w:t>
      </w:r>
      <w:bookmarkEnd w:id="39"/>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Microsoft 365</w:t>
      </w:r>
      <w:r>
        <w:rPr>
          <w:color w:val="5B6475"/>
          <w:sz w:val="17"/>
          <w:szCs w:val="17"/>
        </w:rPr>
        <w:t xml:space="preserve">  ·  FND-0030</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10 ENTERPRISEPREMIUM license(s) come from a trial subscription ending 2026-10-12.</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Trial licenses are not a durable entitlement; requirements covered by them become potential gaps when the trial ends.</w:t>
            </w:r>
          </w:p>
        </w:tc>
      </w:tr>
    </w:tbl>
    <w:p>
      <w:pPr>
        <w:spacing w:before="0" w:after="0" w:line="240" w:lineRule="auto"/>
        <w:rPr>
          <w:sz w:val="12"/>
          <w:szCs w:val="12"/>
        </w:rPr>
      </w:pPr>
    </w:p>
    <w:p>
      <w:r>
        <w:rPr>
          <w:b/>
          <w:bCs/>
        </w:rPr>
        <w:t xml:space="preserve">Recommendation: </w:t>
      </w:r>
      <w:r>
        <w:t xml:space="preserve">Convert the trial to a paid subscription or plan replacement licenses.</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Subscription ENTERPRISEPREMIUM</w:t>
            </w:r>
          </w:p>
        </w:tc>
        <w:tc>
          <w:tcPr>
            <w:tcW w:w="3315" w:type="dxa"/>
          </w:tcPr>
          <w:p>
            <w:pPr>
              <w:pStyle w:val="TableText"/>
            </w:pPr>
            <w:r>
              <w:rPr>
                <w:sz w:val="16"/>
                <w:szCs w:val="16"/>
              </w:rPr>
              <w:t xml:space="preserve">10 license(s), status Enabled, trial</w:t>
            </w:r>
          </w:p>
        </w:tc>
        <w:tc>
          <w:tcPr>
            <w:tcW w:w="1757" w:type="dxa"/>
          </w:tcPr>
          <w:p>
            <w:pPr>
              <w:pStyle w:val="TableText"/>
            </w:pPr>
            <w:r>
              <w:rPr>
                <w:sz w:val="16"/>
                <w:szCs w:val="16"/>
              </w:rPr>
              <w:t xml:space="preserve">Microsoft Graph (directory/subscriptions)</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Next lifecycle date</w:t>
            </w:r>
          </w:p>
        </w:tc>
        <w:tc>
          <w:tcPr>
            <w:tcW w:w="3315" w:type="dxa"/>
            <w:shd w:val="clear" w:color="auto" w:fill="FAFBFC"/>
          </w:tcPr>
          <w:p>
            <w:pPr>
              <w:pStyle w:val="TableText"/>
            </w:pPr>
            <w:r>
              <w:rPr>
                <w:sz w:val="16"/>
                <w:szCs w:val="16"/>
              </w:rPr>
              <w:t xml:space="preserve">2026-10-12T01:33:19.8769741Z</w:t>
            </w:r>
          </w:p>
        </w:tc>
        <w:tc>
          <w:tcPr>
            <w:tcW w:w="1757" w:type="dxa"/>
            <w:shd w:val="clear" w:color="auto" w:fill="FAFBFC"/>
          </w:tcPr>
          <w:p>
            <w:pPr>
              <w:pStyle w:val="TableText"/>
            </w:pPr>
            <w:r>
              <w:rPr>
                <w:sz w:val="16"/>
                <w:szCs w:val="16"/>
              </w:rPr>
              <w:t xml:space="preserve">Microsoft Graph (directory/subscriptions)</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Commerce subscription ID</w:t>
            </w:r>
          </w:p>
        </w:tc>
        <w:tc>
          <w:tcPr>
            <w:tcW w:w="3315" w:type="dxa"/>
          </w:tcPr>
          <w:p>
            <w:pPr>
              <w:pStyle w:val="TableText"/>
            </w:pPr>
            <w:r>
              <w:rPr>
                <w:sz w:val="16"/>
                <w:szCs w:val="16"/>
              </w:rPr>
              <w:t xml:space="preserve">c3a1e2f0-0000-4000-8000-0000000000e5</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RULE-M365-027</w:t>
      </w:r>
      <w:r>
        <w:rPr>
          <w:sz w:val="16"/>
          <w:szCs w:val="16"/>
        </w:rPr>
        <w:t xml:space="preserve"> v1.0 — Microsoft 365 license utilization · Last reviewed: 2026-10-01</w:t>
      </w:r>
      <w:r>
        <w:rPr>
          <w:sz w:val="16"/>
          <w:szCs w:val="16"/>
        </w:rPr>
        <w:t xml:space="preserve"> · Source: </w:t>
      </w:r>
      <w:hyperlink r:id="rId120" w:history="1">
        <w:r>
          <w:rPr>
            <w:rStyle w:val="Hyperlink"/>
            <w:sz w:val="16"/>
            <w:szCs w:val="16"/>
          </w:rPr>
          <w:t xml:space="preserve">Microsoft Learn - Product names and service plan identifiers for licensing</w:t>
        </w:r>
      </w:hyperlink>
      <w:r>
        <w:rPr>
          <w:color w:val="5B6475"/>
          <w:sz w:val="15"/>
          <w:szCs w:val="15"/>
        </w:rPr>
        <w:t xml:space="preserve"> (https://learn.microsoft.com/entra/identity/users/licensing-service-plan-reference)</w:t>
      </w:r>
    </w:p>
    <w:p>
      <w:pPr>
        <w:pStyle w:val="Heading3"/>
      </w:pPr>
      <w:bookmarkStart w:id="40" w:name="_TocMlat00040"/>
      <w:r>
        <w:t xml:space="preserve">Enrolled users without an Intune license assignment</w:t>
      </w:r>
      <w:bookmarkEnd w:id="40"/>
    </w:p>
    <w:p>
      <w:pPr>
        <w:keepNext/>
        <w:spacing w:after="100"/>
      </w:pPr>
      <w:r>
        <w:rPr>
          <w:b/>
          <w:bCs/>
          <w:color w:val="7A5600"/>
          <w:sz w:val="16"/>
          <w:szCs w:val="16"/>
          <w:shd w:val="clear" w:color="auto" w:fill="FFF2CC"/>
        </w:rPr>
        <w:t xml:space="preserve"> MEDIUM </w:t>
      </w:r>
      <w:r>
        <w:rPr>
          <w:sz w:val="17"/>
          <w:szCs w:val="17"/>
        </w:rPr>
        <w:t xml:space="preserve">  </w:t>
      </w:r>
      <w:r>
        <w:rPr>
          <w:b/>
          <w:bCs/>
          <w:color w:val="A61B1B"/>
          <w:sz w:val="17"/>
          <w:szCs w:val="17"/>
          <w:shd w:val="clear" w:color="auto" w:fill="FCE4E4"/>
        </w:rPr>
        <w:t xml:space="preserve"> Potential Gap </w:t>
      </w:r>
      <w:r>
        <w:rPr>
          <w:color w:val="5B6475"/>
          <w:sz w:val="17"/>
          <w:szCs w:val="17"/>
        </w:rPr>
        <w:t xml:space="preserve">   Confidence: High</w:t>
      </w:r>
      <w:r>
        <w:rPr>
          <w:color w:val="5B6475"/>
          <w:sz w:val="17"/>
          <w:szCs w:val="17"/>
        </w:rPr>
        <w:t xml:space="preserve">  ·  Microsoft Intune</w:t>
      </w:r>
      <w:r>
        <w:rPr>
          <w:color w:val="5B6475"/>
          <w:sz w:val="17"/>
          <w:szCs w:val="17"/>
        </w:rPr>
        <w:t xml:space="preserve">  ·  FND-0015</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9 user(s) have Intune-managed devices but no service plan granting Intune.</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assignment or procurement may be required.</w:t>
            </w:r>
          </w:p>
        </w:tc>
      </w:tr>
    </w:tbl>
    <w:p>
      <w:pPr>
        <w:spacing w:before="0" w:after="0" w:line="240" w:lineRule="auto"/>
        <w:rPr>
          <w:sz w:val="12"/>
          <w:szCs w:val="12"/>
        </w:rPr>
      </w:pPr>
    </w:p>
    <w:p>
      <w:r>
        <w:rPr>
          <w:b/>
          <w:bCs/>
        </w:rPr>
        <w:t xml:space="preserve">Recommendation: </w:t>
      </w:r>
      <w:r>
        <w:t xml:space="preserve">Assign Intune-capable licenses to these users.</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Managed devices</w:t>
            </w:r>
          </w:p>
        </w:tc>
        <w:tc>
          <w:tcPr>
            <w:tcW w:w="3315" w:type="dxa"/>
          </w:tcPr>
          <w:p>
            <w:pPr>
              <w:pStyle w:val="TableText"/>
            </w:pPr>
            <w:r>
              <w:rPr>
                <w:sz w:val="16"/>
                <w:szCs w:val="16"/>
              </w:rPr>
              <w:t xml:space="preserve">163 (Windows 138, iOS/iPadOS 17, Android 6, macOS 2, other 0)</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Ownership</w:t>
            </w:r>
          </w:p>
        </w:tc>
        <w:tc>
          <w:tcPr>
            <w:tcW w:w="3315" w:type="dxa"/>
            <w:shd w:val="clear" w:color="auto" w:fill="FAFBFC"/>
          </w:tcPr>
          <w:p>
            <w:pPr>
              <w:pStyle w:val="TableText"/>
            </w:pPr>
            <w:r>
              <w:rPr>
                <w:sz w:val="16"/>
                <w:szCs w:val="16"/>
              </w:rPr>
              <w:t xml:space="preserve">Corporate 151, personal 12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Compliance</w:t>
            </w:r>
          </w:p>
        </w:tc>
        <w:tc>
          <w:tcPr>
            <w:tcW w:w="3315" w:type="dxa"/>
          </w:tcPr>
          <w:p>
            <w:pPr>
              <w:pStyle w:val="TableText"/>
            </w:pPr>
            <w:r>
              <w:rPr>
                <w:sz w:val="16"/>
                <w:szCs w:val="16"/>
              </w:rPr>
              <w:t xml:space="preserve">Compliant 149, potentially under-licensed 14</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Distinct enrolled users</w:t>
            </w:r>
          </w:p>
        </w:tc>
        <w:tc>
          <w:tcPr>
            <w:tcW w:w="3315" w:type="dxa"/>
            <w:shd w:val="clear" w:color="auto" w:fill="FAFBFC"/>
          </w:tcPr>
          <w:p>
            <w:pPr>
              <w:pStyle w:val="TableText"/>
            </w:pPr>
            <w:r>
              <w:rPr>
                <w:sz w:val="16"/>
                <w:szCs w:val="16"/>
              </w:rPr>
              <w:t xml:space="preserve">150</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Enrolled users without an Intune plan assigned</w:t>
            </w:r>
          </w:p>
        </w:tc>
        <w:tc>
          <w:tcPr>
            <w:tcW w:w="3315" w:type="dxa"/>
          </w:tcPr>
          <w:p>
            <w:pPr>
              <w:pStyle w:val="TableText"/>
            </w:pPr>
            <w:r>
              <w:rPr>
                <w:sz w:val="16"/>
                <w:szCs w:val="16"/>
              </w:rPr>
              <w:t xml:space="preserve">9</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RULE-INTUNE-022</w:t>
      </w:r>
      <w:r>
        <w:rPr>
          <w:sz w:val="16"/>
          <w:szCs w:val="16"/>
        </w:rPr>
        <w:t xml:space="preserve"> v1.0 — Microsoft Intune per-user licensing · Last reviewed: 2026-10-01</w:t>
      </w:r>
      <w:r>
        <w:rPr>
          <w:sz w:val="16"/>
          <w:szCs w:val="16"/>
        </w:rPr>
        <w:t xml:space="preserve"> · Source: </w:t>
      </w:r>
      <w:hyperlink r:id="rId121" w:history="1">
        <w:r>
          <w:rPr>
            <w:rStyle w:val="Hyperlink"/>
            <w:sz w:val="16"/>
            <w:szCs w:val="16"/>
          </w:rPr>
          <w:t xml:space="preserve">Microsoft Learn - Microsoft Intune licensing</w:t>
        </w:r>
      </w:hyperlink>
      <w:r>
        <w:rPr>
          <w:color w:val="5B6475"/>
          <w:sz w:val="15"/>
          <w:szCs w:val="15"/>
        </w:rPr>
        <w:t xml:space="preserve"> (https://learn.microsoft.com/mem/intune/fundamentals/licenses)</w:t>
      </w:r>
    </w:p>
    <w:p>
      <w:pPr>
        <w:pStyle w:val="Heading3"/>
      </w:pPr>
      <w:bookmarkStart w:id="41" w:name="_TocMlat00041"/>
      <w:r>
        <w:t xml:space="preserve">Microsoft Defender for Endpoint (User) in use without a matching license</w:t>
      </w:r>
      <w:bookmarkEnd w:id="41"/>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Security</w:t>
      </w:r>
      <w:r>
        <w:rPr>
          <w:color w:val="5B6475"/>
          <w:sz w:val="17"/>
          <w:szCs w:val="17"/>
        </w:rPr>
        <w:t xml:space="preserve">  ·  FND-0019</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Alerts from microsoftDefenderForEndpoint were observed but no license granting it was found.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validation required (the service may be in trial or licensed through another agreement).</w:t>
            </w:r>
          </w:p>
        </w:tc>
      </w:tr>
    </w:tbl>
    <w:p>
      <w:pPr>
        <w:spacing w:before="0" w:after="0" w:line="240" w:lineRule="auto"/>
        <w:rPr>
          <w:sz w:val="12"/>
          <w:szCs w:val="12"/>
        </w:rPr>
      </w:pPr>
    </w:p>
    <w:p>
      <w:r>
        <w:rPr>
          <w:b/>
          <w:bCs/>
        </w:rPr>
        <w:t xml:space="preserve">Recommendation: </w:t>
      </w:r>
      <w:r>
        <w:t xml:space="preserve">Confirm how the service is licensed.</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Alerts from microsoftDefenderForEndpoint</w:t>
            </w:r>
          </w:p>
        </w:tc>
        <w:tc>
          <w:tcPr>
            <w:tcW w:w="3315" w:type="dxa"/>
          </w:tcPr>
          <w:p>
            <w:pPr>
              <w:pStyle w:val="TableText"/>
            </w:pPr>
            <w:r>
              <w:rPr>
                <w:sz w:val="16"/>
                <w:szCs w:val="16"/>
              </w:rPr>
              <w:t xml:space="preserve">23</w:t>
            </w:r>
          </w:p>
        </w:tc>
        <w:tc>
          <w:tcPr>
            <w:tcW w:w="1757" w:type="dxa"/>
          </w:tcPr>
          <w:p>
            <w:pPr>
              <w:pStyle w:val="TableText"/>
            </w:pPr>
            <w:r>
              <w:rPr>
                <w:sz w:val="16"/>
                <w:szCs w:val="16"/>
              </w:rPr>
              <w:t xml:space="preserve">Microsoft Graph (security alerts)</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Licenses granting Microsoft Defender for Endpoint (User)</w:t>
            </w:r>
          </w:p>
        </w:tc>
        <w:tc>
          <w:tcPr>
            <w:tcW w:w="3315" w:type="dxa"/>
            <w:shd w:val="clear" w:color="auto" w:fill="FAFBFC"/>
          </w:tcPr>
          <w:p>
            <w:pPr>
              <w:pStyle w:val="TableText"/>
            </w:pPr>
            <w:r>
              <w:rPr>
                <w:sz w:val="16"/>
                <w:szCs w:val="16"/>
              </w:rPr>
              <w:t xml:space="preserve">0</w:t>
            </w:r>
          </w:p>
        </w:tc>
        <w:tc>
          <w:tcPr>
            <w:tcW w:w="1757" w:type="dxa"/>
            <w:shd w:val="clear" w:color="auto" w:fill="FAFBFC"/>
          </w:tcPr>
          <w:p>
            <w:pPr>
              <w:pStyle w:val="TableText"/>
            </w:pPr>
            <w:r>
              <w:rPr>
                <w:sz w:val="16"/>
                <w:szCs w:val="16"/>
              </w:rPr>
              <w:t xml:space="preserve">Microsoft Graph / license inventory</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the plan assigned</w:t>
            </w:r>
          </w:p>
        </w:tc>
        <w:tc>
          <w:tcPr>
            <w:tcW w:w="3315" w:type="dxa"/>
          </w:tcPr>
          <w:p>
            <w:pPr>
              <w:pStyle w:val="TableText"/>
            </w:pPr>
            <w:r>
              <w:rPr>
                <w:sz w:val="16"/>
                <w:szCs w:val="16"/>
              </w:rPr>
              <w:t xml:space="preserve">0</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RULE-DEFENDER-025</w:t>
      </w:r>
      <w:r>
        <w:rPr>
          <w:sz w:val="16"/>
          <w:szCs w:val="16"/>
        </w:rPr>
        <w:t xml:space="preserve"> v1.0 — Microsoft Defender usage evidence · Last reviewed: 2026-10-01</w:t>
      </w:r>
      <w:r>
        <w:rPr>
          <w:sz w:val="16"/>
          <w:szCs w:val="16"/>
        </w:rPr>
        <w:t xml:space="preserve"> · Source: </w:t>
      </w:r>
      <w:hyperlink r:id="rId122"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42" w:name="_TocMlat00042"/>
      <w:r>
        <w:t xml:space="preserve">Microsoft Defender for Identity (User) in use without a matching license</w:t>
      </w:r>
      <w:bookmarkEnd w:id="42"/>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Security</w:t>
      </w:r>
      <w:r>
        <w:rPr>
          <w:color w:val="5B6475"/>
          <w:sz w:val="17"/>
          <w:szCs w:val="17"/>
        </w:rPr>
        <w:t xml:space="preserve">  ·  FND-0021</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Alerts from microsoftDefenderForIdentity were observed but no license granting it was found.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licensing gap - validation required (the service may be in trial or licensed through another agreement).</w:t>
            </w:r>
          </w:p>
        </w:tc>
      </w:tr>
    </w:tbl>
    <w:p>
      <w:pPr>
        <w:spacing w:before="0" w:after="0" w:line="240" w:lineRule="auto"/>
        <w:rPr>
          <w:sz w:val="12"/>
          <w:szCs w:val="12"/>
        </w:rPr>
      </w:pPr>
    </w:p>
    <w:p>
      <w:r>
        <w:rPr>
          <w:b/>
          <w:bCs/>
        </w:rPr>
        <w:t xml:space="preserve">Recommendation: </w:t>
      </w:r>
      <w:r>
        <w:t xml:space="preserve">Confirm how the service is licensed.</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Alerts from microsoftDefenderForIdentity</w:t>
            </w:r>
          </w:p>
        </w:tc>
        <w:tc>
          <w:tcPr>
            <w:tcW w:w="3315" w:type="dxa"/>
          </w:tcPr>
          <w:p>
            <w:pPr>
              <w:pStyle w:val="TableText"/>
            </w:pPr>
            <w:r>
              <w:rPr>
                <w:sz w:val="16"/>
                <w:szCs w:val="16"/>
              </w:rPr>
              <w:t xml:space="preserve">3</w:t>
            </w:r>
          </w:p>
        </w:tc>
        <w:tc>
          <w:tcPr>
            <w:tcW w:w="1757" w:type="dxa"/>
          </w:tcPr>
          <w:p>
            <w:pPr>
              <w:pStyle w:val="TableText"/>
            </w:pPr>
            <w:r>
              <w:rPr>
                <w:sz w:val="16"/>
                <w:szCs w:val="16"/>
              </w:rPr>
              <w:t xml:space="preserve">Microsoft Graph (security alerts)</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Licenses granting Microsoft Defender for Identity (User)</w:t>
            </w:r>
          </w:p>
        </w:tc>
        <w:tc>
          <w:tcPr>
            <w:tcW w:w="3315" w:type="dxa"/>
            <w:shd w:val="clear" w:color="auto" w:fill="FAFBFC"/>
          </w:tcPr>
          <w:p>
            <w:pPr>
              <w:pStyle w:val="TableText"/>
            </w:pPr>
            <w:r>
              <w:rPr>
                <w:sz w:val="16"/>
                <w:szCs w:val="16"/>
              </w:rPr>
              <w:t xml:space="preserve">0</w:t>
            </w:r>
          </w:p>
        </w:tc>
        <w:tc>
          <w:tcPr>
            <w:tcW w:w="1757" w:type="dxa"/>
            <w:shd w:val="clear" w:color="auto" w:fill="FAFBFC"/>
          </w:tcPr>
          <w:p>
            <w:pPr>
              <w:pStyle w:val="TableText"/>
            </w:pPr>
            <w:r>
              <w:rPr>
                <w:sz w:val="16"/>
                <w:szCs w:val="16"/>
              </w:rPr>
              <w:t xml:space="preserve">Microsoft Graph / license inventory</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the plan assigned</w:t>
            </w:r>
          </w:p>
        </w:tc>
        <w:tc>
          <w:tcPr>
            <w:tcW w:w="3315" w:type="dxa"/>
          </w:tcPr>
          <w:p>
            <w:pPr>
              <w:pStyle w:val="TableText"/>
            </w:pPr>
            <w:r>
              <w:rPr>
                <w:sz w:val="16"/>
                <w:szCs w:val="16"/>
              </w:rPr>
              <w:t xml:space="preserve">0</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RULE-DEFENDER-025</w:t>
      </w:r>
      <w:r>
        <w:rPr>
          <w:sz w:val="16"/>
          <w:szCs w:val="16"/>
        </w:rPr>
        <w:t xml:space="preserve"> v1.0 — Microsoft Defender usage evidence · Last reviewed: 2026-10-01</w:t>
      </w:r>
      <w:r>
        <w:rPr>
          <w:sz w:val="16"/>
          <w:szCs w:val="16"/>
        </w:rPr>
        <w:t xml:space="preserve"> · Source: </w:t>
      </w:r>
      <w:hyperlink r:id="rId123"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43" w:name="_TocMlat00043"/>
      <w:r>
        <w:t xml:space="preserve">SQL Server Developer edition in use</w:t>
      </w:r>
      <w:bookmarkEnd w:id="43"/>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SQL Server</w:t>
      </w:r>
      <w:r>
        <w:rPr>
          <w:color w:val="5B6475"/>
          <w:sz w:val="17"/>
          <w:szCs w:val="17"/>
        </w:rPr>
        <w:t xml:space="preserve">  ·  FND-0009</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APP01 runs SQL Server Developer (DEV).</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Developer edition is free for development/test only. No commercial license is calculated; production use would require Standard/Enterprise licenses.</w:t>
            </w:r>
          </w:p>
        </w:tc>
      </w:tr>
    </w:tbl>
    <w:p>
      <w:pPr>
        <w:spacing w:before="0" w:after="0" w:line="240" w:lineRule="auto"/>
        <w:rPr>
          <w:sz w:val="12"/>
          <w:szCs w:val="12"/>
        </w:rPr>
      </w:pPr>
    </w:p>
    <w:p>
      <w:r>
        <w:rPr>
          <w:b/>
          <w:bCs/>
        </w:rPr>
        <w:t xml:space="preserve">Recommendation: </w:t>
      </w:r>
      <w:r>
        <w:t xml:space="preserve">Confirm the workload is non-production.</w:t>
      </w:r>
    </w:p>
    <w:p>
      <w:pPr>
        <w:pStyle w:val="Small"/>
      </w:pPr>
      <w:r>
        <w:rPr>
          <w:b/>
          <w:bCs/>
        </w:rPr>
        <w:t xml:space="preserve">Targets: </w:t>
      </w:r>
      <w:r>
        <w:t xml:space="preserve">APP01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SQL Database Engine</w:t>
            </w:r>
          </w:p>
        </w:tc>
        <w:tc>
          <w:tcPr>
            <w:tcW w:w="3315" w:type="dxa"/>
          </w:tcPr>
          <w:p>
            <w:pPr>
              <w:pStyle w:val="TableText"/>
            </w:pPr>
            <w:r>
              <w:rPr>
                <w:sz w:val="16"/>
                <w:szCs w:val="16"/>
              </w:rPr>
              <w:t xml:space="preserve">DEV (Developer Edition (64-bit), 16.0.1000.6)</w:t>
            </w:r>
          </w:p>
        </w:tc>
        <w:tc>
          <w:tcPr>
            <w:tcW w:w="1757" w:type="dxa"/>
          </w:tcPr>
          <w:p>
            <w:pPr>
              <w:pStyle w:val="TableText"/>
            </w:pPr>
            <w:r>
              <w:rPr>
                <w:sz w:val="16"/>
                <w:szCs w:val="16"/>
              </w:rPr>
              <w:t xml:space="preserve">Registry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RULE-SQL-009</w:t>
      </w:r>
      <w:r>
        <w:rPr>
          <w:sz w:val="16"/>
          <w:szCs w:val="16"/>
        </w:rPr>
        <w:t xml:space="preserve"> v1.0 — SQL Server free and non-production editions · Last reviewed: 2026-10-01</w:t>
      </w:r>
      <w:r>
        <w:rPr>
          <w:sz w:val="16"/>
          <w:szCs w:val="16"/>
        </w:rPr>
        <w:t xml:space="preserve"> · Source: </w:t>
      </w:r>
      <w:hyperlink r:id="rId124" w:history="1">
        <w:r>
          <w:rPr>
            <w:rStyle w:val="Hyperlink"/>
            <w:sz w:val="16"/>
            <w:szCs w:val="16"/>
          </w:rPr>
          <w:t xml:space="preserve">Microsoft Product Terms - SQL Server</w:t>
        </w:r>
      </w:hyperlink>
      <w:r>
        <w:rPr>
          <w:color w:val="5B6475"/>
          <w:sz w:val="15"/>
          <w:szCs w:val="15"/>
        </w:rPr>
        <w:t xml:space="preserve"> (https://www.microsoft.com/licensing/docs/view/SQL-Server)</w:t>
      </w:r>
    </w:p>
    <w:p>
      <w:pPr>
        <w:pStyle w:val="Heading3"/>
      </w:pPr>
      <w:bookmarkStart w:id="44" w:name="_TocMlat00044"/>
      <w:r>
        <w:t xml:space="preserve">SQL Server Enterprise (Server+CAL) edition installed</w:t>
      </w:r>
      <w:bookmarkEnd w:id="44"/>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SQL Server</w:t>
      </w:r>
      <w:r>
        <w:rPr>
          <w:color w:val="5B6475"/>
          <w:sz w:val="17"/>
          <w:szCs w:val="17"/>
        </w:rPr>
        <w:t xml:space="preserve">  ·  FND-0006</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SQL01 runs 'Enterprise Edition: Core-based Licensing (64-bit)'.</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This edition is only available to customers with grandfathered Enterprise server licenses + SA (limited to 20 cores per server).</w:t>
            </w:r>
          </w:p>
        </w:tc>
      </w:tr>
    </w:tbl>
    <w:p>
      <w:pPr>
        <w:spacing w:before="0" w:after="0" w:line="240" w:lineRule="auto"/>
        <w:rPr>
          <w:sz w:val="12"/>
          <w:szCs w:val="12"/>
        </w:rPr>
      </w:pPr>
    </w:p>
    <w:p>
      <w:r>
        <w:rPr>
          <w:b/>
          <w:bCs/>
        </w:rPr>
        <w:t xml:space="preserve">Recommendation: </w:t>
      </w:r>
      <w:r>
        <w:t xml:space="preserve">Validate the licensing basis with the customer agreement.</w:t>
      </w:r>
    </w:p>
    <w:p>
      <w:pPr>
        <w:pStyle w:val="Small"/>
      </w:pPr>
      <w:r>
        <w:rPr>
          <w:b/>
          <w:bCs/>
        </w:rPr>
        <w:t xml:space="preserve">Targets: </w:t>
      </w:r>
      <w:r>
        <w:t xml:space="preserve">SQL01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SQL Database Engine</w:t>
            </w:r>
          </w:p>
        </w:tc>
        <w:tc>
          <w:tcPr>
            <w:tcW w:w="3315" w:type="dxa"/>
          </w:tcPr>
          <w:p>
            <w:pPr>
              <w:pStyle w:val="TableText"/>
            </w:pPr>
            <w:r>
              <w:rPr>
                <w:sz w:val="16"/>
                <w:szCs w:val="16"/>
              </w:rPr>
              <w:t xml:space="preserve">MSSQLSERVER: Enterprise 2022 (16.0.4135.4), service Running/Auto, Always On enabled</w:t>
            </w:r>
          </w:p>
        </w:tc>
        <w:tc>
          <w:tcPr>
            <w:tcW w:w="1757" w:type="dxa"/>
          </w:tcPr>
          <w:p>
            <w:pPr>
              <w:pStyle w:val="TableText"/>
            </w:pPr>
            <w:r>
              <w:rPr>
                <w:sz w:val="16"/>
                <w:szCs w:val="16"/>
              </w:rPr>
              <w:t xml:space="preserve">Registry / 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SQL Reporting Services</w:t>
            </w:r>
          </w:p>
        </w:tc>
        <w:tc>
          <w:tcPr>
            <w:tcW w:w="3315" w:type="dxa"/>
            <w:shd w:val="clear" w:color="auto" w:fill="FAFBFC"/>
          </w:tcPr>
          <w:p>
            <w:pPr>
              <w:pStyle w:val="TableText"/>
            </w:pPr>
            <w:r>
              <w:rPr>
                <w:sz w:val="16"/>
                <w:szCs w:val="16"/>
              </w:rPr>
              <w:t xml:space="preserve">MSSQLSERVER: Enterprise 2022 (16.0.1000.6), service Running/Auto</w:t>
            </w:r>
          </w:p>
        </w:tc>
        <w:tc>
          <w:tcPr>
            <w:tcW w:w="1757" w:type="dxa"/>
            <w:shd w:val="clear" w:color="auto" w:fill="FAFBFC"/>
          </w:tcPr>
          <w:p>
            <w:pPr>
              <w:pStyle w:val="TableText"/>
            </w:pPr>
            <w:r>
              <w:rPr>
                <w:sz w:val="16"/>
                <w:szCs w:val="16"/>
              </w:rPr>
              <w:t xml:space="preserve">Registry / WMI</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RULE-SQL-007</w:t>
      </w:r>
      <w:r>
        <w:rPr>
          <w:sz w:val="16"/>
          <w:szCs w:val="16"/>
        </w:rPr>
        <w:t xml:space="preserve"> v1.0 — SQL Server per-core licensing · Last reviewed: 2026-10-01</w:t>
      </w:r>
      <w:r>
        <w:rPr>
          <w:sz w:val="16"/>
          <w:szCs w:val="16"/>
        </w:rPr>
        <w:t xml:space="preserve"> · Source: </w:t>
      </w:r>
      <w:hyperlink r:id="rId125" w:history="1">
        <w:r>
          <w:rPr>
            <w:rStyle w:val="Hyperlink"/>
            <w:sz w:val="16"/>
            <w:szCs w:val="16"/>
          </w:rPr>
          <w:t xml:space="preserve">Microsoft Product Terms - SQL Server / SQL Server licensing guide</w:t>
        </w:r>
      </w:hyperlink>
      <w:r>
        <w:rPr>
          <w:color w:val="5B6475"/>
          <w:sz w:val="15"/>
          <w:szCs w:val="15"/>
        </w:rPr>
        <w:t xml:space="preserve"> (https://www.microsoft.com/licensing/docs/view/SQL-Server)</w:t>
      </w:r>
    </w:p>
    <w:p>
      <w:pPr>
        <w:pStyle w:val="Heading3"/>
      </w:pPr>
      <w:bookmarkStart w:id="45" w:name="_TocMlat00045"/>
      <w:r>
        <w:t xml:space="preserve">7 Windows computers / VMs were not verified</w:t>
      </w:r>
      <w:bookmarkEnd w:id="45"/>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Windows</w:t>
      </w:r>
      <w:r>
        <w:rPr>
          <w:color w:val="5B6475"/>
          <w:sz w:val="17"/>
          <w:szCs w:val="17"/>
        </w:rPr>
        <w:t xml:space="preserve">  ·  FND-0013</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The Windows license state (product key installed, activated) of 7 known Windows computers / VM(s) could not be collected: APP02, PRINT01, TESTVM03, WEB01, WEB02, WEBVM01, WEBVM02 (sources: VMware vCenter vcenter01 4, Hyper-V hosts 3).</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Unable to determine whether a product key is installed and Windows is activated on these machines, so their Windows licensing cannot be confirmed technically. Potential licensing gap - validation required.</w:t>
            </w:r>
          </w:p>
        </w:tc>
      </w:tr>
    </w:tbl>
    <w:p>
      <w:pPr>
        <w:spacing w:before="0" w:after="0" w:line="240" w:lineRule="auto"/>
        <w:rPr>
          <w:sz w:val="12"/>
          <w:szCs w:val="12"/>
        </w:rPr>
      </w:pPr>
    </w:p>
    <w:p>
      <w:r>
        <w:rPr>
          <w:b/>
          <w:bCs/>
        </w:rPr>
        <w:t xml:space="preserve">Recommendation: </w:t>
      </w:r>
      <w:r>
        <w:t xml:space="preserve">Scan these computers (scan targets / Windows Servers scope), enable 'Also scan the Windows VMs found on the hosts', or import collector files (/collect). For ConfigMgr devices enable the SoftwareLicensingProduct hardware inventory class.</w:t>
      </w:r>
    </w:p>
    <w:p>
      <w:pPr>
        <w:pStyle w:val="Small"/>
      </w:pPr>
      <w:r>
        <w:rPr>
          <w:b/>
          <w:bCs/>
        </w:rPr>
        <w:t xml:space="preserve">Targets: </w:t>
      </w:r>
      <w:r>
        <w:t xml:space="preserve">APP02, PRINT01, TESTVM03, WEB01, WEB02, WEBVM01, WEBVM02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APP02</w:t>
            </w:r>
          </w:p>
        </w:tc>
        <w:tc>
          <w:tcPr>
            <w:tcW w:w="2535" w:type="dxa"/>
          </w:tcPr>
          <w:p>
            <w:pPr>
              <w:pStyle w:val="TableText"/>
            </w:pPr>
            <w:r>
              <w:rPr>
                <w:sz w:val="16"/>
                <w:szCs w:val="16"/>
              </w:rPr>
              <w:t xml:space="preserve">Not verified (server, VM)</w:t>
            </w:r>
          </w:p>
        </w:tc>
        <w:tc>
          <w:tcPr>
            <w:tcW w:w="3315" w:type="dxa"/>
          </w:tcPr>
          <w:p>
            <w:pPr>
              <w:pStyle w:val="TableText"/>
            </w:pPr>
            <w:r>
              <w:rPr>
                <w:sz w:val="16"/>
                <w:szCs w:val="16"/>
              </w:rPr>
              <w:t xml:space="preserve">Windows Server 2019 Standard - Scan failed: APP02 (10.10.20.23): access denied for the credential sets 'Domain admin (DEMO)' and 'DMZ local admin'. License state unknown.</w:t>
            </w:r>
          </w:p>
        </w:tc>
        <w:tc>
          <w:tcPr>
            <w:tcW w:w="1757" w:type="dxa"/>
          </w:tcPr>
          <w:p>
            <w:pPr>
              <w:pStyle w:val="TableText"/>
            </w:pPr>
            <w:r>
              <w:rPr>
                <w:sz w:val="16"/>
                <w:szCs w:val="16"/>
              </w:rPr>
              <w:t xml:space="preserve">Hyper-V host HV02 / Active Directory</w:t>
            </w:r>
          </w:p>
        </w:tc>
      </w:tr>
      <w:tr>
        <w:trPr>
          <w:cantSplit/>
        </w:trPr>
        <w:tc>
          <w:tcPr>
            <w:tcW w:w="2145" w:type="dxa"/>
            <w:shd w:val="clear" w:color="auto" w:fill="FAFBFC"/>
          </w:tcPr>
          <w:p>
            <w:pPr>
              <w:pStyle w:val="TableText"/>
            </w:pPr>
            <w:r>
              <w:rPr>
                <w:sz w:val="16"/>
                <w:szCs w:val="16"/>
              </w:rPr>
              <w:t xml:space="preserve">PRINT01</w:t>
            </w:r>
          </w:p>
        </w:tc>
        <w:tc>
          <w:tcPr>
            <w:tcW w:w="2535" w:type="dxa"/>
            <w:shd w:val="clear" w:color="auto" w:fill="FAFBFC"/>
          </w:tcPr>
          <w:p>
            <w:pPr>
              <w:pStyle w:val="TableText"/>
            </w:pPr>
            <w:r>
              <w:rPr>
                <w:sz w:val="16"/>
                <w:szCs w:val="16"/>
              </w:rPr>
              <w:t xml:space="preserve">Not verified (server, VM)</w:t>
            </w:r>
          </w:p>
        </w:tc>
        <w:tc>
          <w:tcPr>
            <w:tcW w:w="3315" w:type="dxa"/>
            <w:shd w:val="clear" w:color="auto" w:fill="FAFBFC"/>
          </w:tcPr>
          <w:p>
            <w:pPr>
              <w:pStyle w:val="TableText"/>
            </w:pPr>
            <w:r>
              <w:rPr>
                <w:sz w:val="16"/>
                <w:szCs w:val="16"/>
              </w:rPr>
              <w:t xml:space="preserve">Windows Server 2016 (64-bit) - Scan failed: PRINT01 (10.10.20.31) did not respond on TCP 135, 5985 or 5986. Check name resolution, the firewall and that the computer is online. License state unknown.</w:t>
            </w:r>
          </w:p>
        </w:tc>
        <w:tc>
          <w:tcPr>
            <w:tcW w:w="1757" w:type="dxa"/>
            <w:shd w:val="clear" w:color="auto" w:fill="FAFBFC"/>
          </w:tcPr>
          <w:p>
            <w:pPr>
              <w:pStyle w:val="TableText"/>
            </w:pPr>
            <w:r>
              <w:rPr>
                <w:sz w:val="16"/>
                <w:szCs w:val="16"/>
              </w:rPr>
              <w:t xml:space="preserve">VMware vCenter vcenter01 / Active Directory</w:t>
            </w:r>
          </w:p>
        </w:tc>
      </w:tr>
      <w:tr>
        <w:trPr>
          <w:cantSplit/>
        </w:trPr>
        <w:tc>
          <w:tcPr>
            <w:tcW w:w="2145" w:type="dxa"/>
          </w:tcPr>
          <w:p>
            <w:pPr>
              <w:pStyle w:val="TableText"/>
            </w:pPr>
            <w:r>
              <w:rPr>
                <w:sz w:val="16"/>
                <w:szCs w:val="16"/>
              </w:rPr>
              <w:t xml:space="preserve">TESTVM03</w:t>
            </w:r>
          </w:p>
        </w:tc>
        <w:tc>
          <w:tcPr>
            <w:tcW w:w="2535" w:type="dxa"/>
          </w:tcPr>
          <w:p>
            <w:pPr>
              <w:pStyle w:val="TableText"/>
            </w:pPr>
            <w:r>
              <w:rPr>
                <w:sz w:val="16"/>
                <w:szCs w:val="16"/>
              </w:rPr>
              <w:t xml:space="preserve">Not verified (server, VM)</w:t>
            </w:r>
          </w:p>
        </w:tc>
        <w:tc>
          <w:tcPr>
            <w:tcW w:w="3315" w:type="dxa"/>
          </w:tcPr>
          <w:p>
            <w:pPr>
              <w:pStyle w:val="TableText"/>
            </w:pPr>
            <w:r>
              <w:rPr>
                <w:sz w:val="16"/>
                <w:szCs w:val="16"/>
              </w:rPr>
              <w:t xml:space="preserve">Unknown (guest OS not reported) - Not scanned - license state unknown. Scan it (or enable 'Also scan the Windows VMs found on the hosts').</w:t>
            </w:r>
          </w:p>
        </w:tc>
        <w:tc>
          <w:tcPr>
            <w:tcW w:w="1757" w:type="dxa"/>
          </w:tcPr>
          <w:p>
            <w:pPr>
              <w:pStyle w:val="TableText"/>
            </w:pPr>
            <w:r>
              <w:rPr>
                <w:sz w:val="16"/>
                <w:szCs w:val="16"/>
              </w:rPr>
              <w:t xml:space="preserve">VMware vCenter vcenter01</w:t>
            </w:r>
          </w:p>
        </w:tc>
      </w:tr>
      <w:tr>
        <w:trPr>
          <w:cantSplit/>
        </w:trPr>
        <w:tc>
          <w:tcPr>
            <w:tcW w:w="2145" w:type="dxa"/>
            <w:shd w:val="clear" w:color="auto" w:fill="FAFBFC"/>
          </w:tcPr>
          <w:p>
            <w:pPr>
              <w:pStyle w:val="TableText"/>
            </w:pPr>
            <w:r>
              <w:rPr>
                <w:sz w:val="16"/>
                <w:szCs w:val="16"/>
              </w:rPr>
              <w:t xml:space="preserve">WEB01</w:t>
            </w:r>
          </w:p>
        </w:tc>
        <w:tc>
          <w:tcPr>
            <w:tcW w:w="2535" w:type="dxa"/>
            <w:shd w:val="clear" w:color="auto" w:fill="FAFBFC"/>
          </w:tcPr>
          <w:p>
            <w:pPr>
              <w:pStyle w:val="TableText"/>
            </w:pPr>
            <w:r>
              <w:rPr>
                <w:sz w:val="16"/>
                <w:szCs w:val="16"/>
              </w:rPr>
              <w:t xml:space="preserve">Not verified (server, VM)</w:t>
            </w:r>
          </w:p>
        </w:tc>
        <w:tc>
          <w:tcPr>
            <w:tcW w:w="3315" w:type="dxa"/>
            <w:shd w:val="clear" w:color="auto" w:fill="FAFBFC"/>
          </w:tcPr>
          <w:p>
            <w:pPr>
              <w:pStyle w:val="TableText"/>
            </w:pPr>
            <w:r>
              <w:rPr>
                <w:sz w:val="16"/>
                <w:szCs w:val="16"/>
              </w:rPr>
              <w:t xml:space="preserve">Windows Server 2022 Datacenter - Not scanned - license state unknown. Scan it (or enable 'Also scan the Windows VMs found on the hosts').</w:t>
            </w:r>
          </w:p>
        </w:tc>
        <w:tc>
          <w:tcPr>
            <w:tcW w:w="1757" w:type="dxa"/>
            <w:shd w:val="clear" w:color="auto" w:fill="FAFBFC"/>
          </w:tcPr>
          <w:p>
            <w:pPr>
              <w:pStyle w:val="TableText"/>
            </w:pPr>
            <w:r>
              <w:rPr>
                <w:sz w:val="16"/>
                <w:szCs w:val="16"/>
              </w:rPr>
              <w:t xml:space="preserve">Hyper-V host HV02 / Active Directory</w:t>
            </w:r>
          </w:p>
        </w:tc>
      </w:tr>
      <w:tr>
        <w:trPr>
          <w:cantSplit/>
        </w:trPr>
        <w:tc>
          <w:tcPr>
            <w:tcW w:w="2145" w:type="dxa"/>
          </w:tcPr>
          <w:p>
            <w:pPr>
              <w:pStyle w:val="TableText"/>
            </w:pPr>
            <w:r>
              <w:rPr>
                <w:sz w:val="16"/>
                <w:szCs w:val="16"/>
              </w:rPr>
              <w:t xml:space="preserve">WEB02</w:t>
            </w:r>
          </w:p>
        </w:tc>
        <w:tc>
          <w:tcPr>
            <w:tcW w:w="2535" w:type="dxa"/>
          </w:tcPr>
          <w:p>
            <w:pPr>
              <w:pStyle w:val="TableText"/>
            </w:pPr>
            <w:r>
              <w:rPr>
                <w:sz w:val="16"/>
                <w:szCs w:val="16"/>
              </w:rPr>
              <w:t xml:space="preserve">Not verified (server, VM)</w:t>
            </w:r>
          </w:p>
        </w:tc>
        <w:tc>
          <w:tcPr>
            <w:tcW w:w="3315" w:type="dxa"/>
          </w:tcPr>
          <w:p>
            <w:pPr>
              <w:pStyle w:val="TableText"/>
            </w:pPr>
            <w:r>
              <w:rPr>
                <w:sz w:val="16"/>
                <w:szCs w:val="16"/>
              </w:rPr>
              <w:t xml:space="preserve">Windows Server 2022 Datacenter - Not scanned - license state unknown. Scan it (or enable 'Also scan the Windows VMs found on the hosts').</w:t>
            </w:r>
          </w:p>
        </w:tc>
        <w:tc>
          <w:tcPr>
            <w:tcW w:w="1757" w:type="dxa"/>
          </w:tcPr>
          <w:p>
            <w:pPr>
              <w:pStyle w:val="TableText"/>
            </w:pPr>
            <w:r>
              <w:rPr>
                <w:sz w:val="16"/>
                <w:szCs w:val="16"/>
              </w:rPr>
              <w:t xml:space="preserve">Hyper-V host HV02 / Active Directory</w:t>
            </w:r>
          </w:p>
        </w:tc>
      </w:tr>
      <w:tr>
        <w:trPr>
          <w:cantSplit/>
        </w:trPr>
        <w:tc>
          <w:tcPr>
            <w:tcW w:w="2145" w:type="dxa"/>
            <w:shd w:val="clear" w:color="auto" w:fill="FAFBFC"/>
          </w:tcPr>
          <w:p>
            <w:pPr>
              <w:pStyle w:val="TableText"/>
            </w:pPr>
            <w:r>
              <w:rPr>
                <w:sz w:val="16"/>
                <w:szCs w:val="16"/>
              </w:rPr>
              <w:t xml:space="preserve">WEBVM01</w:t>
            </w:r>
          </w:p>
        </w:tc>
        <w:tc>
          <w:tcPr>
            <w:tcW w:w="2535" w:type="dxa"/>
            <w:shd w:val="clear" w:color="auto" w:fill="FAFBFC"/>
          </w:tcPr>
          <w:p>
            <w:pPr>
              <w:pStyle w:val="TableText"/>
            </w:pPr>
            <w:r>
              <w:rPr>
                <w:sz w:val="16"/>
                <w:szCs w:val="16"/>
              </w:rPr>
              <w:t xml:space="preserve">Not verified (server, VM)</w:t>
            </w:r>
          </w:p>
        </w:tc>
        <w:tc>
          <w:tcPr>
            <w:tcW w:w="3315" w:type="dxa"/>
            <w:shd w:val="clear" w:color="auto" w:fill="FAFBFC"/>
          </w:tcPr>
          <w:p>
            <w:pPr>
              <w:pStyle w:val="TableText"/>
            </w:pPr>
            <w:r>
              <w:rPr>
                <w:sz w:val="16"/>
                <w:szCs w:val="16"/>
              </w:rPr>
              <w:t xml:space="preserve">Windows Server 2022 (64-bit) - Scan failed: WEBVM01 (10.10.20.41) did not respond on TCP 135, 5985 or 5986 (DMZ firewall). License state unknown.</w:t>
            </w:r>
          </w:p>
        </w:tc>
        <w:tc>
          <w:tcPr>
            <w:tcW w:w="1757" w:type="dxa"/>
            <w:shd w:val="clear" w:color="auto" w:fill="FAFBFC"/>
          </w:tcPr>
          <w:p>
            <w:pPr>
              <w:pStyle w:val="TableText"/>
            </w:pPr>
            <w:r>
              <w:rPr>
                <w:sz w:val="16"/>
                <w:szCs w:val="16"/>
              </w:rPr>
              <w:t xml:space="preserve">VMware vCenter vcenter01</w:t>
            </w:r>
          </w:p>
        </w:tc>
      </w:tr>
      <w:tr>
        <w:trPr>
          <w:cantSplit/>
        </w:trPr>
        <w:tc>
          <w:tcPr>
            <w:tcW w:w="2145" w:type="dxa"/>
          </w:tcPr>
          <w:p>
            <w:pPr>
              <w:pStyle w:val="TableText"/>
            </w:pPr>
            <w:r>
              <w:rPr>
                <w:sz w:val="16"/>
                <w:szCs w:val="16"/>
              </w:rPr>
              <w:t xml:space="preserve">WEBVM02</w:t>
            </w:r>
          </w:p>
        </w:tc>
        <w:tc>
          <w:tcPr>
            <w:tcW w:w="2535" w:type="dxa"/>
          </w:tcPr>
          <w:p>
            <w:pPr>
              <w:pStyle w:val="TableText"/>
            </w:pPr>
            <w:r>
              <w:rPr>
                <w:sz w:val="16"/>
                <w:szCs w:val="16"/>
              </w:rPr>
              <w:t xml:space="preserve">Not verified (server, VM)</w:t>
            </w:r>
          </w:p>
        </w:tc>
        <w:tc>
          <w:tcPr>
            <w:tcW w:w="3315" w:type="dxa"/>
          </w:tcPr>
          <w:p>
            <w:pPr>
              <w:pStyle w:val="TableText"/>
            </w:pPr>
            <w:r>
              <w:rPr>
                <w:sz w:val="16"/>
                <w:szCs w:val="16"/>
              </w:rPr>
              <w:t xml:space="preserve">Windows Server 2022 (64-bit) - Not scanned - license state unknown. Scan it (or enable 'Also scan the Windows VMs found on the hosts').</w:t>
            </w:r>
          </w:p>
        </w:tc>
        <w:tc>
          <w:tcPr>
            <w:tcW w:w="1757" w:type="dxa"/>
          </w:tcPr>
          <w:p>
            <w:pPr>
              <w:pStyle w:val="TableText"/>
            </w:pPr>
            <w:r>
              <w:rPr>
                <w:sz w:val="16"/>
                <w:szCs w:val="16"/>
              </w:rPr>
              <w:t xml:space="preserve">VMware vCenter vcenter01</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RULE-WINCLIENT-010</w:t>
      </w:r>
      <w:r>
        <w:rPr>
          <w:sz w:val="16"/>
          <w:szCs w:val="16"/>
        </w:rPr>
        <w:t xml:space="preserve"> v1.1 — Windows activation and license state (servers and clients) · Last reviewed: 2026-10-02</w:t>
      </w:r>
      <w:r>
        <w:rPr>
          <w:sz w:val="16"/>
          <w:szCs w:val="16"/>
        </w:rPr>
        <w:t xml:space="preserve"> · Source: </w:t>
      </w:r>
      <w:hyperlink r:id="rId126" w:history="1">
        <w:r>
          <w:rPr>
            <w:rStyle w:val="Hyperlink"/>
            <w:sz w:val="16"/>
            <w:szCs w:val="16"/>
          </w:rPr>
          <w:t xml:space="preserve">Microsoft Learn - Windows commercial licensing overview</w:t>
        </w:r>
      </w:hyperlink>
      <w:r>
        <w:rPr>
          <w:color w:val="5B6475"/>
          <w:sz w:val="15"/>
          <w:szCs w:val="15"/>
        </w:rPr>
        <w:t xml:space="preserve"> (https://learn.microsoft.com/windows/whats-new/windows-licensing)</w:t>
      </w:r>
    </w:p>
    <w:p>
      <w:pPr>
        <w:pStyle w:val="Heading3"/>
      </w:pPr>
      <w:bookmarkStart w:id="46" w:name="_TocMlat00046"/>
      <w:r>
        <w:t xml:space="preserve">Cluster VMW-CLU01: VM mobility increases the Windows Server Standard requirement</w:t>
      </w:r>
      <w:bookmarkEnd w:id="46"/>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Windows Server</w:t>
      </w:r>
      <w:r>
        <w:rPr>
          <w:color w:val="5B6475"/>
          <w:sz w:val="17"/>
          <w:szCs w:val="17"/>
        </w:rPr>
        <w:t xml:space="preserve">  ·  FND-0003</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4 Windows Server VM(s) can run on cluster VMW-CLU01; ESX01 runs 2 now, licensed for 4 (1 -&gt; 2 Standard set(s) x 40 cores, +40); ESX02 runs 2 now, licensed for 4 (1 -&gt; 2 Standard set(s) x 16 cores, +16).</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Windows Server Standard licenses can be reassigned to other hardware only once every 90 days (except permanent hardware failure), so each Standard node is licensed for all Windows Server VMs that can move to it: +56 Standard core licenses compared with the current VM placement. Datacenter licensing covers unlimited Windows Server VMs per node (56 licensable cores for these nodes) and avoids the uplift.</w:t>
            </w:r>
          </w:p>
        </w:tc>
      </w:tr>
    </w:tbl>
    <w:p>
      <w:pPr>
        <w:spacing w:before="0" w:after="0" w:line="240" w:lineRule="auto"/>
        <w:rPr>
          <w:sz w:val="12"/>
          <w:szCs w:val="12"/>
        </w:rPr>
      </w:pPr>
    </w:p>
    <w:p>
      <w:r>
        <w:rPr>
          <w:b/>
          <w:bCs/>
        </w:rPr>
        <w:t xml:space="preserve">Recommendation: </w:t>
      </w:r>
      <w:r>
        <w:t xml:space="preserve">Compare Datacenter for the cluster nodes with the stacked Standard sets (see the procurement list), or restrict VM placement (preferred owners / affinity rules) and set Settings &gt; Cluster licensing to 'current placement'.</w:t>
      </w:r>
    </w:p>
    <w:p>
      <w:pPr>
        <w:pStyle w:val="Small"/>
      </w:pPr>
      <w:r>
        <w:rPr>
          <w:b/>
          <w:bCs/>
        </w:rPr>
        <w:t xml:space="preserve">Targets: </w:t>
      </w:r>
      <w:r>
        <w:t xml:space="preserve">VMW-CLU01, ESX01, ESX02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Cluster VMW-CLU01</w:t>
            </w:r>
          </w:p>
        </w:tc>
        <w:tc>
          <w:tcPr>
            <w:tcW w:w="3315" w:type="dxa"/>
          </w:tcPr>
          <w:p>
            <w:pPr>
              <w:pStyle w:val="TableText"/>
            </w:pPr>
            <w:r>
              <w:rPr>
                <w:sz w:val="16"/>
                <w:szCs w:val="16"/>
              </w:rPr>
              <w:t xml:space="preserve">4 Windows Server VMs can run on this node (VM mobility); 2 placed; +40 Standard cores</w:t>
            </w:r>
          </w:p>
        </w:tc>
        <w:tc>
          <w:tcPr>
            <w:tcW w:w="1757" w:type="dxa"/>
          </w:tcPr>
          <w:p>
            <w:pPr>
              <w:pStyle w:val="TableText"/>
            </w:pPr>
            <w:r>
              <w:rPr>
                <w:sz w:val="16"/>
                <w:szCs w:val="16"/>
              </w:rPr>
              <w:t xml:space="preserve">Calculated</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Cluster VMW-CLU01</w:t>
            </w:r>
          </w:p>
        </w:tc>
        <w:tc>
          <w:tcPr>
            <w:tcW w:w="3315" w:type="dxa"/>
            <w:shd w:val="clear" w:color="auto" w:fill="FAFBFC"/>
          </w:tcPr>
          <w:p>
            <w:pPr>
              <w:pStyle w:val="TableText"/>
            </w:pPr>
            <w:r>
              <w:rPr>
                <w:sz w:val="16"/>
                <w:szCs w:val="16"/>
              </w:rPr>
              <w:t xml:space="preserve">4 Windows Server VMs can run on this node (VM mobility); 2 placed; +16 Standard cores</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Windows Server Standard licenses can be reassigned only once every 90 days; each cluster node is licensed for all Windows Server VMs that can move to it. Set Settings &gt; Cluster licensing to 'current placement' if VM placement is restricted.</w:t>
      </w:r>
    </w:p>
    <w:p>
      <w:pPr>
        <w:shd w:val="clear" w:color="auto" w:fill="F5F7FA"/>
        <w:spacing w:after="200"/>
      </w:pPr>
      <w:r>
        <w:rPr>
          <w:sz w:val="16"/>
          <w:szCs w:val="16"/>
        </w:rPr>
        <w:t xml:space="preserve">Rule </w:t>
      </w:r>
      <w:r>
        <w:rPr>
          <w:b/>
          <w:bCs/>
          <w:sz w:val="16"/>
          <w:szCs w:val="16"/>
        </w:rPr>
        <w:t xml:space="preserve">RULE-CLUSTER-031</w:t>
      </w:r>
      <w:r>
        <w:rPr>
          <w:sz w:val="16"/>
          <w:szCs w:val="16"/>
        </w:rPr>
        <w:t xml:space="preserve"> v1.0 — Windows Server licensing in clusters (VM mobility) · Last reviewed: 2026-10-02</w:t>
      </w:r>
      <w:r>
        <w:rPr>
          <w:sz w:val="16"/>
          <w:szCs w:val="16"/>
        </w:rPr>
        <w:t xml:space="preserve"> · Source: </w:t>
      </w:r>
      <w:hyperlink r:id="rId127" w:history="1">
        <w:r>
          <w:rPr>
            <w:rStyle w:val="Hyperlink"/>
            <w:sz w:val="16"/>
            <w:szCs w:val="16"/>
          </w:rPr>
          <w:t xml:space="preserve">Microsoft Product Terms - Windows Server (Standard, Datacenter, Essentials); license assignment and reassignment (Universal License Terms)</w:t>
        </w:r>
      </w:hyperlink>
      <w:r>
        <w:rPr>
          <w:color w:val="5B6475"/>
          <w:sz w:val="15"/>
          <w:szCs w:val="15"/>
        </w:rPr>
        <w:t xml:space="preserve"> (https://www.microsoft.com/licensing/terms/)</w:t>
      </w:r>
    </w:p>
    <w:p>
      <w:pPr>
        <w:pStyle w:val="Heading3"/>
      </w:pPr>
      <w:bookmarkStart w:id="47" w:name="_TocMlat00047"/>
      <w:r>
        <w:t xml:space="preserve">Datacenter guests on a Standard host</w:t>
      </w:r>
      <w:bookmarkEnd w:id="47"/>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Windows Server</w:t>
      </w:r>
      <w:r>
        <w:rPr>
          <w:color w:val="5B6475"/>
          <w:sz w:val="17"/>
          <w:szCs w:val="17"/>
        </w:rPr>
        <w:t xml:space="preserve">  ·  FND-0001</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HV01 runs Windows Server Standard and hosts Windows Server Datacenter guest(s).</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Guests running Datacenter edition require the host to be licensed with Datacenter core licenses.</w:t>
            </w:r>
          </w:p>
        </w:tc>
      </w:tr>
    </w:tbl>
    <w:p>
      <w:pPr>
        <w:spacing w:before="0" w:after="0" w:line="240" w:lineRule="auto"/>
        <w:rPr>
          <w:sz w:val="12"/>
          <w:szCs w:val="12"/>
        </w:rPr>
      </w:pPr>
    </w:p>
    <w:p>
      <w:r>
        <w:rPr>
          <w:b/>
          <w:bCs/>
        </w:rPr>
        <w:t xml:space="preserve">Recommendation: </w:t>
      </w:r>
      <w:r>
        <w:t xml:space="preserve">License the host with Datacenter or change the guest edition.</w:t>
      </w:r>
    </w:p>
    <w:p>
      <w:pPr>
        <w:pStyle w:val="Small"/>
      </w:pPr>
      <w:r>
        <w:rPr>
          <w:b/>
          <w:bCs/>
        </w:rPr>
        <w:t xml:space="preserve">Targets: </w:t>
      </w:r>
      <w:r>
        <w:t xml:space="preserve">HV01</w:t>
      </w:r>
    </w:p>
    <w:p>
      <w:pPr>
        <w:shd w:val="clear" w:color="auto" w:fill="F5F7FA"/>
        <w:spacing w:after="200"/>
      </w:pPr>
      <w:r>
        <w:rPr>
          <w:sz w:val="16"/>
          <w:szCs w:val="16"/>
        </w:rPr>
        <w:t xml:space="preserve">Rule </w:t>
      </w:r>
      <w:r>
        <w:rPr>
          <w:b/>
          <w:bCs/>
          <w:sz w:val="16"/>
          <w:szCs w:val="16"/>
        </w:rPr>
        <w:t xml:space="preserve">RULE-WINSERVER-001</w:t>
      </w:r>
      <w:r>
        <w:rPr>
          <w:sz w:val="16"/>
          <w:szCs w:val="16"/>
        </w:rPr>
        <w:t xml:space="preserve"> v1.1 — Windows Server core licensing of physical hosts and virtualization rights · Last reviewed: 2026-10-02</w:t>
      </w:r>
      <w:r>
        <w:rPr>
          <w:sz w:val="16"/>
          <w:szCs w:val="16"/>
        </w:rPr>
        <w:t xml:space="preserve"> · Source: </w:t>
      </w:r>
      <w:hyperlink r:id="rId128" w:history="1">
        <w:r>
          <w:rPr>
            <w:rStyle w:val="Hyperlink"/>
            <w:sz w:val="16"/>
            <w:szCs w:val="16"/>
          </w:rPr>
          <w:t xml:space="preserve">Microsoft Product Terms - Windows Server (Standard, Datacenter, Essentials)</w:t>
        </w:r>
      </w:hyperlink>
      <w:r>
        <w:rPr>
          <w:color w:val="5B6475"/>
          <w:sz w:val="15"/>
          <w:szCs w:val="15"/>
        </w:rPr>
        <w:t xml:space="preserve"> (https://www.microsoft.com/licensing/terms/)</w:t>
      </w:r>
    </w:p>
    <w:p>
      <w:pPr>
        <w:pStyle w:val="Heading3"/>
      </w:pPr>
      <w:bookmarkStart w:id="48" w:name="_TocMlat00048"/>
      <w:r>
        <w:t xml:space="preserve">Windows Server not activated</w:t>
      </w:r>
      <w:bookmarkEnd w:id="48"/>
    </w:p>
    <w:p>
      <w:pPr>
        <w:keepNext/>
        <w:spacing w:after="100"/>
      </w:pPr>
      <w:r>
        <w:rPr>
          <w:b/>
          <w:bCs/>
          <w:color w:val="7A5600"/>
          <w:sz w:val="16"/>
          <w:szCs w:val="16"/>
          <w:shd w:val="clear" w:color="auto" w:fill="FFF2CC"/>
        </w:rPr>
        <w:t xml:space="preserve"> MEDIUM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Medium</w:t>
      </w:r>
      <w:r>
        <w:rPr>
          <w:color w:val="5B6475"/>
          <w:sz w:val="17"/>
          <w:szCs w:val="17"/>
        </w:rPr>
        <w:t xml:space="preserve">  ·  Windows Server</w:t>
      </w:r>
      <w:r>
        <w:rPr>
          <w:color w:val="5B6475"/>
          <w:sz w:val="17"/>
          <w:szCs w:val="17"/>
        </w:rPr>
        <w:t xml:space="preserve">  ·  FND-0011</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APP01: Windows license status 'Out-of-box grace' (Volume (KMS)), 18 grace day(s) remaining; KMS host kms01.demo.local:1688.</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Activation problems do not change the core-license calculation but indicate the installed key may not match a valid license. Potential licensing gap - validation required.</w:t>
            </w:r>
          </w:p>
        </w:tc>
      </w:tr>
    </w:tbl>
    <w:p>
      <w:pPr>
        <w:spacing w:before="0" w:after="0" w:line="240" w:lineRule="auto"/>
        <w:rPr>
          <w:sz w:val="12"/>
          <w:szCs w:val="12"/>
        </w:rPr>
      </w:pPr>
    </w:p>
    <w:p>
      <w:r>
        <w:rPr>
          <w:b/>
          <w:bCs/>
        </w:rPr>
        <w:t xml:space="preserve">Recommendation: </w:t>
      </w:r>
      <w:r>
        <w:t xml:space="preserve">Check KMS host reachability / Active Directory-based activation, or activate with a valid product key (MAK, AVMA or retail).</w:t>
      </w:r>
    </w:p>
    <w:p>
      <w:pPr>
        <w:pStyle w:val="Small"/>
      </w:pPr>
      <w:r>
        <w:rPr>
          <w:b/>
          <w:bCs/>
        </w:rPr>
        <w:t xml:space="preserve">Targets: </w:t>
      </w:r>
      <w:r>
        <w:t xml:space="preserve">APP01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2022 Standard (build 20348)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(Hyper-V)</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Windows license state</w:t>
            </w:r>
          </w:p>
        </w:tc>
        <w:tc>
          <w:tcPr>
            <w:tcW w:w="3315" w:type="dxa"/>
            <w:shd w:val="clear" w:color="auto" w:fill="FAFBFC"/>
          </w:tcPr>
          <w:p>
            <w:pPr>
              <w:pStyle w:val="TableText"/>
            </w:pPr>
            <w:r>
              <w:rPr>
                <w:sz w:val="16"/>
                <w:szCs w:val="16"/>
              </w:rPr>
              <w:t xml:space="preserve">Not activated (Out-of-box grace)</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Activation channel</w:t>
            </w:r>
          </w:p>
        </w:tc>
        <w:tc>
          <w:tcPr>
            <w:tcW w:w="3315" w:type="dxa"/>
          </w:tcPr>
          <w:p>
            <w:pPr>
              <w:pStyle w:val="TableText"/>
            </w:pPr>
            <w:r>
              <w:rPr>
                <w:sz w:val="16"/>
                <w:szCs w:val="16"/>
              </w:rPr>
              <w:t xml:space="preserve">Volume (KMS)</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Partial product key</w:t>
            </w:r>
          </w:p>
        </w:tc>
        <w:tc>
          <w:tcPr>
            <w:tcW w:w="3315" w:type="dxa"/>
            <w:shd w:val="clear" w:color="auto" w:fill="FAFBFC"/>
          </w:tcPr>
          <w:p>
            <w:pPr>
              <w:pStyle w:val="TableText"/>
            </w:pPr>
            <w:r>
              <w:rPr>
                <w:sz w:val="16"/>
                <w:szCs w:val="16"/>
              </w:rPr>
              <w:t xml:space="preserve">DEMO1</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Grace period remaining</w:t>
            </w:r>
          </w:p>
        </w:tc>
        <w:tc>
          <w:tcPr>
            <w:tcW w:w="3315" w:type="dxa"/>
          </w:tcPr>
          <w:p>
            <w:pPr>
              <w:pStyle w:val="TableText"/>
            </w:pPr>
            <w:r>
              <w:rPr>
                <w:sz w:val="16"/>
                <w:szCs w:val="16"/>
              </w:rPr>
              <w:t xml:space="preserve">18 day(s)</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KMS host</w:t>
            </w:r>
          </w:p>
        </w:tc>
        <w:tc>
          <w:tcPr>
            <w:tcW w:w="3315" w:type="dxa"/>
            <w:shd w:val="clear" w:color="auto" w:fill="FAFBFC"/>
          </w:tcPr>
          <w:p>
            <w:pPr>
              <w:pStyle w:val="TableText"/>
            </w:pPr>
            <w:r>
              <w:rPr>
                <w:sz w:val="16"/>
                <w:szCs w:val="16"/>
              </w:rPr>
              <w:t xml:space="preserve">kms01.demo.local:1688</w:t>
            </w:r>
          </w:p>
        </w:tc>
        <w:tc>
          <w:tcPr>
            <w:tcW w:w="1757" w:type="dxa"/>
            <w:shd w:val="clear" w:color="auto" w:fill="FAFBFC"/>
          </w:tcPr>
          <w:p>
            <w:pPr>
              <w:pStyle w:val="TableText"/>
            </w:pPr>
            <w:r>
              <w:rPr>
                <w:sz w:val="16"/>
                <w:szCs w:val="16"/>
              </w:rPr>
              <w:t xml:space="preserve">WMI (SoftwareLicensingService)</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Collected via</w:t>
            </w:r>
          </w:p>
        </w:tc>
        <w:tc>
          <w:tcPr>
            <w:tcW w:w="3315" w:type="dxa"/>
          </w:tcPr>
          <w:p>
            <w:pPr>
              <w:pStyle w:val="TableText"/>
            </w:pPr>
            <w:r>
              <w:rPr>
                <w:sz w:val="16"/>
                <w:szCs w:val="16"/>
              </w:rPr>
              <w:t xml:space="preserve">WMI / DCOM (TCP 135) - 10.10.20.14 [Range 10.10.20.0/24] as Domain admin (DEMO)</w:t>
            </w:r>
          </w:p>
        </w:tc>
        <w:tc>
          <w:tcPr>
            <w:tcW w:w="1757" w:type="dxa"/>
          </w:tcPr>
          <w:p>
            <w:pPr>
              <w:pStyle w:val="TableText"/>
            </w:pPr>
            <w:r>
              <w:rPr>
                <w:sz w:val="16"/>
                <w:szCs w:val="16"/>
              </w:rPr>
              <w:t xml:space="preserve">Scanned (WMI)</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RULE-WINCLIENT-010</w:t>
      </w:r>
      <w:r>
        <w:rPr>
          <w:sz w:val="16"/>
          <w:szCs w:val="16"/>
        </w:rPr>
        <w:t xml:space="preserve"> v1.1 — Windows activation and license state (servers and clients) · Last reviewed: 2026-10-02</w:t>
      </w:r>
      <w:r>
        <w:rPr>
          <w:sz w:val="16"/>
          <w:szCs w:val="16"/>
        </w:rPr>
        <w:t xml:space="preserve"> · Source: </w:t>
      </w:r>
      <w:hyperlink r:id="rId129" w:history="1">
        <w:r>
          <w:rPr>
            <w:rStyle w:val="Hyperlink"/>
            <w:sz w:val="16"/>
            <w:szCs w:val="16"/>
          </w:rPr>
          <w:t xml:space="preserve">Microsoft Learn - Windows commercial licensing overview</w:t>
        </w:r>
      </w:hyperlink>
      <w:r>
        <w:rPr>
          <w:color w:val="5B6475"/>
          <w:sz w:val="15"/>
          <w:szCs w:val="15"/>
        </w:rPr>
        <w:t xml:space="preserve"> (https://learn.microsoft.com/windows/whats-new/windows-licensing)</w:t>
      </w:r>
    </w:p>
    <w:p>
      <w:pPr>
        <w:pStyle w:val="Heading2"/>
      </w:pPr>
      <w:bookmarkStart w:id="49" w:name="_TocMlat00049"/>
      <w:r>
        <w:t xml:space="preserve">Low severity (10)</w:t>
      </w:r>
      <w:bookmarkEnd w:id="49"/>
    </w:p>
    <w:p>
      <w:pPr>
        <w:pStyle w:val="Heading3"/>
      </w:pPr>
      <w:bookmarkStart w:id="50" w:name="_TocMlat00050"/>
      <w:r>
        <w:t xml:space="preserve">Office 2021 reaches end of support soon</w:t>
      </w:r>
      <w:bookmarkEnd w:id="50"/>
    </w:p>
    <w:p>
      <w:pPr>
        <w:keepNext/>
        <w:spacing w:after="100"/>
      </w:pPr>
      <w:r>
        <w:rPr>
          <w:b/>
          <w:bCs/>
          <w:color w:val="17508F"/>
          <w:sz w:val="16"/>
          <w:szCs w:val="16"/>
          <w:shd w:val="clear" w:color="auto" w:fill="E1EDFB"/>
        </w:rPr>
        <w:t xml:space="preserve"> LOW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High</w:t>
      </w:r>
      <w:r>
        <w:rPr>
          <w:color w:val="5B6475"/>
          <w:sz w:val="17"/>
          <w:szCs w:val="17"/>
        </w:rPr>
        <w:t xml:space="preserve">  ·  Lifecycle</w:t>
      </w:r>
      <w:r>
        <w:rPr>
          <w:color w:val="5B6475"/>
          <w:sz w:val="17"/>
          <w:szCs w:val="17"/>
        </w:rPr>
        <w:t xml:space="preserve">  ·  FND-0032</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2 machine(s) run Office 2021; extended support ends on 2026-10-13.</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Plan upgrade or ESU coverage.</w:t>
            </w:r>
          </w:p>
        </w:tc>
      </w:tr>
    </w:tbl>
    <w:p>
      <w:pPr>
        <w:spacing w:before="0" w:after="0" w:line="240" w:lineRule="auto"/>
        <w:rPr>
          <w:sz w:val="12"/>
          <w:szCs w:val="12"/>
        </w:rPr>
      </w:pPr>
    </w:p>
    <w:p>
      <w:r>
        <w:rPr>
          <w:b/>
          <w:bCs/>
        </w:rPr>
        <w:t xml:space="preserve">Recommendation: </w:t>
      </w:r>
      <w:r>
        <w:t xml:space="preserve">Plan the upgrade. </w:t>
      </w:r>
    </w:p>
    <w:p>
      <w:pPr>
        <w:pStyle w:val="Small"/>
      </w:pPr>
      <w:r>
        <w:rPr>
          <w:b/>
          <w:bCs/>
        </w:rPr>
        <w:t xml:space="preserve">Targets: </w:t>
      </w:r>
      <w:r>
        <w:t xml:space="preserve">RDS01, PC-007</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Office 2021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PC-007</w:t>
            </w:r>
          </w:p>
        </w:tc>
        <w:tc>
          <w:tcPr>
            <w:tcW w:w="2535" w:type="dxa"/>
            <w:shd w:val="clear" w:color="auto" w:fill="FAFBFC"/>
          </w:tcPr>
          <w:p>
            <w:pPr>
              <w:pStyle w:val="TableText"/>
            </w:pPr>
            <w:r>
              <w:rPr>
                <w:sz w:val="16"/>
                <w:szCs w:val="16"/>
              </w:rPr>
              <w:t xml:space="preserve">Product version</w:t>
            </w:r>
          </w:p>
        </w:tc>
        <w:tc>
          <w:tcPr>
            <w:tcW w:w="3315" w:type="dxa"/>
            <w:shd w:val="clear" w:color="auto" w:fill="FAFBFC"/>
          </w:tcPr>
          <w:p>
            <w:pPr>
              <w:pStyle w:val="TableText"/>
            </w:pPr>
            <w:r>
              <w:rPr>
                <w:sz w:val="16"/>
                <w:szCs w:val="16"/>
              </w:rPr>
              <w:t xml:space="preserve">Office 2021</w:t>
            </w:r>
          </w:p>
        </w:tc>
        <w:tc>
          <w:tcPr>
            <w:tcW w:w="1757" w:type="dxa"/>
            <w:shd w:val="clear" w:color="auto" w:fill="FAFBFC"/>
          </w:tcPr>
          <w:p>
            <w:pPr>
              <w:pStyle w:val="TableText"/>
            </w:pPr>
            <w:r>
              <w:rPr>
                <w:sz w:val="16"/>
                <w:szCs w:val="16"/>
              </w:rPr>
              <w:t xml:space="preserve">Inventory</w:t>
            </w:r>
          </w:p>
        </w:tc>
      </w:tr>
      <w:tr>
        <w:trPr>
          <w:cantSplit/>
        </w:trPr>
        <w:tc>
          <w:tcPr>
            <w:tcW w:w="2145" w:type="dxa"/>
          </w:tcPr>
          <w:p>
            <w:pPr>
              <w:pStyle w:val="TableText"/>
            </w:pPr>
            <w:r>
              <w:rPr>
                <w:sz w:val="16"/>
                <w:szCs w:val="16"/>
              </w:rPr>
              <w:t xml:space="preserve">Lifecycle</w:t>
            </w:r>
          </w:p>
        </w:tc>
        <w:tc>
          <w:tcPr>
            <w:tcW w:w="2535" w:type="dxa"/>
          </w:tcPr>
          <w:p>
            <w:pPr>
              <w:pStyle w:val="TableText"/>
            </w:pPr>
            <w:r>
              <w:rPr>
                <w:sz w:val="16"/>
                <w:szCs w:val="16"/>
              </w:rPr>
              <w:t xml:space="preserve">End of extended support</w:t>
            </w:r>
          </w:p>
        </w:tc>
        <w:tc>
          <w:tcPr>
            <w:tcW w:w="3315" w:type="dxa"/>
          </w:tcPr>
          <w:p>
            <w:pPr>
              <w:pStyle w:val="TableText"/>
            </w:pPr>
            <w:r>
              <w:rPr>
                <w:sz w:val="16"/>
                <w:szCs w:val="16"/>
              </w:rPr>
              <w:t xml:space="preserve">2026-10-13</w:t>
            </w:r>
          </w:p>
        </w:tc>
        <w:tc>
          <w:tcPr>
            <w:tcW w:w="1757" w:type="dxa"/>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30"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51" w:name="_TocMlat00051"/>
      <w:r>
        <w:t xml:space="preserve">Visio 2021 reaches end of support soon</w:t>
      </w:r>
      <w:bookmarkEnd w:id="51"/>
    </w:p>
    <w:p>
      <w:pPr>
        <w:keepNext/>
        <w:spacing w:after="100"/>
      </w:pPr>
      <w:r>
        <w:rPr>
          <w:b/>
          <w:bCs/>
          <w:color w:val="17508F"/>
          <w:sz w:val="16"/>
          <w:szCs w:val="16"/>
          <w:shd w:val="clear" w:color="auto" w:fill="E1EDFB"/>
        </w:rPr>
        <w:t xml:space="preserve"> LOW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High</w:t>
      </w:r>
      <w:r>
        <w:rPr>
          <w:color w:val="5B6475"/>
          <w:sz w:val="17"/>
          <w:szCs w:val="17"/>
        </w:rPr>
        <w:t xml:space="preserve">  ·  Lifecycle</w:t>
      </w:r>
      <w:r>
        <w:rPr>
          <w:color w:val="5B6475"/>
          <w:sz w:val="17"/>
          <w:szCs w:val="17"/>
        </w:rPr>
        <w:t xml:space="preserve">  ·  FND-0034</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machine(s) run Visio 2021; extended support ends on 2026-10-13.</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Plan upgrade or ESU coverage.</w:t>
            </w:r>
          </w:p>
        </w:tc>
      </w:tr>
    </w:tbl>
    <w:p>
      <w:pPr>
        <w:spacing w:before="0" w:after="0" w:line="240" w:lineRule="auto"/>
        <w:rPr>
          <w:sz w:val="12"/>
          <w:szCs w:val="12"/>
        </w:rPr>
      </w:pPr>
    </w:p>
    <w:p>
      <w:r>
        <w:rPr>
          <w:b/>
          <w:bCs/>
        </w:rPr>
        <w:t xml:space="preserve">Recommendation: </w:t>
      </w:r>
      <w:r>
        <w:t xml:space="preserve">Plan the upgrade. </w:t>
      </w:r>
    </w:p>
    <w:p>
      <w:pPr>
        <w:pStyle w:val="Small"/>
      </w:pPr>
      <w:r>
        <w:rPr>
          <w:b/>
          <w:bCs/>
        </w:rPr>
        <w:t xml:space="preserve">Targets: </w:t>
      </w:r>
      <w:r>
        <w:t xml:space="preserve">PC-008</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PC-008</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Visio 2021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Lifecycle</w:t>
            </w:r>
          </w:p>
        </w:tc>
        <w:tc>
          <w:tcPr>
            <w:tcW w:w="2535" w:type="dxa"/>
            <w:shd w:val="clear" w:color="auto" w:fill="FAFBFC"/>
          </w:tcPr>
          <w:p>
            <w:pPr>
              <w:pStyle w:val="TableText"/>
            </w:pPr>
            <w:r>
              <w:rPr>
                <w:sz w:val="16"/>
                <w:szCs w:val="16"/>
              </w:rPr>
              <w:t xml:space="preserve">End of extended support</w:t>
            </w:r>
          </w:p>
        </w:tc>
        <w:tc>
          <w:tcPr>
            <w:tcW w:w="3315" w:type="dxa"/>
            <w:shd w:val="clear" w:color="auto" w:fill="FAFBFC"/>
          </w:tcPr>
          <w:p>
            <w:pPr>
              <w:pStyle w:val="TableText"/>
            </w:pPr>
            <w:r>
              <w:rPr>
                <w:sz w:val="16"/>
                <w:szCs w:val="16"/>
              </w:rPr>
              <w:t xml:space="preserve">2026-10-13</w:t>
            </w:r>
          </w:p>
        </w:tc>
        <w:tc>
          <w:tcPr>
            <w:tcW w:w="1757" w:type="dxa"/>
            <w:shd w:val="clear" w:color="auto" w:fill="FAFBFC"/>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31"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52" w:name="_TocMlat00052"/>
      <w:r>
        <w:t xml:space="preserve">Windows Server 2016 reaches end of support soon</w:t>
      </w:r>
      <w:bookmarkEnd w:id="52"/>
    </w:p>
    <w:p>
      <w:pPr>
        <w:keepNext/>
        <w:spacing w:after="100"/>
      </w:pPr>
      <w:r>
        <w:rPr>
          <w:b/>
          <w:bCs/>
          <w:color w:val="17508F"/>
          <w:sz w:val="16"/>
          <w:szCs w:val="16"/>
          <w:shd w:val="clear" w:color="auto" w:fill="E1EDFB"/>
        </w:rPr>
        <w:t xml:space="preserve"> LOW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High</w:t>
      </w:r>
      <w:r>
        <w:rPr>
          <w:color w:val="5B6475"/>
          <w:sz w:val="17"/>
          <w:szCs w:val="17"/>
        </w:rPr>
        <w:t xml:space="preserve">  ·  Lifecycle</w:t>
      </w:r>
      <w:r>
        <w:rPr>
          <w:color w:val="5B6475"/>
          <w:sz w:val="17"/>
          <w:szCs w:val="17"/>
        </w:rPr>
        <w:t xml:space="preserve">  ·  FND-0031</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machine(s) run Windows Server 2016; extended support ends on 2027-01-12.</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Plan upgrade or ESU coverage.</w:t>
            </w:r>
          </w:p>
        </w:tc>
      </w:tr>
    </w:tbl>
    <w:p>
      <w:pPr>
        <w:spacing w:before="0" w:after="0" w:line="240" w:lineRule="auto"/>
        <w:rPr>
          <w:sz w:val="12"/>
          <w:szCs w:val="12"/>
        </w:rPr>
      </w:pPr>
    </w:p>
    <w:p>
      <w:r>
        <w:rPr>
          <w:b/>
          <w:bCs/>
        </w:rPr>
        <w:t xml:space="preserve">Recommendation: </w:t>
      </w:r>
      <w:r>
        <w:t xml:space="preserve">Plan the upgrade. </w:t>
      </w:r>
    </w:p>
    <w:p>
      <w:pPr>
        <w:pStyle w:val="Small"/>
      </w:pPr>
      <w:r>
        <w:rPr>
          <w:b/>
          <w:bCs/>
        </w:rPr>
        <w:t xml:space="preserve">Targets: </w:t>
      </w:r>
      <w:r>
        <w:t xml:space="preserve">FS01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FS01</w:t>
            </w:r>
          </w:p>
        </w:tc>
        <w:tc>
          <w:tcPr>
            <w:tcW w:w="2535" w:type="dxa"/>
          </w:tcPr>
          <w:p>
            <w:pPr>
              <w:pStyle w:val="TableText"/>
            </w:pPr>
            <w:r>
              <w:rPr>
                <w:sz w:val="16"/>
                <w:szCs w:val="16"/>
              </w:rPr>
              <w:t xml:space="preserve">Product version</w:t>
            </w:r>
          </w:p>
        </w:tc>
        <w:tc>
          <w:tcPr>
            <w:tcW w:w="3315" w:type="dxa"/>
          </w:tcPr>
          <w:p>
            <w:pPr>
              <w:pStyle w:val="TableText"/>
            </w:pPr>
            <w:r>
              <w:rPr>
                <w:sz w:val="16"/>
                <w:szCs w:val="16"/>
              </w:rPr>
              <w:t xml:space="preserve">Windows Server 2016</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Lifecycle</w:t>
            </w:r>
          </w:p>
        </w:tc>
        <w:tc>
          <w:tcPr>
            <w:tcW w:w="2535" w:type="dxa"/>
            <w:shd w:val="clear" w:color="auto" w:fill="FAFBFC"/>
          </w:tcPr>
          <w:p>
            <w:pPr>
              <w:pStyle w:val="TableText"/>
            </w:pPr>
            <w:r>
              <w:rPr>
                <w:sz w:val="16"/>
                <w:szCs w:val="16"/>
              </w:rPr>
              <w:t xml:space="preserve">End of extended support</w:t>
            </w:r>
          </w:p>
        </w:tc>
        <w:tc>
          <w:tcPr>
            <w:tcW w:w="3315" w:type="dxa"/>
            <w:shd w:val="clear" w:color="auto" w:fill="FAFBFC"/>
          </w:tcPr>
          <w:p>
            <w:pPr>
              <w:pStyle w:val="TableText"/>
            </w:pPr>
            <w:r>
              <w:rPr>
                <w:sz w:val="16"/>
                <w:szCs w:val="16"/>
              </w:rPr>
              <w:t xml:space="preserve">2027-01-12</w:t>
            </w:r>
          </w:p>
        </w:tc>
        <w:tc>
          <w:tcPr>
            <w:tcW w:w="1757" w:type="dxa"/>
            <w:shd w:val="clear" w:color="auto" w:fill="FAFBFC"/>
          </w:tcPr>
          <w:p>
            <w:pPr>
              <w:pStyle w:val="TableText"/>
            </w:pPr>
            <w:r>
              <w:rPr>
                <w:sz w:val="16"/>
                <w:szCs w:val="16"/>
              </w:rPr>
              <w:t xml:space="preserve">Rules package lifecycle table</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RULE-LIFECYCLE-028</w:t>
      </w:r>
      <w:r>
        <w:rPr>
          <w:sz w:val="16"/>
          <w:szCs w:val="16"/>
        </w:rPr>
        <w:t xml:space="preserve"> v1.0 — Product end of support · Last reviewed: 2026-10-01</w:t>
      </w:r>
      <w:r>
        <w:rPr>
          <w:sz w:val="16"/>
          <w:szCs w:val="16"/>
        </w:rPr>
        <w:t xml:space="preserve"> · Source: </w:t>
      </w:r>
      <w:hyperlink r:id="rId132" w:history="1">
        <w:r>
          <w:rPr>
            <w:rStyle w:val="Hyperlink"/>
            <w:sz w:val="16"/>
            <w:szCs w:val="16"/>
          </w:rPr>
          <w:t xml:space="preserve">Microsoft Lifecycle Policy</w:t>
        </w:r>
      </w:hyperlink>
      <w:r>
        <w:rPr>
          <w:color w:val="5B6475"/>
          <w:sz w:val="15"/>
          <w:szCs w:val="15"/>
        </w:rPr>
        <w:t xml:space="preserve"> (https://learn.microsoft.com/lifecycle/products/)</w:t>
      </w:r>
    </w:p>
    <w:p>
      <w:pPr>
        <w:pStyle w:val="Heading3"/>
      </w:pPr>
      <w:bookmarkStart w:id="53" w:name="_TocMlat00053"/>
      <w:r>
        <w:t xml:space="preserve">Licensed users inactive for 90+ days</w:t>
      </w:r>
      <w:bookmarkEnd w:id="53"/>
    </w:p>
    <w:p>
      <w:pPr>
        <w:keepNext/>
        <w:spacing w:after="100"/>
      </w:pPr>
      <w:r>
        <w:rPr>
          <w:b/>
          <w:bCs/>
          <w:color w:val="17508F"/>
          <w:sz w:val="16"/>
          <w:szCs w:val="16"/>
          <w:shd w:val="clear" w:color="auto" w:fill="E1EDFB"/>
        </w:rPr>
        <w:t xml:space="preserve"> LOW </w:t>
      </w:r>
      <w:r>
        <w:rPr>
          <w:sz w:val="17"/>
          <w:szCs w:val="17"/>
        </w:rPr>
        <w:t xml:space="preserve">  </w:t>
      </w:r>
      <w:r>
        <w:rPr>
          <w:b/>
          <w:bCs/>
          <w:color w:val="17508F"/>
          <w:sz w:val="17"/>
          <w:szCs w:val="17"/>
          <w:shd w:val="clear" w:color="auto" w:fill="E1EDFB"/>
        </w:rPr>
        <w:t xml:space="preserve"> Excess / Unused </w:t>
      </w:r>
      <w:r>
        <w:rPr>
          <w:color w:val="5B6475"/>
          <w:sz w:val="17"/>
          <w:szCs w:val="17"/>
        </w:rPr>
        <w:t xml:space="preserve">   Confidence: High</w:t>
      </w:r>
      <w:r>
        <w:rPr>
          <w:color w:val="5B6475"/>
          <w:sz w:val="17"/>
          <w:szCs w:val="17"/>
        </w:rPr>
        <w:t xml:space="preserve">  ·  Microsoft 365</w:t>
      </w:r>
      <w:r>
        <w:rPr>
          <w:color w:val="5B6475"/>
          <w:sz w:val="17"/>
          <w:szCs w:val="17"/>
        </w:rPr>
        <w:t xml:space="preserve">  ·  FND-0028</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4 enabled licensed user(s) have not signed in for 90 days.</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reclaimable licenses.</w:t>
            </w:r>
          </w:p>
        </w:tc>
      </w:tr>
    </w:tbl>
    <w:p>
      <w:pPr>
        <w:spacing w:before="0" w:after="0" w:line="240" w:lineRule="auto"/>
        <w:rPr>
          <w:sz w:val="12"/>
          <w:szCs w:val="12"/>
        </w:rPr>
      </w:pPr>
    </w:p>
    <w:p>
      <w:r>
        <w:rPr>
          <w:b/>
          <w:bCs/>
        </w:rPr>
        <w:t xml:space="preserve">Recommendation: </w:t>
      </w:r>
      <w:r>
        <w:t xml:space="preserve">Review inactive accounts.</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Inactive licensed users</w:t>
            </w:r>
          </w:p>
        </w:tc>
        <w:tc>
          <w:tcPr>
            <w:tcW w:w="3315" w:type="dxa"/>
          </w:tcPr>
          <w:p>
            <w:pPr>
              <w:pStyle w:val="TableText"/>
            </w:pPr>
            <w:r>
              <w:rPr>
                <w:sz w:val="16"/>
                <w:szCs w:val="16"/>
              </w:rPr>
              <w:t xml:space="preserve">4</w:t>
            </w:r>
          </w:p>
        </w:tc>
        <w:tc>
          <w:tcPr>
            <w:tcW w:w="1757" w:type="dxa"/>
          </w:tcPr>
          <w:p>
            <w:pPr>
              <w:pStyle w:val="TableText"/>
            </w:pPr>
            <w:r>
              <w:rPr>
                <w:sz w:val="16"/>
                <w:szCs w:val="16"/>
              </w:rPr>
              <w:t xml:space="preserve">Microsoft Graph (sign-in activity)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RULE-M365-027</w:t>
      </w:r>
      <w:r>
        <w:rPr>
          <w:sz w:val="16"/>
          <w:szCs w:val="16"/>
        </w:rPr>
        <w:t xml:space="preserve"> v1.0 — Microsoft 365 license utilization · Last reviewed: 2026-10-01</w:t>
      </w:r>
      <w:r>
        <w:rPr>
          <w:sz w:val="16"/>
          <w:szCs w:val="16"/>
        </w:rPr>
        <w:t xml:space="preserve"> · Source: </w:t>
      </w:r>
      <w:hyperlink r:id="rId133" w:history="1">
        <w:r>
          <w:rPr>
            <w:rStyle w:val="Hyperlink"/>
            <w:sz w:val="16"/>
            <w:szCs w:val="16"/>
          </w:rPr>
          <w:t xml:space="preserve">Microsoft Learn - Product names and service plan identifiers for licensing</w:t>
        </w:r>
      </w:hyperlink>
      <w:r>
        <w:rPr>
          <w:color w:val="5B6475"/>
          <w:sz w:val="15"/>
          <w:szCs w:val="15"/>
        </w:rPr>
        <w:t xml:space="preserve"> (https://learn.microsoft.com/entra/identity/users/licensing-service-plan-reference)</w:t>
      </w:r>
    </w:p>
    <w:p>
      <w:pPr>
        <w:pStyle w:val="Heading3"/>
      </w:pPr>
      <w:bookmarkStart w:id="54" w:name="_TocMlat00054"/>
      <w:r>
        <w:t xml:space="preserve">Subscription renewal / expiry approaching: SPE_E3</w:t>
      </w:r>
      <w:bookmarkEnd w:id="54"/>
    </w:p>
    <w:p>
      <w:pPr>
        <w:keepNext/>
        <w:spacing w:after="100"/>
      </w:pPr>
      <w:r>
        <w:rPr>
          <w:b/>
          <w:bCs/>
          <w:color w:val="17508F"/>
          <w:sz w:val="16"/>
          <w:szCs w:val="16"/>
          <w:shd w:val="clear" w:color="auto" w:fill="E1EDFB"/>
        </w:rPr>
        <w:t xml:space="preserve"> LOW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High</w:t>
      </w:r>
      <w:r>
        <w:rPr>
          <w:color w:val="5B6475"/>
          <w:sz w:val="17"/>
          <w:szCs w:val="17"/>
        </w:rPr>
        <w:t xml:space="preserve">  ·  Microsoft 365</w:t>
      </w:r>
      <w:r>
        <w:rPr>
          <w:color w:val="5B6475"/>
          <w:sz w:val="17"/>
          <w:szCs w:val="17"/>
        </w:rPr>
        <w:t xml:space="preserve">  ·  FND-0029</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SPE_E3 (150 licenses) reaches its next lifecycle date on 2026-11-16.</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Confirm renewal so licensed users keep their rights; use the date to align true-up or reduction decisions.</w:t>
            </w:r>
          </w:p>
        </w:tc>
      </w:tr>
    </w:tbl>
    <w:p>
      <w:pPr>
        <w:spacing w:before="0" w:after="0" w:line="240" w:lineRule="auto"/>
        <w:rPr>
          <w:sz w:val="12"/>
          <w:szCs w:val="12"/>
        </w:rPr>
      </w:pPr>
    </w:p>
    <w:p>
      <w:r>
        <w:rPr>
          <w:b/>
          <w:bCs/>
        </w:rPr>
        <w:t xml:space="preserve">Recommendation: </w:t>
      </w:r>
      <w:r>
        <w:t xml:space="preserve">Review renewal terms and quantities before the date.</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Subscription SPE_E3</w:t>
            </w:r>
          </w:p>
        </w:tc>
        <w:tc>
          <w:tcPr>
            <w:tcW w:w="3315" w:type="dxa"/>
          </w:tcPr>
          <w:p>
            <w:pPr>
              <w:pStyle w:val="TableText"/>
            </w:pPr>
            <w:r>
              <w:rPr>
                <w:sz w:val="16"/>
                <w:szCs w:val="16"/>
              </w:rPr>
              <w:t xml:space="preserve">150 license(s), status Enabled</w:t>
            </w:r>
          </w:p>
        </w:tc>
        <w:tc>
          <w:tcPr>
            <w:tcW w:w="1757" w:type="dxa"/>
          </w:tcPr>
          <w:p>
            <w:pPr>
              <w:pStyle w:val="TableText"/>
            </w:pPr>
            <w:r>
              <w:rPr>
                <w:sz w:val="16"/>
                <w:szCs w:val="16"/>
              </w:rPr>
              <w:t xml:space="preserve">Microsoft Graph (directory/subscriptions)</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Next lifecycle date</w:t>
            </w:r>
          </w:p>
        </w:tc>
        <w:tc>
          <w:tcPr>
            <w:tcW w:w="3315" w:type="dxa"/>
            <w:shd w:val="clear" w:color="auto" w:fill="FAFBFC"/>
          </w:tcPr>
          <w:p>
            <w:pPr>
              <w:pStyle w:val="TableText"/>
            </w:pPr>
            <w:r>
              <w:rPr>
                <w:sz w:val="16"/>
                <w:szCs w:val="16"/>
              </w:rPr>
              <w:t xml:space="preserve">2026-11-16T01:33:19.8769741Z</w:t>
            </w:r>
          </w:p>
        </w:tc>
        <w:tc>
          <w:tcPr>
            <w:tcW w:w="1757" w:type="dxa"/>
            <w:shd w:val="clear" w:color="auto" w:fill="FAFBFC"/>
          </w:tcPr>
          <w:p>
            <w:pPr>
              <w:pStyle w:val="TableText"/>
            </w:pPr>
            <w:r>
              <w:rPr>
                <w:sz w:val="16"/>
                <w:szCs w:val="16"/>
              </w:rPr>
              <w:t xml:space="preserve">Microsoft Graph (directory/subscriptions)</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Commerce subscription ID</w:t>
            </w:r>
          </w:p>
        </w:tc>
        <w:tc>
          <w:tcPr>
            <w:tcW w:w="3315" w:type="dxa"/>
          </w:tcPr>
          <w:p>
            <w:pPr>
              <w:pStyle w:val="TableText"/>
            </w:pPr>
            <w:r>
              <w:rPr>
                <w:sz w:val="16"/>
                <w:szCs w:val="16"/>
              </w:rPr>
              <w:t xml:space="preserve">c3a1e2f0-0000-4000-8000-0000000000e3</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RULE-M365-027</w:t>
      </w:r>
      <w:r>
        <w:rPr>
          <w:sz w:val="16"/>
          <w:szCs w:val="16"/>
        </w:rPr>
        <w:t xml:space="preserve"> v1.0 — Microsoft 365 license utilization · Last reviewed: 2026-10-01</w:t>
      </w:r>
      <w:r>
        <w:rPr>
          <w:sz w:val="16"/>
          <w:szCs w:val="16"/>
        </w:rPr>
        <w:t xml:space="preserve"> · Source: </w:t>
      </w:r>
      <w:hyperlink r:id="rId134" w:history="1">
        <w:r>
          <w:rPr>
            <w:rStyle w:val="Hyperlink"/>
            <w:sz w:val="16"/>
            <w:szCs w:val="16"/>
          </w:rPr>
          <w:t xml:space="preserve">Microsoft Learn - Product names and service plan identifiers for licensing</w:t>
        </w:r>
      </w:hyperlink>
      <w:r>
        <w:rPr>
          <w:color w:val="5B6475"/>
          <w:sz w:val="15"/>
          <w:szCs w:val="15"/>
        </w:rPr>
        <w:t xml:space="preserve"> (https://learn.microsoft.com/entra/identity/users/licensing-service-plan-reference)</w:t>
      </w:r>
    </w:p>
    <w:p>
      <w:pPr>
        <w:pStyle w:val="Heading3"/>
      </w:pPr>
      <w:bookmarkStart w:id="55" w:name="_TocMlat00055"/>
      <w:r>
        <w:t xml:space="preserve">Unassigned licenses: ENTERPRISEPREMIUM</w:t>
      </w:r>
      <w:bookmarkEnd w:id="55"/>
    </w:p>
    <w:p>
      <w:pPr>
        <w:keepNext/>
        <w:spacing w:after="100"/>
      </w:pPr>
      <w:r>
        <w:rPr>
          <w:b/>
          <w:bCs/>
          <w:color w:val="17508F"/>
          <w:sz w:val="16"/>
          <w:szCs w:val="16"/>
          <w:shd w:val="clear" w:color="auto" w:fill="E1EDFB"/>
        </w:rPr>
        <w:t xml:space="preserve"> LOW </w:t>
      </w:r>
      <w:r>
        <w:rPr>
          <w:sz w:val="17"/>
          <w:szCs w:val="17"/>
        </w:rPr>
        <w:t xml:space="preserve">  </w:t>
      </w:r>
      <w:r>
        <w:rPr>
          <w:b/>
          <w:bCs/>
          <w:color w:val="17508F"/>
          <w:sz w:val="17"/>
          <w:szCs w:val="17"/>
          <w:shd w:val="clear" w:color="auto" w:fill="E1EDFB"/>
        </w:rPr>
        <w:t xml:space="preserve"> Excess / Unused </w:t>
      </w:r>
      <w:r>
        <w:rPr>
          <w:color w:val="5B6475"/>
          <w:sz w:val="17"/>
          <w:szCs w:val="17"/>
        </w:rPr>
        <w:t xml:space="preserve">   Confidence: High</w:t>
      </w:r>
      <w:r>
        <w:rPr>
          <w:color w:val="5B6475"/>
          <w:sz w:val="17"/>
          <w:szCs w:val="17"/>
        </w:rPr>
        <w:t xml:space="preserve">  ·  Microsoft 365</w:t>
      </w:r>
      <w:r>
        <w:rPr>
          <w:color w:val="5B6475"/>
          <w:sz w:val="17"/>
          <w:szCs w:val="17"/>
        </w:rPr>
        <w:t xml:space="preserve">  ·  FND-0027</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6 of 10 ENTERPRISEPREMIUM licenses are not assigned.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excess / unused licenses.</w:t>
            </w:r>
          </w:p>
        </w:tc>
      </w:tr>
    </w:tbl>
    <w:p>
      <w:pPr>
        <w:spacing w:before="0" w:after="0" w:line="240" w:lineRule="auto"/>
        <w:rPr>
          <w:sz w:val="12"/>
          <w:szCs w:val="12"/>
        </w:rPr>
      </w:pPr>
    </w:p>
    <w:p>
      <w:r>
        <w:rPr>
          <w:b/>
          <w:bCs/>
        </w:rPr>
        <w:t xml:space="preserve">Recommendation: </w:t>
      </w:r>
      <w:r>
        <w:t xml:space="preserve">Assign to users who need them or reduce at renewal.</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ENTERPRISEPREMIUM purchased (enabled)</w:t>
            </w:r>
          </w:p>
        </w:tc>
        <w:tc>
          <w:tcPr>
            <w:tcW w:w="3315" w:type="dxa"/>
          </w:tcPr>
          <w:p>
            <w:pPr>
              <w:pStyle w:val="TableText"/>
            </w:pPr>
            <w:r>
              <w:rPr>
                <w:sz w:val="16"/>
                <w:szCs w:val="16"/>
              </w:rPr>
              <w:t xml:space="preserve">10</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ENTERPRISEPREMIUM assigned (consumed)</w:t>
            </w:r>
          </w:p>
        </w:tc>
        <w:tc>
          <w:tcPr>
            <w:tcW w:w="3315" w:type="dxa"/>
            <w:shd w:val="clear" w:color="auto" w:fill="FAFBFC"/>
          </w:tcPr>
          <w:p>
            <w:pPr>
              <w:pStyle w:val="TableText"/>
            </w:pPr>
            <w:r>
              <w:rPr>
                <w:sz w:val="16"/>
                <w:szCs w:val="16"/>
              </w:rPr>
              <w:t xml:space="preserve">4</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SKU ID</w:t>
            </w:r>
          </w:p>
        </w:tc>
        <w:tc>
          <w:tcPr>
            <w:tcW w:w="3315" w:type="dxa"/>
          </w:tcPr>
          <w:p>
            <w:pPr>
              <w:pStyle w:val="TableText"/>
            </w:pPr>
            <w:r>
              <w:rPr>
                <w:sz w:val="16"/>
                <w:szCs w:val="16"/>
              </w:rPr>
              <w:t xml:space="preserve">c7df2760-2c81-4ef7-b578-5b5392b571df</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RULE-M365-027</w:t>
      </w:r>
      <w:r>
        <w:rPr>
          <w:sz w:val="16"/>
          <w:szCs w:val="16"/>
        </w:rPr>
        <w:t xml:space="preserve"> v1.0 — Microsoft 365 license utilization · Last reviewed: 2026-10-01</w:t>
      </w:r>
      <w:r>
        <w:rPr>
          <w:sz w:val="16"/>
          <w:szCs w:val="16"/>
        </w:rPr>
        <w:t xml:space="preserve"> · Source: </w:t>
      </w:r>
      <w:hyperlink r:id="rId135" w:history="1">
        <w:r>
          <w:rPr>
            <w:rStyle w:val="Hyperlink"/>
            <w:sz w:val="16"/>
            <w:szCs w:val="16"/>
          </w:rPr>
          <w:t xml:space="preserve">Microsoft Learn - Product names and service plan identifiers for licensing</w:t>
        </w:r>
      </w:hyperlink>
      <w:r>
        <w:rPr>
          <w:color w:val="5B6475"/>
          <w:sz w:val="15"/>
          <w:szCs w:val="15"/>
        </w:rPr>
        <w:t xml:space="preserve"> (https://learn.microsoft.com/entra/identity/users/licensing-service-plan-reference)</w:t>
      </w:r>
    </w:p>
    <w:p>
      <w:pPr>
        <w:pStyle w:val="Heading3"/>
      </w:pPr>
      <w:bookmarkStart w:id="56" w:name="_TocMlat00056"/>
      <w:r>
        <w:t xml:space="preserve">Unassigned licenses: SPE_E3</w:t>
      </w:r>
      <w:bookmarkEnd w:id="56"/>
    </w:p>
    <w:p>
      <w:pPr>
        <w:keepNext/>
        <w:spacing w:after="100"/>
      </w:pPr>
      <w:r>
        <w:rPr>
          <w:b/>
          <w:bCs/>
          <w:color w:val="17508F"/>
          <w:sz w:val="16"/>
          <w:szCs w:val="16"/>
          <w:shd w:val="clear" w:color="auto" w:fill="E1EDFB"/>
        </w:rPr>
        <w:t xml:space="preserve"> LOW </w:t>
      </w:r>
      <w:r>
        <w:rPr>
          <w:sz w:val="17"/>
          <w:szCs w:val="17"/>
        </w:rPr>
        <w:t xml:space="preserve">  </w:t>
      </w:r>
      <w:r>
        <w:rPr>
          <w:b/>
          <w:bCs/>
          <w:color w:val="17508F"/>
          <w:sz w:val="17"/>
          <w:szCs w:val="17"/>
          <w:shd w:val="clear" w:color="auto" w:fill="E1EDFB"/>
        </w:rPr>
        <w:t xml:space="preserve"> Excess / Unused </w:t>
      </w:r>
      <w:r>
        <w:rPr>
          <w:color w:val="5B6475"/>
          <w:sz w:val="17"/>
          <w:szCs w:val="17"/>
        </w:rPr>
        <w:t xml:space="preserve">   Confidence: High</w:t>
      </w:r>
      <w:r>
        <w:rPr>
          <w:color w:val="5B6475"/>
          <w:sz w:val="17"/>
          <w:szCs w:val="17"/>
        </w:rPr>
        <w:t xml:space="preserve">  ·  Microsoft 365</w:t>
      </w:r>
      <w:r>
        <w:rPr>
          <w:color w:val="5B6475"/>
          <w:sz w:val="17"/>
          <w:szCs w:val="17"/>
        </w:rPr>
        <w:t xml:space="preserve">  ·  FND-0026</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9 of 150 SPE_E3 licenses are not assigned.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Potential excess / unused licenses.</w:t>
            </w:r>
          </w:p>
        </w:tc>
      </w:tr>
    </w:tbl>
    <w:p>
      <w:pPr>
        <w:spacing w:before="0" w:after="0" w:line="240" w:lineRule="auto"/>
        <w:rPr>
          <w:sz w:val="12"/>
          <w:szCs w:val="12"/>
        </w:rPr>
      </w:pPr>
    </w:p>
    <w:p>
      <w:r>
        <w:rPr>
          <w:b/>
          <w:bCs/>
        </w:rPr>
        <w:t xml:space="preserve">Recommendation: </w:t>
      </w:r>
      <w:r>
        <w:t xml:space="preserve">Assign to users who need them or reduce at renewal.</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SPE_E3 purchased (enabled)</w:t>
            </w:r>
          </w:p>
        </w:tc>
        <w:tc>
          <w:tcPr>
            <w:tcW w:w="3315" w:type="dxa"/>
          </w:tcPr>
          <w:p>
            <w:pPr>
              <w:pStyle w:val="TableText"/>
            </w:pPr>
            <w:r>
              <w:rPr>
                <w:sz w:val="16"/>
                <w:szCs w:val="16"/>
              </w:rPr>
              <w:t xml:space="preserve">150</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SPE_E3 assigned (consumed)</w:t>
            </w:r>
          </w:p>
        </w:tc>
        <w:tc>
          <w:tcPr>
            <w:tcW w:w="3315" w:type="dxa"/>
            <w:shd w:val="clear" w:color="auto" w:fill="FAFBFC"/>
          </w:tcPr>
          <w:p>
            <w:pPr>
              <w:pStyle w:val="TableText"/>
            </w:pPr>
            <w:r>
              <w:rPr>
                <w:sz w:val="16"/>
                <w:szCs w:val="16"/>
              </w:rPr>
              <w:t xml:space="preserve">141</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SKU ID</w:t>
            </w:r>
          </w:p>
        </w:tc>
        <w:tc>
          <w:tcPr>
            <w:tcW w:w="3315" w:type="dxa"/>
          </w:tcPr>
          <w:p>
            <w:pPr>
              <w:pStyle w:val="TableText"/>
            </w:pPr>
            <w:r>
              <w:rPr>
                <w:sz w:val="16"/>
                <w:szCs w:val="16"/>
              </w:rPr>
              <w:t xml:space="preserve">05e9a617-0261-4cee-bb44-138d3ef5d965</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RULE-M365-027</w:t>
      </w:r>
      <w:r>
        <w:rPr>
          <w:sz w:val="16"/>
          <w:szCs w:val="16"/>
        </w:rPr>
        <w:t xml:space="preserve"> v1.0 — Microsoft 365 license utilization · Last reviewed: 2026-10-01</w:t>
      </w:r>
      <w:r>
        <w:rPr>
          <w:sz w:val="16"/>
          <w:szCs w:val="16"/>
        </w:rPr>
        <w:t xml:space="preserve"> · Source: </w:t>
      </w:r>
      <w:hyperlink r:id="rId136" w:history="1">
        <w:r>
          <w:rPr>
            <w:rStyle w:val="Hyperlink"/>
            <w:sz w:val="16"/>
            <w:szCs w:val="16"/>
          </w:rPr>
          <w:t xml:space="preserve">Microsoft Learn - Product names and service plan identifiers for licensing</w:t>
        </w:r>
      </w:hyperlink>
      <w:r>
        <w:rPr>
          <w:color w:val="5B6475"/>
          <w:sz w:val="15"/>
          <w:szCs w:val="15"/>
        </w:rPr>
        <w:t xml:space="preserve"> (https://learn.microsoft.com/entra/identity/users/licensing-service-plan-reference)</w:t>
      </w:r>
    </w:p>
    <w:p>
      <w:pPr>
        <w:pStyle w:val="Heading3"/>
      </w:pPr>
      <w:bookmarkStart w:id="57" w:name="_TocMlat00057"/>
      <w:r>
        <w:t xml:space="preserve">Managed devices without a primary user</w:t>
      </w:r>
      <w:bookmarkEnd w:id="57"/>
    </w:p>
    <w:p>
      <w:pPr>
        <w:keepNext/>
        <w:spacing w:after="100"/>
      </w:pPr>
      <w:r>
        <w:rPr>
          <w:b/>
          <w:bCs/>
          <w:color w:val="17508F"/>
          <w:sz w:val="16"/>
          <w:szCs w:val="16"/>
          <w:shd w:val="clear" w:color="auto" w:fill="E1EDFB"/>
        </w:rPr>
        <w:t xml:space="preserve"> LOW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High</w:t>
      </w:r>
      <w:r>
        <w:rPr>
          <w:color w:val="5B6475"/>
          <w:sz w:val="17"/>
          <w:szCs w:val="17"/>
        </w:rPr>
        <w:t xml:space="preserve">  ·  Microsoft Intune</w:t>
      </w:r>
      <w:r>
        <w:rPr>
          <w:color w:val="5B6475"/>
          <w:sz w:val="17"/>
          <w:szCs w:val="17"/>
        </w:rPr>
        <w:t xml:space="preserve">  ·  FND-0016</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4 managed device(s) have no associated user.</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Userless devices (kiosks, shared devices) may require Intune device licenses.</w:t>
            </w:r>
          </w:p>
        </w:tc>
      </w:tr>
    </w:tbl>
    <w:p>
      <w:pPr>
        <w:spacing w:before="0" w:after="0" w:line="240" w:lineRule="auto"/>
        <w:rPr>
          <w:sz w:val="12"/>
          <w:szCs w:val="12"/>
        </w:rPr>
      </w:pPr>
    </w:p>
    <w:p>
      <w:r>
        <w:rPr>
          <w:b/>
          <w:bCs/>
        </w:rPr>
        <w:t xml:space="preserve">Recommendation: </w:t>
      </w:r>
      <w:r>
        <w:t xml:space="preserve">Review userless devices and their licensing.</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Managed devices</w:t>
            </w:r>
          </w:p>
        </w:tc>
        <w:tc>
          <w:tcPr>
            <w:tcW w:w="3315" w:type="dxa"/>
          </w:tcPr>
          <w:p>
            <w:pPr>
              <w:pStyle w:val="TableText"/>
            </w:pPr>
            <w:r>
              <w:rPr>
                <w:sz w:val="16"/>
                <w:szCs w:val="16"/>
              </w:rPr>
              <w:t xml:space="preserve">163 (Windows 138, iOS/iPadOS 17, Android 6, macOS 2, other 0)</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Ownership</w:t>
            </w:r>
          </w:p>
        </w:tc>
        <w:tc>
          <w:tcPr>
            <w:tcW w:w="3315" w:type="dxa"/>
            <w:shd w:val="clear" w:color="auto" w:fill="FAFBFC"/>
          </w:tcPr>
          <w:p>
            <w:pPr>
              <w:pStyle w:val="TableText"/>
            </w:pPr>
            <w:r>
              <w:rPr>
                <w:sz w:val="16"/>
                <w:szCs w:val="16"/>
              </w:rPr>
              <w:t xml:space="preserve">Corporate 151, personal 12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Compliance</w:t>
            </w:r>
          </w:p>
        </w:tc>
        <w:tc>
          <w:tcPr>
            <w:tcW w:w="3315" w:type="dxa"/>
          </w:tcPr>
          <w:p>
            <w:pPr>
              <w:pStyle w:val="TableText"/>
            </w:pPr>
            <w:r>
              <w:rPr>
                <w:sz w:val="16"/>
                <w:szCs w:val="16"/>
              </w:rPr>
              <w:t xml:space="preserve">Compliant 149, potentially under-licensed 14</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Distinct enrolled users</w:t>
            </w:r>
          </w:p>
        </w:tc>
        <w:tc>
          <w:tcPr>
            <w:tcW w:w="3315" w:type="dxa"/>
            <w:shd w:val="clear" w:color="auto" w:fill="FAFBFC"/>
          </w:tcPr>
          <w:p>
            <w:pPr>
              <w:pStyle w:val="TableText"/>
            </w:pPr>
            <w:r>
              <w:rPr>
                <w:sz w:val="16"/>
                <w:szCs w:val="16"/>
              </w:rPr>
              <w:t xml:space="preserve">150</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Enrolled users without an Intune plan assigned</w:t>
            </w:r>
          </w:p>
        </w:tc>
        <w:tc>
          <w:tcPr>
            <w:tcW w:w="3315" w:type="dxa"/>
          </w:tcPr>
          <w:p>
            <w:pPr>
              <w:pStyle w:val="TableText"/>
            </w:pPr>
            <w:r>
              <w:rPr>
                <w:sz w:val="16"/>
                <w:szCs w:val="16"/>
              </w:rPr>
              <w:t xml:space="preserve">9</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RULE-INTUNE-022</w:t>
      </w:r>
      <w:r>
        <w:rPr>
          <w:sz w:val="16"/>
          <w:szCs w:val="16"/>
        </w:rPr>
        <w:t xml:space="preserve"> v1.0 — Microsoft Intune per-user licensing · Last reviewed: 2026-10-01</w:t>
      </w:r>
      <w:r>
        <w:rPr>
          <w:sz w:val="16"/>
          <w:szCs w:val="16"/>
        </w:rPr>
        <w:t xml:space="preserve"> · Source: </w:t>
      </w:r>
      <w:hyperlink r:id="rId137" w:history="1">
        <w:r>
          <w:rPr>
            <w:rStyle w:val="Hyperlink"/>
            <w:sz w:val="16"/>
            <w:szCs w:val="16"/>
          </w:rPr>
          <w:t xml:space="preserve">Microsoft Learn - Microsoft Intune licensing</w:t>
        </w:r>
      </w:hyperlink>
      <w:r>
        <w:rPr>
          <w:color w:val="5B6475"/>
          <w:sz w:val="15"/>
          <w:szCs w:val="15"/>
        </w:rPr>
        <w:t xml:space="preserve"> (https://learn.microsoft.com/mem/intune/fundamentals/licenses)</w:t>
      </w:r>
    </w:p>
    <w:p>
      <w:pPr>
        <w:pStyle w:val="Heading3"/>
      </w:pPr>
      <w:bookmarkStart w:id="58" w:name="_TocMlat00058"/>
      <w:r>
        <w:t xml:space="preserve">Cluster HVCLU01: VMs with unknown guest OS</w:t>
      </w:r>
      <w:bookmarkEnd w:id="58"/>
    </w:p>
    <w:p>
      <w:pPr>
        <w:keepNext/>
        <w:spacing w:after="100"/>
      </w:pPr>
      <w:r>
        <w:rPr>
          <w:b/>
          <w:bCs/>
          <w:color w:val="17508F"/>
          <w:sz w:val="16"/>
          <w:szCs w:val="16"/>
          <w:shd w:val="clear" w:color="auto" w:fill="E1EDFB"/>
        </w:rPr>
        <w:t xml:space="preserve"> LOW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Windows Server</w:t>
      </w:r>
      <w:r>
        <w:rPr>
          <w:color w:val="5B6475"/>
          <w:sz w:val="17"/>
          <w:szCs w:val="17"/>
        </w:rPr>
        <w:t xml:space="preserve">  ·  FND-0002</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VM in cluster HVCLU01 reports no guest operating system: TEST01.</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Powered-off VMs are not counted; if they run Windows Server they need license capacity when started.</w:t>
            </w:r>
          </w:p>
        </w:tc>
      </w:tr>
    </w:tbl>
    <w:p>
      <w:pPr>
        <w:spacing w:before="0" w:after="0" w:line="240" w:lineRule="auto"/>
        <w:rPr>
          <w:sz w:val="12"/>
          <w:szCs w:val="12"/>
        </w:rPr>
      </w:pPr>
    </w:p>
    <w:p>
      <w:r>
        <w:rPr>
          <w:b/>
          <w:bCs/>
        </w:rPr>
        <w:t xml:space="preserve">Recommendation: </w:t>
      </w:r>
      <w:r>
        <w:t xml:space="preserve">Install / start the guest tools (VMware Tools, Nutanix Guest Tools, Hyper-V integration services) or scan the VMs in-guest.</w:t>
      </w:r>
    </w:p>
    <w:p>
      <w:pPr>
        <w:pStyle w:val="Small"/>
      </w:pPr>
      <w:r>
        <w:rPr>
          <w:b/>
          <w:bCs/>
        </w:rPr>
        <w:t xml:space="preserve">Targets: </w:t>
      </w:r>
      <w:r>
        <w:t xml:space="preserve">HVCLU01, HV01, HV02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TEST01</w:t>
            </w:r>
          </w:p>
        </w:tc>
        <w:tc>
          <w:tcPr>
            <w:tcW w:w="2535" w:type="dxa"/>
          </w:tcPr>
          <w:p>
            <w:pPr>
              <w:pStyle w:val="TableText"/>
            </w:pPr>
            <w:r>
              <w:rPr>
                <w:sz w:val="16"/>
                <w:szCs w:val="16"/>
              </w:rPr>
              <w:t xml:space="preserve">Guest operating system</w:t>
            </w:r>
          </w:p>
        </w:tc>
        <w:tc>
          <w:tcPr>
            <w:tcW w:w="3315" w:type="dxa"/>
          </w:tcPr>
          <w:p>
            <w:pPr>
              <w:pStyle w:val="TableText"/>
            </w:pPr>
            <w:r>
              <w:rPr>
                <w:sz w:val="16"/>
                <w:szCs w:val="16"/>
              </w:rPr>
              <w:t xml:space="preserve">Unknown (powered off)</w:t>
            </w:r>
          </w:p>
        </w:tc>
        <w:tc>
          <w:tcPr>
            <w:tcW w:w="1757" w:type="dxa"/>
          </w:tcPr>
          <w:p>
            <w:pPr>
              <w:pStyle w:val="TableText"/>
            </w:pPr>
            <w:r>
              <w:rPr>
                <w:sz w:val="16"/>
                <w:szCs w:val="16"/>
              </w:rPr>
              <w:t xml:space="preserve">Windows failover cluster (inventory of the nodes)</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RULE-CLUSTER-031</w:t>
      </w:r>
      <w:r>
        <w:rPr>
          <w:sz w:val="16"/>
          <w:szCs w:val="16"/>
        </w:rPr>
        <w:t xml:space="preserve"> v1.0 — Windows Server licensing in clusters (VM mobility) · Last reviewed: 2026-10-02</w:t>
      </w:r>
      <w:r>
        <w:rPr>
          <w:sz w:val="16"/>
          <w:szCs w:val="16"/>
        </w:rPr>
        <w:t xml:space="preserve"> · Source: </w:t>
      </w:r>
      <w:hyperlink r:id="rId138" w:history="1">
        <w:r>
          <w:rPr>
            <w:rStyle w:val="Hyperlink"/>
            <w:sz w:val="16"/>
            <w:szCs w:val="16"/>
          </w:rPr>
          <w:t xml:space="preserve">Microsoft Product Terms - Windows Server (Standard, Datacenter, Essentials); license assignment and reassignment (Universal License Terms)</w:t>
        </w:r>
      </w:hyperlink>
      <w:r>
        <w:rPr>
          <w:color w:val="5B6475"/>
          <w:sz w:val="15"/>
          <w:szCs w:val="15"/>
        </w:rPr>
        <w:t xml:space="preserve"> (https://www.microsoft.com/licensing/terms/)</w:t>
      </w:r>
    </w:p>
    <w:p>
      <w:pPr>
        <w:pStyle w:val="Heading3"/>
      </w:pPr>
      <w:bookmarkStart w:id="59" w:name="_TocMlat00059"/>
      <w:r>
        <w:t xml:space="preserve">Cluster VMW-CLU01: VMs with unknown guest OS</w:t>
      </w:r>
      <w:bookmarkEnd w:id="59"/>
    </w:p>
    <w:p>
      <w:pPr>
        <w:keepNext/>
        <w:spacing w:after="100"/>
      </w:pPr>
      <w:r>
        <w:rPr>
          <w:b/>
          <w:bCs/>
          <w:color w:val="17508F"/>
          <w:sz w:val="16"/>
          <w:szCs w:val="16"/>
          <w:shd w:val="clear" w:color="auto" w:fill="E1EDFB"/>
        </w:rPr>
        <w:t xml:space="preserve"> LOW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Windows Server</w:t>
      </w:r>
      <w:r>
        <w:rPr>
          <w:color w:val="5B6475"/>
          <w:sz w:val="17"/>
          <w:szCs w:val="17"/>
        </w:rPr>
        <w:t xml:space="preserve">  ·  FND-0004</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VM in cluster VMW-CLU01 reports no guest operating system: TESTVM03.</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Powered-off VMs are not counted; if they run Windows Server they need license capacity when started.</w:t>
            </w:r>
          </w:p>
        </w:tc>
      </w:tr>
    </w:tbl>
    <w:p>
      <w:pPr>
        <w:spacing w:before="0" w:after="0" w:line="240" w:lineRule="auto"/>
        <w:rPr>
          <w:sz w:val="12"/>
          <w:szCs w:val="12"/>
        </w:rPr>
      </w:pPr>
    </w:p>
    <w:p>
      <w:r>
        <w:rPr>
          <w:b/>
          <w:bCs/>
        </w:rPr>
        <w:t xml:space="preserve">Recommendation: </w:t>
      </w:r>
      <w:r>
        <w:t xml:space="preserve">Install / start the guest tools (VMware Tools, Nutanix Guest Tools, Hyper-V integration services) or scan the VMs in-guest.</w:t>
      </w:r>
    </w:p>
    <w:p>
      <w:pPr>
        <w:pStyle w:val="Small"/>
      </w:pPr>
      <w:r>
        <w:rPr>
          <w:b/>
          <w:bCs/>
        </w:rPr>
        <w:t xml:space="preserve">Targets: </w:t>
      </w:r>
      <w:r>
        <w:t xml:space="preserve">VMW-CLU01, ESX01, ESX02</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TESTVM03</w:t>
            </w:r>
          </w:p>
        </w:tc>
        <w:tc>
          <w:tcPr>
            <w:tcW w:w="2535" w:type="dxa"/>
          </w:tcPr>
          <w:p>
            <w:pPr>
              <w:pStyle w:val="TableText"/>
            </w:pPr>
            <w:r>
              <w:rPr>
                <w:sz w:val="16"/>
                <w:szCs w:val="16"/>
              </w:rPr>
              <w:t xml:space="preserve">Guest operating system</w:t>
            </w:r>
          </w:p>
        </w:tc>
        <w:tc>
          <w:tcPr>
            <w:tcW w:w="3315" w:type="dxa"/>
          </w:tcPr>
          <w:p>
            <w:pPr>
              <w:pStyle w:val="TableText"/>
            </w:pPr>
            <w:r>
              <w:rPr>
                <w:sz w:val="16"/>
                <w:szCs w:val="16"/>
              </w:rPr>
              <w:t xml:space="preserve">Unknown (powered off)</w:t>
            </w:r>
          </w:p>
        </w:tc>
        <w:tc>
          <w:tcPr>
            <w:tcW w:w="1757" w:type="dxa"/>
          </w:tcPr>
          <w:p>
            <w:pPr>
              <w:pStyle w:val="TableText"/>
            </w:pPr>
            <w:r>
              <w:rPr>
                <w:sz w:val="16"/>
                <w:szCs w:val="16"/>
              </w:rPr>
              <w:t xml:space="preserve">VMware vCenter vcenter01</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RULE-CLUSTER-031</w:t>
      </w:r>
      <w:r>
        <w:rPr>
          <w:sz w:val="16"/>
          <w:szCs w:val="16"/>
        </w:rPr>
        <w:t xml:space="preserve"> v1.0 — Windows Server licensing in clusters (VM mobility) · Last reviewed: 2026-10-02</w:t>
      </w:r>
      <w:r>
        <w:rPr>
          <w:sz w:val="16"/>
          <w:szCs w:val="16"/>
        </w:rPr>
        <w:t xml:space="preserve"> · Source: </w:t>
      </w:r>
      <w:hyperlink r:id="rId139" w:history="1">
        <w:r>
          <w:rPr>
            <w:rStyle w:val="Hyperlink"/>
            <w:sz w:val="16"/>
            <w:szCs w:val="16"/>
          </w:rPr>
          <w:t xml:space="preserve">Microsoft Product Terms - Windows Server (Standard, Datacenter, Essentials); license assignment and reassignment (Universal License Terms)</w:t>
        </w:r>
      </w:hyperlink>
      <w:r>
        <w:rPr>
          <w:color w:val="5B6475"/>
          <w:sz w:val="15"/>
          <w:szCs w:val="15"/>
        </w:rPr>
        <w:t xml:space="preserve"> (https://www.microsoft.com/licensing/terms/)</w:t>
      </w:r>
    </w:p>
    <w:p>
      <w:pPr>
        <w:pStyle w:val="Heading2"/>
      </w:pPr>
      <w:bookmarkStart w:id="60" w:name="_TocMlat00060"/>
      <w:r>
        <w:t xml:space="preserve">Informational severity (8)</w:t>
      </w:r>
      <w:bookmarkEnd w:id="60"/>
    </w:p>
    <w:p>
      <w:pPr>
        <w:pStyle w:val="Heading3"/>
      </w:pPr>
      <w:bookmarkStart w:id="61" w:name="_TocMlat00061"/>
      <w:r>
        <w:t xml:space="preserve">eDiscovery cases exist</w:t>
      </w:r>
      <w:bookmarkEnd w:id="61"/>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Low</w:t>
      </w:r>
      <w:r>
        <w:rPr>
          <w:color w:val="5B6475"/>
          <w:sz w:val="17"/>
          <w:szCs w:val="17"/>
        </w:rPr>
        <w:t xml:space="preserve">  ·  Compliance</w:t>
      </w:r>
      <w:r>
        <w:rPr>
          <w:color w:val="5B6475"/>
          <w:sz w:val="17"/>
          <w:szCs w:val="17"/>
        </w:rPr>
        <w:t xml:space="preserve">  ·  FND-0024</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eDiscovery case(s) found.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eDiscovery (Premium) rights exist; custodian coverage requires validation.</w:t>
            </w:r>
          </w:p>
        </w:tc>
      </w:tr>
    </w:tbl>
    <w:p>
      <w:pPr>
        <w:spacing w:before="0" w:after="0" w:line="240" w:lineRule="auto"/>
        <w:rPr>
          <w:sz w:val="12"/>
          <w:szCs w:val="12"/>
        </w:rPr>
      </w:pPr>
    </w:p>
    <w:p>
      <w:r>
        <w:rPr>
          <w:b/>
          <w:bCs/>
        </w:rPr>
        <w:t xml:space="preserve">Recommendation: </w:t>
      </w:r>
      <w:r>
        <w:t xml:space="preserve">Validate custodians and licensing.</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eDiscovery (Premium) cases</w:t>
            </w:r>
          </w:p>
        </w:tc>
        <w:tc>
          <w:tcPr>
            <w:tcW w:w="3315" w:type="dxa"/>
          </w:tcPr>
          <w:p>
            <w:pPr>
              <w:pStyle w:val="TableText"/>
            </w:pPr>
            <w:r>
              <w:rPr>
                <w:sz w:val="16"/>
                <w:szCs w:val="16"/>
              </w:rPr>
              <w:t xml:space="preserve">1</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Licenses granting eDiscovery (Premium)</w:t>
            </w:r>
          </w:p>
        </w:tc>
        <w:tc>
          <w:tcPr>
            <w:tcW w:w="3315" w:type="dxa"/>
            <w:shd w:val="clear" w:color="auto" w:fill="FAFBFC"/>
          </w:tcPr>
          <w:p>
            <w:pPr>
              <w:pStyle w:val="TableText"/>
            </w:pPr>
            <w:r>
              <w:rPr>
                <w:sz w:val="16"/>
                <w:szCs w:val="16"/>
              </w:rPr>
              <w:t xml:space="preserve">10</w:t>
            </w:r>
          </w:p>
        </w:tc>
        <w:tc>
          <w:tcPr>
            <w:tcW w:w="1757" w:type="dxa"/>
            <w:shd w:val="clear" w:color="auto" w:fill="FAFBFC"/>
          </w:tcPr>
          <w:p>
            <w:pPr>
              <w:pStyle w:val="TableText"/>
            </w:pPr>
            <w:r>
              <w:rPr>
                <w:sz w:val="16"/>
                <w:szCs w:val="16"/>
              </w:rPr>
              <w:t xml:space="preserve">Microsoft Graph / license inventory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RULE-PURVIEW-026</w:t>
      </w:r>
      <w:r>
        <w:rPr>
          <w:sz w:val="16"/>
          <w:szCs w:val="16"/>
        </w:rPr>
        <w:t xml:space="preserve"> v1.0 — Microsoft Purview usage evidence · Last reviewed: 2026-10-01</w:t>
      </w:r>
      <w:r>
        <w:rPr>
          <w:sz w:val="16"/>
          <w:szCs w:val="16"/>
        </w:rPr>
        <w:t xml:space="preserve"> · Source: </w:t>
      </w:r>
      <w:hyperlink r:id="rId140"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62" w:name="_TocMlat00062"/>
      <w:r>
        <w:t xml:space="preserve">Retention labels configured</w:t>
      </w:r>
      <w:bookmarkEnd w:id="62"/>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Low</w:t>
      </w:r>
      <w:r>
        <w:rPr>
          <w:color w:val="5B6475"/>
          <w:sz w:val="17"/>
          <w:szCs w:val="17"/>
        </w:rPr>
        <w:t xml:space="preserve">  ·  Compliance</w:t>
      </w:r>
      <w:r>
        <w:rPr>
          <w:color w:val="5B6475"/>
          <w:sz w:val="17"/>
          <w:szCs w:val="17"/>
        </w:rPr>
        <w:t xml:space="preserve">  ·  FND-0025</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3 retention label(s) found.</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Records management features may require E5 / E5 Compliance depending on use (e.g. auto-apply, records).</w:t>
            </w:r>
          </w:p>
        </w:tc>
      </w:tr>
    </w:tbl>
    <w:p>
      <w:pPr>
        <w:spacing w:before="0" w:after="0" w:line="240" w:lineRule="auto"/>
        <w:rPr>
          <w:sz w:val="12"/>
          <w:szCs w:val="12"/>
        </w:rPr>
      </w:pPr>
    </w:p>
    <w:p>
      <w:r>
        <w:rPr>
          <w:b/>
          <w:bCs/>
        </w:rPr>
        <w:t xml:space="preserve">Recommendation: </w:t>
      </w:r>
      <w:r>
        <w:t xml:space="preserve">Validate the features in use.</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Retention labels</w:t>
            </w:r>
          </w:p>
        </w:tc>
        <w:tc>
          <w:tcPr>
            <w:tcW w:w="3315" w:type="dxa"/>
          </w:tcPr>
          <w:p>
            <w:pPr>
              <w:pStyle w:val="TableText"/>
            </w:pPr>
            <w:r>
              <w:rPr>
                <w:sz w:val="16"/>
                <w:szCs w:val="16"/>
              </w:rPr>
              <w:t xml:space="preserve">3</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RULE-PURVIEW-026</w:t>
      </w:r>
      <w:r>
        <w:rPr>
          <w:sz w:val="16"/>
          <w:szCs w:val="16"/>
        </w:rPr>
        <w:t xml:space="preserve"> v1.0 — Microsoft Purview usage evidence · Last reviewed: 2026-10-01</w:t>
      </w:r>
      <w:r>
        <w:rPr>
          <w:sz w:val="16"/>
          <w:szCs w:val="16"/>
        </w:rPr>
        <w:t xml:space="preserve"> · Source: </w:t>
      </w:r>
      <w:hyperlink r:id="rId141"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63" w:name="_TocMlat00063"/>
      <w:r>
        <w:t xml:space="preserve">Sensitivity labels configured</w:t>
      </w:r>
      <w:bookmarkEnd w:id="63"/>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Low</w:t>
      </w:r>
      <w:r>
        <w:rPr>
          <w:color w:val="5B6475"/>
          <w:sz w:val="17"/>
          <w:szCs w:val="17"/>
        </w:rPr>
        <w:t xml:space="preserve">  ·  Compliance</w:t>
      </w:r>
      <w:r>
        <w:rPr>
          <w:color w:val="5B6475"/>
          <w:sz w:val="17"/>
          <w:szCs w:val="17"/>
        </w:rPr>
        <w:t xml:space="preserve">  ·  FND-0023</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5 sensitivity label(s) are published in the tenant.</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Information Protection rights exist; coverage of all labeling users requires validation.</w:t>
            </w:r>
          </w:p>
        </w:tc>
      </w:tr>
    </w:tbl>
    <w:p>
      <w:pPr>
        <w:spacing w:before="0" w:after="0" w:line="240" w:lineRule="auto"/>
        <w:rPr>
          <w:sz w:val="12"/>
          <w:szCs w:val="12"/>
        </w:rPr>
      </w:pPr>
    </w:p>
    <w:p>
      <w:r>
        <w:rPr>
          <w:b/>
          <w:bCs/>
        </w:rPr>
        <w:t xml:space="preserve">Recommendation: </w:t>
      </w:r>
      <w:r>
        <w:t xml:space="preserve">Validate which users apply labels (manual vs automatic labeling).</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Sensitivity labels</w:t>
            </w:r>
          </w:p>
        </w:tc>
        <w:tc>
          <w:tcPr>
            <w:tcW w:w="3315" w:type="dxa"/>
          </w:tcPr>
          <w:p>
            <w:pPr>
              <w:pStyle w:val="TableText"/>
            </w:pPr>
            <w:r>
              <w:rPr>
                <w:sz w:val="16"/>
                <w:szCs w:val="16"/>
              </w:rPr>
              <w:t xml:space="preserve">5</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Licenses granting information protection</w:t>
            </w:r>
          </w:p>
        </w:tc>
        <w:tc>
          <w:tcPr>
            <w:tcW w:w="3315" w:type="dxa"/>
            <w:shd w:val="clear" w:color="auto" w:fill="FAFBFC"/>
          </w:tcPr>
          <w:p>
            <w:pPr>
              <w:pStyle w:val="TableText"/>
            </w:pPr>
            <w:r>
              <w:rPr>
                <w:sz w:val="16"/>
                <w:szCs w:val="16"/>
              </w:rPr>
              <w:t xml:space="preserve">170</w:t>
            </w:r>
          </w:p>
        </w:tc>
        <w:tc>
          <w:tcPr>
            <w:tcW w:w="1757" w:type="dxa"/>
            <w:shd w:val="clear" w:color="auto" w:fill="FAFBFC"/>
          </w:tcPr>
          <w:p>
            <w:pPr>
              <w:pStyle w:val="TableText"/>
            </w:pPr>
            <w:r>
              <w:rPr>
                <w:sz w:val="16"/>
                <w:szCs w:val="16"/>
              </w:rPr>
              <w:t xml:space="preserve">Microsoft Graph / license inventory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RULE-PURVIEW-026</w:t>
      </w:r>
      <w:r>
        <w:rPr>
          <w:sz w:val="16"/>
          <w:szCs w:val="16"/>
        </w:rPr>
        <w:t xml:space="preserve"> v1.0 — Microsoft Purview usage evidence · Last reviewed: 2026-10-01</w:t>
      </w:r>
      <w:r>
        <w:rPr>
          <w:sz w:val="16"/>
          <w:szCs w:val="16"/>
        </w:rPr>
        <w:t xml:space="preserve"> · Source: </w:t>
      </w:r>
      <w:hyperlink r:id="rId142"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64" w:name="_TocMlat00064"/>
      <w:r>
        <w:t xml:space="preserve">Microsoft Defender for Office 365 (User) in use</w:t>
      </w:r>
      <w:bookmarkEnd w:id="64"/>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Low</w:t>
      </w:r>
      <w:r>
        <w:rPr>
          <w:color w:val="5B6475"/>
          <w:sz w:val="17"/>
          <w:szCs w:val="17"/>
        </w:rPr>
        <w:t xml:space="preserve">  ·  Security</w:t>
      </w:r>
      <w:r>
        <w:rPr>
          <w:color w:val="5B6475"/>
          <w:sz w:val="17"/>
          <w:szCs w:val="17"/>
        </w:rPr>
        <w:t xml:space="preserve">  ·  FND-0020</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11 alert(s) from microsoftDefenderForOffice365; 10 license(s) grant the service.</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Usage evidence is consistent with licensing; the number of users/devices protected cannot be determined from alerts.</w:t>
            </w:r>
          </w:p>
        </w:tc>
      </w:tr>
    </w:tbl>
    <w:p>
      <w:pPr>
        <w:spacing w:before="0" w:after="0" w:line="240" w:lineRule="auto"/>
        <w:rPr>
          <w:sz w:val="12"/>
          <w:szCs w:val="12"/>
        </w:rPr>
      </w:pPr>
    </w:p>
    <w:p>
      <w:r>
        <w:rPr>
          <w:b/>
          <w:bCs/>
        </w:rPr>
        <w:t xml:space="preserve">Recommendation: </w:t>
      </w:r>
      <w:r>
        <w:t xml:space="preserve">Validate coverage of protected users/devices.</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Alerts from microsoftDefenderForOffice365</w:t>
            </w:r>
          </w:p>
        </w:tc>
        <w:tc>
          <w:tcPr>
            <w:tcW w:w="3315" w:type="dxa"/>
          </w:tcPr>
          <w:p>
            <w:pPr>
              <w:pStyle w:val="TableText"/>
            </w:pPr>
            <w:r>
              <w:rPr>
                <w:sz w:val="16"/>
                <w:szCs w:val="16"/>
              </w:rPr>
              <w:t xml:space="preserve">11</w:t>
            </w:r>
          </w:p>
        </w:tc>
        <w:tc>
          <w:tcPr>
            <w:tcW w:w="1757" w:type="dxa"/>
          </w:tcPr>
          <w:p>
            <w:pPr>
              <w:pStyle w:val="TableText"/>
            </w:pPr>
            <w:r>
              <w:rPr>
                <w:sz w:val="16"/>
                <w:szCs w:val="16"/>
              </w:rPr>
              <w:t xml:space="preserve">Microsoft Graph (security alerts)</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Licenses granting Microsoft Defender for Office 365 (User)</w:t>
            </w:r>
          </w:p>
        </w:tc>
        <w:tc>
          <w:tcPr>
            <w:tcW w:w="3315" w:type="dxa"/>
            <w:shd w:val="clear" w:color="auto" w:fill="FAFBFC"/>
          </w:tcPr>
          <w:p>
            <w:pPr>
              <w:pStyle w:val="TableText"/>
            </w:pPr>
            <w:r>
              <w:rPr>
                <w:sz w:val="16"/>
                <w:szCs w:val="16"/>
              </w:rPr>
              <w:t xml:space="preserve">10</w:t>
            </w:r>
          </w:p>
        </w:tc>
        <w:tc>
          <w:tcPr>
            <w:tcW w:w="1757" w:type="dxa"/>
            <w:shd w:val="clear" w:color="auto" w:fill="FAFBFC"/>
          </w:tcPr>
          <w:p>
            <w:pPr>
              <w:pStyle w:val="TableText"/>
            </w:pPr>
            <w:r>
              <w:rPr>
                <w:sz w:val="16"/>
                <w:szCs w:val="16"/>
              </w:rPr>
              <w:t xml:space="preserve">Microsoft Graph / license inventory</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the plan assigned</w:t>
            </w:r>
          </w:p>
        </w:tc>
        <w:tc>
          <w:tcPr>
            <w:tcW w:w="3315" w:type="dxa"/>
          </w:tcPr>
          <w:p>
            <w:pPr>
              <w:pStyle w:val="TableText"/>
            </w:pPr>
            <w:r>
              <w:rPr>
                <w:sz w:val="16"/>
                <w:szCs w:val="16"/>
              </w:rPr>
              <w:t xml:space="preserve">4</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RULE-DEFENDER-025</w:t>
      </w:r>
      <w:r>
        <w:rPr>
          <w:sz w:val="16"/>
          <w:szCs w:val="16"/>
        </w:rPr>
        <w:t xml:space="preserve"> v1.0 — Microsoft Defender usage evidence · Last reviewed: 2026-10-01</w:t>
      </w:r>
      <w:r>
        <w:rPr>
          <w:sz w:val="16"/>
          <w:szCs w:val="16"/>
        </w:rPr>
        <w:t xml:space="preserve"> · Source: </w:t>
      </w:r>
      <w:hyperlink r:id="rId143"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65" w:name="_TocMlat00065"/>
      <w:r>
        <w:t xml:space="preserve">Microsoft Secure Score</w:t>
      </w:r>
      <w:bookmarkEnd w:id="65"/>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Low</w:t>
      </w:r>
      <w:r>
        <w:rPr>
          <w:color w:val="5B6475"/>
          <w:sz w:val="17"/>
          <w:szCs w:val="17"/>
        </w:rPr>
        <w:t xml:space="preserve">  ·  Security</w:t>
      </w:r>
      <w:r>
        <w:rPr>
          <w:color w:val="5B6475"/>
          <w:sz w:val="17"/>
          <w:szCs w:val="17"/>
        </w:rPr>
        <w:t xml:space="preserve">  ·  FND-0022</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Current Secure Score 61.50 of 100.00.</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Context only - not a licensing conclusion.</w:t>
            </w:r>
          </w:p>
        </w:tc>
      </w:tr>
    </w:tbl>
    <w:p>
      <w:pPr>
        <w:spacing w:before="0" w:after="0" w:line="240" w:lineRule="auto"/>
        <w:rPr>
          <w:sz w:val="12"/>
          <w:szCs w:val="12"/>
        </w:rPr>
      </w:pPr>
    </w:p>
    <w:p>
      <w:r>
        <w:rPr>
          <w:b/>
          <w:bCs/>
        </w:rPr>
        <w:t xml:space="preserve">Recommendation: </w:t>
      </w:r>
      <w:r>
        <w:t xml:space="preserve">Review improvement actions.</w:t>
      </w:r>
    </w:p>
    <w:p>
      <w:pPr>
        <w:pStyle w:val="Small"/>
      </w:pPr>
      <w:r>
        <w:rPr>
          <w:b/>
          <w:bCs/>
        </w:rPr>
        <w:t xml:space="preserve">Targets: </w:t>
      </w:r>
      <w:r>
        <w:t xml:space="preserve">Demo Company (demo tenant)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Secure Score</w:t>
            </w:r>
          </w:p>
        </w:tc>
        <w:tc>
          <w:tcPr>
            <w:tcW w:w="3315" w:type="dxa"/>
          </w:tcPr>
          <w:p>
            <w:pPr>
              <w:pStyle w:val="TableText"/>
            </w:pPr>
            <w:r>
              <w:rPr>
                <w:sz w:val="16"/>
                <w:szCs w:val="16"/>
              </w:rPr>
              <w:t xml:space="preserve">61.5/100</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RULE-DEFENDER-025</w:t>
      </w:r>
      <w:r>
        <w:rPr>
          <w:sz w:val="16"/>
          <w:szCs w:val="16"/>
        </w:rPr>
        <w:t xml:space="preserve"> v1.0 — Microsoft Defender usage evidence · Last reviewed: 2026-10-01</w:t>
      </w:r>
      <w:r>
        <w:rPr>
          <w:sz w:val="16"/>
          <w:szCs w:val="16"/>
        </w:rPr>
        <w:t xml:space="preserve"> · Source: </w:t>
      </w:r>
      <w:hyperlink r:id="rId144" w:history="1">
        <w:r>
          <w:rPr>
            <w:rStyle w:val="Hyperlink"/>
            <w:sz w:val="16"/>
            <w:szCs w:val="16"/>
          </w:rPr>
          <w:t xml:space="preserve">Microsoft 365 guidance for security &amp; compliance</w:t>
        </w:r>
      </w:hyperlink>
      <w:r>
        <w:rPr>
          <w:color w:val="5B6475"/>
          <w:sz w:val="15"/>
          <w:szCs w:val="15"/>
        </w:rPr>
        <w:t xml:space="preserve"> (https://learn.microsoft.com/office365/servicedescriptions/microsoft-365-service-descriptions/microsoft-365-tenantlevel-services-licensing-guidance/microsoft-365-security-compliance-licensing-guidance)</w:t>
      </w:r>
    </w:p>
    <w:p>
      <w:pPr>
        <w:pStyle w:val="Heading3"/>
      </w:pPr>
      <w:bookmarkStart w:id="66" w:name="_TocMlat00066"/>
      <w:r>
        <w:t xml:space="preserve">High availability configuration detected</w:t>
      </w:r>
      <w:bookmarkEnd w:id="66"/>
    </w:p>
    <w:p>
      <w:pPr>
        <w:keepNext/>
        <w:spacing w:after="100"/>
      </w:pPr>
      <w:r>
        <w:rPr>
          <w:b/>
          <w:bCs/>
          <w:color w:val="4A5160"/>
          <w:sz w:val="16"/>
          <w:szCs w:val="16"/>
          <w:shd w:val="clear" w:color="auto" w:fill="ECEEF2"/>
        </w:rPr>
        <w:t xml:space="preserve"> INFO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SQL Server</w:t>
      </w:r>
      <w:r>
        <w:rPr>
          <w:color w:val="5B6475"/>
          <w:sz w:val="17"/>
          <w:szCs w:val="17"/>
        </w:rPr>
        <w:t xml:space="preserve">  ·  FND-0007</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SQL01 participates in a failover cluster instance or Always On availability group.</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Passive secondary replicas may be free with Software Assurance; this is not evaluated automatically.</w:t>
            </w:r>
          </w:p>
        </w:tc>
      </w:tr>
    </w:tbl>
    <w:p>
      <w:pPr>
        <w:spacing w:before="0" w:after="0" w:line="240" w:lineRule="auto"/>
        <w:rPr>
          <w:sz w:val="12"/>
          <w:szCs w:val="12"/>
        </w:rPr>
      </w:pPr>
    </w:p>
    <w:p>
      <w:r>
        <w:rPr>
          <w:b/>
          <w:bCs/>
        </w:rPr>
        <w:t xml:space="preserve">Recommendation: </w:t>
      </w:r>
      <w:r>
        <w:t xml:space="preserve">Validate active vs passive roles and SA coverage.</w:t>
      </w:r>
    </w:p>
    <w:p>
      <w:pPr>
        <w:pStyle w:val="Small"/>
      </w:pPr>
      <w:r>
        <w:rPr>
          <w:b/>
          <w:bCs/>
        </w:rPr>
        <w:t xml:space="preserve">Targets: </w:t>
      </w:r>
      <w:r>
        <w:t xml:space="preserve">SQL01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SQL Database Engine</w:t>
            </w:r>
          </w:p>
        </w:tc>
        <w:tc>
          <w:tcPr>
            <w:tcW w:w="3315" w:type="dxa"/>
          </w:tcPr>
          <w:p>
            <w:pPr>
              <w:pStyle w:val="TableText"/>
            </w:pPr>
            <w:r>
              <w:rPr>
                <w:sz w:val="16"/>
                <w:szCs w:val="16"/>
              </w:rPr>
              <w:t xml:space="preserve">MSSQLSERVER: Enterprise 2022 (16.0.4135.4), service Running/Auto, Always On enabled</w:t>
            </w:r>
          </w:p>
        </w:tc>
        <w:tc>
          <w:tcPr>
            <w:tcW w:w="1757" w:type="dxa"/>
          </w:tcPr>
          <w:p>
            <w:pPr>
              <w:pStyle w:val="TableText"/>
            </w:pPr>
            <w:r>
              <w:rPr>
                <w:sz w:val="16"/>
                <w:szCs w:val="16"/>
              </w:rPr>
              <w:t xml:space="preserve">Registry / 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SQL Reporting Services</w:t>
            </w:r>
          </w:p>
        </w:tc>
        <w:tc>
          <w:tcPr>
            <w:tcW w:w="3315" w:type="dxa"/>
            <w:shd w:val="clear" w:color="auto" w:fill="FAFBFC"/>
          </w:tcPr>
          <w:p>
            <w:pPr>
              <w:pStyle w:val="TableText"/>
            </w:pPr>
            <w:r>
              <w:rPr>
                <w:sz w:val="16"/>
                <w:szCs w:val="16"/>
              </w:rPr>
              <w:t xml:space="preserve">MSSQLSERVER: Enterprise 2022 (16.0.1000.6), service Running/Auto</w:t>
            </w:r>
          </w:p>
        </w:tc>
        <w:tc>
          <w:tcPr>
            <w:tcW w:w="1757" w:type="dxa"/>
            <w:shd w:val="clear" w:color="auto" w:fill="FAFBFC"/>
          </w:tcPr>
          <w:p>
            <w:pPr>
              <w:pStyle w:val="TableText"/>
            </w:pPr>
            <w:r>
              <w:rPr>
                <w:sz w:val="16"/>
                <w:szCs w:val="16"/>
              </w:rPr>
              <w:t xml:space="preserve">Registry / WMI</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RULE-SQL-007</w:t>
      </w:r>
      <w:r>
        <w:rPr>
          <w:sz w:val="16"/>
          <w:szCs w:val="16"/>
        </w:rPr>
        <w:t xml:space="preserve"> v1.0 — SQL Server per-core licensing · Last reviewed: 2026-10-01</w:t>
      </w:r>
      <w:r>
        <w:rPr>
          <w:sz w:val="16"/>
          <w:szCs w:val="16"/>
        </w:rPr>
        <w:t xml:space="preserve"> · Source: </w:t>
      </w:r>
      <w:hyperlink r:id="rId145" w:history="1">
        <w:r>
          <w:rPr>
            <w:rStyle w:val="Hyperlink"/>
            <w:sz w:val="16"/>
            <w:szCs w:val="16"/>
          </w:rPr>
          <w:t xml:space="preserve">Microsoft Product Terms - SQL Server / SQL Server licensing guide</w:t>
        </w:r>
      </w:hyperlink>
      <w:r>
        <w:rPr>
          <w:color w:val="5B6475"/>
          <w:sz w:val="15"/>
          <w:szCs w:val="15"/>
        </w:rPr>
        <w:t xml:space="preserve"> (https://www.microsoft.com/licensing/docs/view/SQL-Server)</w:t>
      </w:r>
    </w:p>
    <w:p>
      <w:pPr>
        <w:pStyle w:val="Heading3"/>
      </w:pPr>
      <w:bookmarkStart w:id="67" w:name="_TocMlat00067"/>
      <w:r>
        <w:t xml:space="preserve">SQL Server Express (free edition)</w:t>
      </w:r>
      <w:bookmarkEnd w:id="67"/>
    </w:p>
    <w:p>
      <w:pPr>
        <w:keepNext/>
        <w:spacing w:after="100"/>
      </w:pPr>
      <w:r>
        <w:rPr>
          <w:b/>
          <w:bCs/>
          <w:color w:val="4A5160"/>
          <w:sz w:val="16"/>
          <w:szCs w:val="16"/>
          <w:shd w:val="clear" w:color="auto" w:fill="ECEEF2"/>
        </w:rPr>
        <w:t xml:space="preserve"> INFO </w:t>
      </w:r>
      <w:r>
        <w:rPr>
          <w:sz w:val="17"/>
          <w:szCs w:val="17"/>
        </w:rPr>
        <w:t xml:space="preserve">  </w:t>
      </w:r>
      <w:r>
        <w:rPr>
          <w:b/>
          <w:bCs/>
          <w:color w:val="1D2433"/>
          <w:sz w:val="17"/>
          <w:szCs w:val="17"/>
          <w:shd w:val="clear" w:color="auto" w:fill="F5F7FA"/>
        </w:rPr>
        <w:t xml:space="preserve"> Informational </w:t>
      </w:r>
      <w:r>
        <w:rPr>
          <w:color w:val="5B6475"/>
          <w:sz w:val="17"/>
          <w:szCs w:val="17"/>
        </w:rPr>
        <w:t xml:space="preserve">   Confidence: Medium</w:t>
      </w:r>
      <w:r>
        <w:rPr>
          <w:color w:val="5B6475"/>
          <w:sz w:val="17"/>
          <w:szCs w:val="17"/>
        </w:rPr>
        <w:t xml:space="preserve">  ·  SQL Server</w:t>
      </w:r>
      <w:r>
        <w:rPr>
          <w:color w:val="5B6475"/>
          <w:sz w:val="17"/>
          <w:szCs w:val="17"/>
        </w:rPr>
        <w:t xml:space="preserve">  ·  FND-0008</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APP01 runs SQL Server Express (SQLEXPRESS).</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Express is free; no license requirement is calculated.</w:t>
            </w:r>
          </w:p>
        </w:tc>
      </w:tr>
    </w:tbl>
    <w:p>
      <w:pPr>
        <w:spacing w:before="0" w:after="0" w:line="240" w:lineRule="auto"/>
        <w:rPr>
          <w:sz w:val="12"/>
          <w:szCs w:val="12"/>
        </w:rPr>
      </w:pPr>
    </w:p>
    <w:p>
      <w:r>
        <w:rPr>
          <w:b/>
          <w:bCs/>
        </w:rPr>
        <w:t xml:space="preserve">Recommendation: </w:t>
      </w:r>
      <w:r>
        <w:t xml:space="preserve">No action required.</w:t>
      </w:r>
    </w:p>
    <w:p>
      <w:pPr>
        <w:pStyle w:val="Small"/>
      </w:pPr>
      <w:r>
        <w:rPr>
          <w:b/>
          <w:bCs/>
        </w:rPr>
        <w:t xml:space="preserve">Targets: </w:t>
      </w:r>
      <w:r>
        <w:t xml:space="preserve">APP01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SQL Database Engine</w:t>
            </w:r>
          </w:p>
        </w:tc>
        <w:tc>
          <w:tcPr>
            <w:tcW w:w="3315" w:type="dxa"/>
          </w:tcPr>
          <w:p>
            <w:pPr>
              <w:pStyle w:val="TableText"/>
            </w:pPr>
            <w:r>
              <w:rPr>
                <w:sz w:val="16"/>
                <w:szCs w:val="16"/>
              </w:rPr>
              <w:t xml:space="preserve">SQLEXPRESS (Express Edition (64-bit), 15.0.2000.5)</w:t>
            </w:r>
          </w:p>
        </w:tc>
        <w:tc>
          <w:tcPr>
            <w:tcW w:w="1757" w:type="dxa"/>
          </w:tcPr>
          <w:p>
            <w:pPr>
              <w:pStyle w:val="TableText"/>
            </w:pPr>
            <w:r>
              <w:rPr>
                <w:sz w:val="16"/>
                <w:szCs w:val="16"/>
              </w:rPr>
              <w:t xml:space="preserve">Registry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RULE-SQL-009</w:t>
      </w:r>
      <w:r>
        <w:rPr>
          <w:sz w:val="16"/>
          <w:szCs w:val="16"/>
        </w:rPr>
        <w:t xml:space="preserve"> v1.0 — SQL Server free and non-production editions · Last reviewed: 2026-10-01</w:t>
      </w:r>
      <w:r>
        <w:rPr>
          <w:sz w:val="16"/>
          <w:szCs w:val="16"/>
        </w:rPr>
        <w:t xml:space="preserve"> · Source: </w:t>
      </w:r>
      <w:hyperlink r:id="rId146" w:history="1">
        <w:r>
          <w:rPr>
            <w:rStyle w:val="Hyperlink"/>
            <w:sz w:val="16"/>
            <w:szCs w:val="16"/>
          </w:rPr>
          <w:t xml:space="preserve">Microsoft Product Terms - SQL Server</w:t>
        </w:r>
      </w:hyperlink>
      <w:r>
        <w:rPr>
          <w:color w:val="5B6475"/>
          <w:sz w:val="15"/>
          <w:szCs w:val="15"/>
        </w:rPr>
        <w:t xml:space="preserve"> (https://www.microsoft.com/licensing/docs/view/SQL-Server)</w:t>
      </w:r>
    </w:p>
    <w:p>
      <w:pPr>
        <w:pStyle w:val="Heading3"/>
      </w:pPr>
      <w:bookmarkStart w:id="68" w:name="_TocMlat00068"/>
      <w:r>
        <w:t xml:space="preserve">Windows Server on public cloud VMs</w:t>
      </w:r>
      <w:bookmarkEnd w:id="68"/>
    </w:p>
    <w:p>
      <w:pPr>
        <w:keepNext/>
        <w:spacing w:after="100"/>
      </w:pPr>
      <w:r>
        <w:rPr>
          <w:b/>
          <w:bCs/>
          <w:color w:val="4A5160"/>
          <w:sz w:val="16"/>
          <w:szCs w:val="16"/>
          <w:shd w:val="clear" w:color="auto" w:fill="ECEEF2"/>
        </w:rPr>
        <w:t xml:space="preserve"> INFO </w:t>
      </w:r>
      <w:r>
        <w:rPr>
          <w:sz w:val="17"/>
          <w:szCs w:val="17"/>
        </w:rPr>
        <w:t xml:space="preserve">  </w:t>
      </w:r>
      <w:r>
        <w:rPr>
          <w:b/>
          <w:bCs/>
          <w:color w:val="5E1A8A"/>
          <w:sz w:val="17"/>
          <w:szCs w:val="17"/>
          <w:shd w:val="clear" w:color="auto" w:fill="F0E4F7"/>
        </w:rPr>
        <w:t xml:space="preserve"> Validation Required </w:t>
      </w:r>
      <w:r>
        <w:rPr>
          <w:color w:val="5B6475"/>
          <w:sz w:val="17"/>
          <w:szCs w:val="17"/>
        </w:rPr>
        <w:t xml:space="preserve">   Confidence: Low</w:t>
      </w:r>
      <w:r>
        <w:rPr>
          <w:color w:val="5B6475"/>
          <w:sz w:val="17"/>
          <w:szCs w:val="17"/>
        </w:rPr>
        <w:t xml:space="preserve">  ·  Windows Server</w:t>
      </w:r>
      <w:r>
        <w:rPr>
          <w:color w:val="5B6475"/>
          <w:sz w:val="17"/>
          <w:szCs w:val="17"/>
        </w:rPr>
        <w:t xml:space="preserve">  ·  FND-0005</w:t>
      </w:r>
    </w:p>
    <w:tbl>
      <w:tblPr>
        <w:tblStyle w:val="MlatTable"/>
        <w:tblW w:w="9752" w:type="dxa"/>
        <w:tblCellSpacing w:w="40" w:type="dxa"/>
        <w:tblInd w:w="0" w:type="dxa"/>
        <w:tblBorders>
          <w:top w:val="nil"/>
          <w:left w:val="nil"/>
          <w:bottom w:val="nil"/>
          <w:right w:val="nil"/>
          <w:insideH w:val="nil"/>
          <w:insideV w:val="nil"/>
        </w:tblBorders>
        <w:tblLayout w:type="fixed"/>
        <w:tblCellMar>
          <w:top w:w="70" w:type="dxa"/>
          <w:left w:w="120" w:type="dxa"/>
          <w:bottom w:w="70" w:type="dxa"/>
          <w:right w:w="120" w:type="dxa"/>
        </w:tblCellMar>
        <w:tblLook w:val="04A0" w:firstRow="1" w:lastRow="0" w:firstColumn="0" w:lastColumn="0" w:noHBand="0" w:noVBand="1"/>
      </w:tblPr>
      <w:tblGrid>
        <w:gridCol w:w="4876"/>
        <w:gridCol w:w="4876"/>
      </w:tblGrid>
      <w:tr>
        <w:trPr>
          <w:cantSplit/>
        </w:trPr>
        <w:tc>
          <w:tcPr>
            <w:tcW w:w="4876" w:type="dxa"/>
            <w:tcBorders>
              <w:top w:val="single" w:sz="12" w:space="0" w:color="9AA3B2"/>
            </w:tcBorders>
            <w:shd w:val="clear" w:color="auto" w:fill="F5F7FA"/>
          </w:tcPr>
          <w:p>
            <w:pPr>
              <w:pStyle w:val="TableText"/>
              <w:spacing w:after="40"/>
            </w:pPr>
            <w:r>
              <w:rPr>
                <w:b/>
                <w:bCs/>
                <w:color w:val="5B6475"/>
                <w:sz w:val="14"/>
                <w:szCs w:val="14"/>
              </w:rPr>
              <w:t xml:space="preserve">DISCOVERED FACT</w:t>
            </w:r>
          </w:p>
          <w:p>
            <w:pPr>
              <w:pStyle w:val="TableText"/>
            </w:pPr>
            <w:r>
              <w:rPr>
                <w:sz w:val="18"/>
                <w:szCs w:val="18"/>
              </w:rPr>
              <w:t xml:space="preserve">1 Windows Server VM(s) run on Azure.</w:t>
            </w:r>
          </w:p>
        </w:tc>
        <w:tc>
          <w:tcPr>
            <w:tcW w:w="4876" w:type="dxa"/>
            <w:tcBorders>
              <w:top w:val="single" w:sz="12" w:space="0" w:color="2563A6"/>
            </w:tcBorders>
            <w:shd w:val="clear" w:color="auto" w:fill="EEF3FA"/>
          </w:tcPr>
          <w:p>
            <w:pPr>
              <w:pStyle w:val="TableText"/>
              <w:spacing w:after="40"/>
            </w:pPr>
            <w:r>
              <w:rPr>
                <w:b/>
                <w:bCs/>
                <w:color w:val="2563A6"/>
                <w:sz w:val="14"/>
                <w:szCs w:val="14"/>
              </w:rPr>
              <w:t xml:space="preserve">LICENSING INTERPRETATION</w:t>
            </w:r>
          </w:p>
          <w:p>
            <w:pPr>
              <w:pStyle w:val="TableText"/>
            </w:pPr>
            <w:r>
              <w:rPr>
                <w:sz w:val="18"/>
                <w:szCs w:val="18"/>
              </w:rPr>
              <w:t xml:space="preserve">Assumed license-included (pay-as-you-go); no customer licenses or CALs counted. If Azure Hybrid Benefit is used, customer core licenses with SA are consumed.</w:t>
            </w:r>
          </w:p>
        </w:tc>
      </w:tr>
    </w:tbl>
    <w:p>
      <w:pPr>
        <w:spacing w:before="0" w:after="0" w:line="240" w:lineRule="auto"/>
        <w:rPr>
          <w:sz w:val="12"/>
          <w:szCs w:val="12"/>
        </w:rPr>
      </w:pPr>
    </w:p>
    <w:p>
      <w:r>
        <w:rPr>
          <w:b/>
          <w:bCs/>
        </w:rPr>
        <w:t xml:space="preserve">Recommendation: </w:t>
      </w:r>
      <w:r>
        <w:t xml:space="preserve">Confirm the licensing benefit configured for each VM in the cloud portal.</w:t>
      </w:r>
    </w:p>
    <w:p>
      <w:pPr>
        <w:pStyle w:val="Small"/>
      </w:pPr>
      <w:r>
        <w:rPr>
          <w:b/>
          <w:bCs/>
        </w:rPr>
        <w:t xml:space="preserve">Targets: </w:t>
      </w:r>
      <w:r>
        <w:t xml:space="preserve">AZWEB01</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AZWEB01</w:t>
            </w:r>
          </w:p>
        </w:tc>
        <w:tc>
          <w:tcPr>
            <w:tcW w:w="2535" w:type="dxa"/>
          </w:tcPr>
          <w:p>
            <w:pPr>
              <w:pStyle w:val="TableText"/>
            </w:pPr>
            <w:r>
              <w:rPr>
                <w:sz w:val="16"/>
                <w:szCs w:val="16"/>
              </w:rPr>
              <w:t xml:space="preserve">Cloud VM</w:t>
            </w:r>
          </w:p>
        </w:tc>
        <w:tc>
          <w:tcPr>
            <w:tcW w:w="3315" w:type="dxa"/>
          </w:tcPr>
          <w:p>
            <w:pPr>
              <w:pStyle w:val="TableText"/>
            </w:pPr>
            <w:r>
              <w:rPr>
                <w:sz w:val="16"/>
                <w:szCs w:val="16"/>
              </w:rPr>
              <w:t xml:space="preserve">Azure - Windows Server 2022 Datacenter</w:t>
            </w:r>
          </w:p>
        </w:tc>
        <w:tc>
          <w:tcPr>
            <w:tcW w:w="1757" w:type="dxa"/>
          </w:tcPr>
          <w:p>
            <w:pPr>
              <w:pStyle w:val="TableText"/>
            </w:pPr>
            <w:r>
              <w:rPr>
                <w:sz w:val="16"/>
                <w:szCs w:val="16"/>
              </w:rPr>
              <w:t xml:space="preserve">SMBIOS / registry</w:t>
            </w:r>
          </w:p>
        </w:tc>
      </w:tr>
    </w:tbl>
    <w:p>
      <w:pPr>
        <w:spacing w:before="0" w:after="0" w:line="240" w:lineRule="auto"/>
        <w:rPr>
          <w:sz w:val="12"/>
          <w:szCs w:val="12"/>
        </w:rPr>
      </w:pPr>
    </w:p>
    <w:p>
      <w:pPr>
        <w:shd w:val="clear" w:color="auto" w:fill="F5F7FA"/>
        <w:spacing w:after="200"/>
      </w:pPr>
      <w:r>
        <w:rPr>
          <w:sz w:val="16"/>
          <w:szCs w:val="16"/>
        </w:rPr>
        <w:t xml:space="preserve">Rule </w:t>
      </w:r>
      <w:r>
        <w:rPr>
          <w:b/>
          <w:bCs/>
          <w:sz w:val="16"/>
          <w:szCs w:val="16"/>
        </w:rPr>
        <w:t xml:space="preserve">RULE-WINSERVER-003</w:t>
      </w:r>
      <w:r>
        <w:rPr>
          <w:sz w:val="16"/>
          <w:szCs w:val="16"/>
        </w:rPr>
        <w:t xml:space="preserve"> v1.0 — Windows Server on public cloud virtual machines · Last reviewed: 2026-10-01</w:t>
      </w:r>
      <w:r>
        <w:rPr>
          <w:sz w:val="16"/>
          <w:szCs w:val="16"/>
        </w:rPr>
        <w:t xml:space="preserve"> · Source: </w:t>
      </w:r>
      <w:hyperlink r:id="rId147" w:history="1">
        <w:r>
          <w:rPr>
            <w:rStyle w:val="Hyperlink"/>
            <w:sz w:val="16"/>
            <w:szCs w:val="16"/>
          </w:rPr>
          <w:t xml:space="preserve">Azure Hybrid Benefit / Microsoft Product Terms</w:t>
        </w:r>
      </w:hyperlink>
      <w:r>
        <w:rPr>
          <w:color w:val="5B6475"/>
          <w:sz w:val="15"/>
          <w:szCs w:val="15"/>
        </w:rPr>
        <w:t xml:space="preserve"> (https://azure.microsoft.com/pricing/hybrid-benefit/)</w:t>
      </w:r>
    </w:p>
    <w:p>
      <w:pPr>
        <w:pStyle w:val="Heading1"/>
        <w:pageBreakBefore/>
      </w:pPr>
      <w:bookmarkStart w:id="69" w:name="_TocMlat00069"/>
      <w:r>
        <w:t xml:space="preserve">Licensing scenarios</w:t>
      </w:r>
      <w:bookmarkEnd w:id="69"/>
    </w:p>
    <w:p>
      <w:r>
        <w:t xml:space="preserve">Where the licensing model cannot be determined from technical data (for example User CAL vs Device CAL, or SQL Server per-core vs Server + CAL), the rules produce one requirement per alternative. Only the </w:t>
      </w:r>
      <w:r>
        <w:rPr>
          <w:b/>
          <w:bCs/>
        </w:rPr>
        <w:t xml:space="preserve">primary</w:t>
      </w:r>
      <w:r>
        <w:t xml:space="preserve"> scenario feeds the gap analysis; alternatives are shown so the customer can validate the most appropriate model.</w:t>
      </w:r>
    </w:p>
    <w:p>
      <w:pPr>
        <w:pStyle w:val="Heading2"/>
      </w:pPr>
      <w:bookmarkStart w:id="70" w:name="_TocMlat00070"/>
      <w:r>
        <w:t xml:space="preserve">ExchangeServer-CAL</w:t>
      </w:r>
      <w:bookmarkEnd w:id="70"/>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56"/>
        <w:gridCol w:w="1024"/>
        <w:gridCol w:w="2109"/>
        <w:gridCol w:w="779"/>
        <w:gridCol w:w="972"/>
        <w:gridCol w:w="1263"/>
        <w:gridCol w:w="1100"/>
        <w:gridCol w:w="1249"/>
      </w:tblGrid>
      <w:tr>
        <w:trPr>
          <w:cantSplit/>
          <w:tblHeader/>
        </w:trPr>
        <w:tc>
          <w:tcPr>
            <w:tcW w:w="1256" w:type="dxa"/>
            <w:shd w:val="clear" w:color="auto" w:fill="1F3A5F"/>
            <w:vAlign w:val="bottom"/>
          </w:tcPr>
          <w:p>
            <w:pPr>
              <w:pStyle w:val="TableText"/>
              <w:keepNext/>
            </w:pPr>
            <w:r>
              <w:rPr>
                <w:b/>
                <w:bCs/>
                <w:color w:val="FFFFFF"/>
                <w:sz w:val="17"/>
                <w:szCs w:val="17"/>
              </w:rPr>
              <w:t xml:space="preserve">Scenario</w:t>
            </w:r>
          </w:p>
        </w:tc>
        <w:tc>
          <w:tcPr>
            <w:tcW w:w="1024" w:type="dxa"/>
            <w:shd w:val="clear" w:color="auto" w:fill="1F3A5F"/>
            <w:vAlign w:val="bottom"/>
          </w:tcPr>
          <w:p>
            <w:pPr>
              <w:pStyle w:val="TableText"/>
              <w:keepNext/>
            </w:pPr>
            <w:r>
              <w:rPr>
                <w:b/>
                <w:bCs/>
                <w:color w:val="FFFFFF"/>
                <w:sz w:val="17"/>
                <w:szCs w:val="17"/>
              </w:rPr>
              <w:t xml:space="preserve">Used in gap analysis</w:t>
            </w:r>
          </w:p>
        </w:tc>
        <w:tc>
          <w:tcPr>
            <w:tcW w:w="2109" w:type="dxa"/>
            <w:shd w:val="clear" w:color="auto" w:fill="1F3A5F"/>
            <w:vAlign w:val="bottom"/>
          </w:tcPr>
          <w:p>
            <w:pPr>
              <w:pStyle w:val="TableText"/>
              <w:keepNext/>
            </w:pPr>
            <w:r>
              <w:rPr>
                <w:b/>
                <w:bCs/>
                <w:color w:val="FFFFFF"/>
                <w:sz w:val="17"/>
                <w:szCs w:val="17"/>
              </w:rPr>
              <w:t xml:space="preserve">License</w:t>
            </w:r>
          </w:p>
        </w:tc>
        <w:tc>
          <w:tcPr>
            <w:tcW w:w="779" w:type="dxa"/>
            <w:shd w:val="clear" w:color="auto" w:fill="1F3A5F"/>
            <w:vAlign w:val="bottom"/>
          </w:tcPr>
          <w:p>
            <w:pPr>
              <w:pStyle w:val="TableText"/>
              <w:keepNext/>
            </w:pPr>
            <w:r>
              <w:rPr>
                <w:b/>
                <w:bCs/>
                <w:color w:val="FFFFFF"/>
                <w:sz w:val="17"/>
                <w:szCs w:val="17"/>
              </w:rPr>
              <w:t xml:space="preserve">Metric</w:t>
            </w:r>
          </w:p>
        </w:tc>
        <w:tc>
          <w:tcPr>
            <w:tcW w:w="972" w:type="dxa"/>
            <w:shd w:val="clear" w:color="auto" w:fill="1F3A5F"/>
            <w:vAlign w:val="bottom"/>
          </w:tcPr>
          <w:p>
            <w:pPr>
              <w:pStyle w:val="TableText"/>
              <w:keepNext/>
              <w:jc w:val="right"/>
            </w:pPr>
            <w:r>
              <w:rPr>
                <w:b/>
                <w:bCs/>
                <w:color w:val="FFFFFF"/>
                <w:sz w:val="17"/>
                <w:szCs w:val="17"/>
              </w:rPr>
              <w:t xml:space="preserve">Quantity</w:t>
            </w:r>
          </w:p>
        </w:tc>
        <w:tc>
          <w:tcPr>
            <w:tcW w:w="1263" w:type="dxa"/>
            <w:shd w:val="clear" w:color="auto" w:fill="1F3A5F"/>
            <w:vAlign w:val="bottom"/>
          </w:tcPr>
          <w:p>
            <w:pPr>
              <w:pStyle w:val="TableText"/>
              <w:keepNext/>
            </w:pPr>
            <w:r>
              <w:rPr>
                <w:b/>
                <w:bCs/>
                <w:color w:val="FFFFFF"/>
                <w:sz w:val="17"/>
                <w:szCs w:val="17"/>
              </w:rPr>
              <w:t xml:space="preserve">Target</w:t>
            </w:r>
          </w:p>
        </w:tc>
        <w:tc>
          <w:tcPr>
            <w:tcW w:w="1100" w:type="dxa"/>
            <w:shd w:val="clear" w:color="auto" w:fill="1F3A5F"/>
            <w:vAlign w:val="bottom"/>
          </w:tcPr>
          <w:p>
            <w:pPr>
              <w:pStyle w:val="TableText"/>
              <w:keepNext/>
            </w:pPr>
            <w:r>
              <w:rPr>
                <w:b/>
                <w:bCs/>
                <w:color w:val="FFFFFF"/>
                <w:sz w:val="17"/>
                <w:szCs w:val="17"/>
              </w:rPr>
              <w:t xml:space="preserve">Confidence</w:t>
            </w:r>
          </w:p>
        </w:tc>
        <w:tc>
          <w:tcPr>
            <w:tcW w:w="1249" w:type="dxa"/>
            <w:shd w:val="clear" w:color="auto" w:fill="1F3A5F"/>
            <w:vAlign w:val="bottom"/>
          </w:tcPr>
          <w:p>
            <w:pPr>
              <w:pStyle w:val="TableText"/>
              <w:keepNext/>
            </w:pPr>
            <w:r>
              <w:rPr>
                <w:b/>
                <w:bCs/>
                <w:color w:val="FFFFFF"/>
                <w:sz w:val="17"/>
                <w:szCs w:val="17"/>
              </w:rPr>
              <w:t xml:space="preserve">Rule</w:t>
            </w:r>
          </w:p>
        </w:tc>
      </w:tr>
      <w:tr>
        <w:trPr>
          <w:cantSplit/>
        </w:trPr>
        <w:tc>
          <w:tcPr>
            <w:tcW w:w="1256" w:type="dxa"/>
          </w:tcPr>
          <w:p>
            <w:pPr>
              <w:pStyle w:val="TableText"/>
            </w:pPr>
            <w:r>
              <w:rPr>
                <w:sz w:val="17"/>
                <w:szCs w:val="17"/>
              </w:rPr>
              <w:t xml:space="preserve">User CAL model</w:t>
            </w:r>
          </w:p>
        </w:tc>
        <w:tc>
          <w:tcPr>
            <w:tcW w:w="1024" w:type="dxa"/>
            <w:shd w:val="clear" w:color="auto" w:fill="E3F2E5"/>
          </w:tcPr>
          <w:p>
            <w:pPr>
              <w:pStyle w:val="TableText"/>
            </w:pPr>
            <w:r>
              <w:rPr>
                <w:b/>
                <w:bCs/>
                <w:color w:val="1E6B2A"/>
                <w:sz w:val="17"/>
                <w:szCs w:val="17"/>
              </w:rPr>
              <w:t xml:space="preserve">Primary</w:t>
            </w:r>
          </w:p>
        </w:tc>
        <w:tc>
          <w:tcPr>
            <w:tcW w:w="2109" w:type="dxa"/>
          </w:tcPr>
          <w:p>
            <w:pPr>
              <w:pStyle w:val="TableText"/>
              <w:spacing w:after="40"/>
            </w:pPr>
            <w:r>
              <w:rPr>
                <w:b/>
                <w:bCs/>
                <w:sz w:val="17"/>
                <w:szCs w:val="17"/>
              </w:rPr>
              <w:t xml:space="preserve">Exchange Server Standard CAL (User)</w:t>
            </w:r>
          </w:p>
          <w:p>
            <w:pPr>
              <w:pStyle w:val="TableText"/>
            </w:pPr>
            <w:r>
              <w:rPr>
                <w:color w:val="5B6475"/>
                <w:sz w:val="14"/>
                <w:szCs w:val="14"/>
              </w:rPr>
              <w:t xml:space="preserve">Exchange Server</w:t>
            </w:r>
          </w:p>
        </w:tc>
        <w:tc>
          <w:tcPr>
            <w:tcW w:w="779" w:type="dxa"/>
          </w:tcPr>
          <w:p>
            <w:pPr>
              <w:pStyle w:val="TableText"/>
            </w:pPr>
            <w:r>
              <w:rPr>
                <w:sz w:val="17"/>
                <w:szCs w:val="17"/>
              </w:rPr>
              <w:t xml:space="preserve">User</w:t>
            </w:r>
          </w:p>
        </w:tc>
        <w:tc>
          <w:tcPr>
            <w:tcW w:w="972" w:type="dxa"/>
          </w:tcPr>
          <w:p>
            <w:pPr>
              <w:pStyle w:val="TableText"/>
              <w:jc w:val="right"/>
            </w:pPr>
            <w:r>
              <w:rPr>
                <w:sz w:val="17"/>
                <w:szCs w:val="17"/>
              </w:rPr>
              <w:t xml:space="preserve">168</w:t>
            </w:r>
          </w:p>
        </w:tc>
        <w:tc>
          <w:tcPr>
            <w:tcW w:w="1263" w:type="dxa"/>
          </w:tcPr>
          <w:p>
            <w:pPr>
              <w:pStyle w:val="TableText"/>
            </w:pPr>
            <w:r>
              <w:rPr>
                <w:sz w:val="17"/>
                <w:szCs w:val="17"/>
              </w:rPr>
              <w:t xml:space="preserve">Organization</w:t>
            </w:r>
          </w:p>
        </w:tc>
        <w:tc>
          <w:tcPr>
            <w:tcW w:w="1100" w:type="dxa"/>
          </w:tcPr>
          <w:p>
            <w:pPr>
              <w:pStyle w:val="TableText"/>
            </w:pPr>
            <w:r>
              <w:rPr>
                <w:sz w:val="17"/>
                <w:szCs w:val="17"/>
              </w:rPr>
              <w:t xml:space="preserve">Low</w:t>
            </w:r>
          </w:p>
        </w:tc>
        <w:tc>
          <w:tcPr>
            <w:tcW w:w="1249" w:type="dxa"/>
          </w:tcPr>
          <w:p>
            <w:pPr>
              <w:pStyle w:val="TableText"/>
            </w:pPr>
            <w:r>
              <w:rPr>
                <w:sz w:val="17"/>
                <w:szCs w:val="17"/>
              </w:rPr>
              <w:t xml:space="preserve">RULE-EXCH-018</w:t>
            </w:r>
          </w:p>
        </w:tc>
      </w:tr>
      <w:tr>
        <w:trPr>
          <w:cantSplit/>
        </w:trPr>
        <w:tc>
          <w:tcPr>
            <w:tcW w:w="1256" w:type="dxa"/>
            <w:shd w:val="clear" w:color="auto" w:fill="F7F9FB"/>
          </w:tcPr>
          <w:p>
            <w:pPr>
              <w:pStyle w:val="TableText"/>
            </w:pPr>
            <w:r>
              <w:rPr>
                <w:sz w:val="17"/>
                <w:szCs w:val="17"/>
              </w:rPr>
              <w:t xml:space="preserve">Device CAL model</w:t>
            </w:r>
          </w:p>
        </w:tc>
        <w:tc>
          <w:tcPr>
            <w:tcW w:w="1024" w:type="dxa"/>
            <w:shd w:val="clear" w:color="auto" w:fill="F7F9FB"/>
          </w:tcPr>
          <w:p>
            <w:pPr>
              <w:pStyle w:val="TableText"/>
            </w:pPr>
            <w:r>
              <w:rPr>
                <w:color w:val="5B6475"/>
                <w:sz w:val="17"/>
                <w:szCs w:val="17"/>
              </w:rPr>
              <w:t xml:space="preserve">Alternative</w:t>
            </w:r>
          </w:p>
        </w:tc>
        <w:tc>
          <w:tcPr>
            <w:tcW w:w="2109" w:type="dxa"/>
            <w:shd w:val="clear" w:color="auto" w:fill="F7F9FB"/>
          </w:tcPr>
          <w:p>
            <w:pPr>
              <w:pStyle w:val="TableText"/>
              <w:spacing w:after="40"/>
            </w:pPr>
            <w:r>
              <w:rPr>
                <w:b/>
                <w:bCs/>
                <w:sz w:val="17"/>
                <w:szCs w:val="17"/>
              </w:rPr>
              <w:t xml:space="preserve">Exchange Server Standard CAL (Device)</w:t>
            </w:r>
          </w:p>
          <w:p>
            <w:pPr>
              <w:pStyle w:val="TableText"/>
            </w:pPr>
            <w:r>
              <w:rPr>
                <w:color w:val="5B6475"/>
                <w:sz w:val="14"/>
                <w:szCs w:val="14"/>
              </w:rPr>
              <w:t xml:space="preserve">Exchange Server</w:t>
            </w:r>
          </w:p>
        </w:tc>
        <w:tc>
          <w:tcPr>
            <w:tcW w:w="779" w:type="dxa"/>
            <w:shd w:val="clear" w:color="auto" w:fill="F7F9FB"/>
          </w:tcPr>
          <w:p>
            <w:pPr>
              <w:pStyle w:val="TableText"/>
            </w:pPr>
            <w:r>
              <w:rPr>
                <w:sz w:val="17"/>
                <w:szCs w:val="17"/>
              </w:rPr>
              <w:t xml:space="preserve">Device</w:t>
            </w:r>
          </w:p>
        </w:tc>
        <w:tc>
          <w:tcPr>
            <w:tcW w:w="972" w:type="dxa"/>
            <w:shd w:val="clear" w:color="auto" w:fill="F7F9FB"/>
          </w:tcPr>
          <w:p>
            <w:pPr>
              <w:pStyle w:val="TableText"/>
              <w:jc w:val="right"/>
            </w:pPr>
            <w:r>
              <w:rPr>
                <w:sz w:val="17"/>
                <w:szCs w:val="17"/>
              </w:rPr>
              <w:t xml:space="preserve">138</w:t>
            </w:r>
          </w:p>
        </w:tc>
        <w:tc>
          <w:tcPr>
            <w:tcW w:w="1263" w:type="dxa"/>
            <w:shd w:val="clear" w:color="auto" w:fill="F7F9FB"/>
          </w:tcPr>
          <w:p>
            <w:pPr>
              <w:pStyle w:val="TableText"/>
            </w:pPr>
            <w:r>
              <w:rPr>
                <w:sz w:val="17"/>
                <w:szCs w:val="17"/>
              </w:rPr>
              <w:t xml:space="preserve">Organization</w:t>
            </w:r>
          </w:p>
        </w:tc>
        <w:tc>
          <w:tcPr>
            <w:tcW w:w="1100" w:type="dxa"/>
            <w:shd w:val="clear" w:color="auto" w:fill="F7F9FB"/>
          </w:tcPr>
          <w:p>
            <w:pPr>
              <w:pStyle w:val="TableText"/>
            </w:pPr>
            <w:r>
              <w:rPr>
                <w:sz w:val="17"/>
                <w:szCs w:val="17"/>
              </w:rPr>
              <w:t xml:space="preserve">Low</w:t>
            </w:r>
          </w:p>
        </w:tc>
        <w:tc>
          <w:tcPr>
            <w:tcW w:w="1249" w:type="dxa"/>
            <w:shd w:val="clear" w:color="auto" w:fill="F7F9FB"/>
          </w:tcPr>
          <w:p>
            <w:pPr>
              <w:pStyle w:val="TableText"/>
            </w:pPr>
            <w:r>
              <w:rPr>
                <w:sz w:val="17"/>
                <w:szCs w:val="17"/>
              </w:rPr>
              <w:t xml:space="preserve">RULE-EXCH-018</w:t>
            </w:r>
          </w:p>
        </w:tc>
      </w:tr>
    </w:tbl>
    <w:p>
      <w:pPr>
        <w:spacing w:before="0" w:after="0" w:line="240" w:lineRule="auto"/>
        <w:rPr>
          <w:sz w:val="12"/>
          <w:szCs w:val="12"/>
        </w:rPr>
      </w:pPr>
    </w:p>
    <w:p>
      <w:pPr>
        <w:spacing w:after="80"/>
      </w:pPr>
      <w:r>
        <w:rPr>
          <w:b/>
          <w:bCs/>
          <w:sz w:val="18"/>
          <w:szCs w:val="18"/>
        </w:rPr>
        <w:t xml:space="preserve">Device CAL model: </w:t>
      </w:r>
      <w:r>
        <w:rPr>
          <w:sz w:val="18"/>
          <w:szCs w:val="18"/>
        </w:rPr>
        <w:t xml:space="preserve">Potential requirement: 138 Exchange Server Device CALs (version 2019 or later) under the Device CAL model.</w:t>
      </w:r>
    </w:p>
    <w:p>
      <w:pPr>
        <w:pStyle w:val="Heading2"/>
      </w:pPr>
      <w:bookmarkStart w:id="71" w:name="_TocMlat00071"/>
      <w:r>
        <w:t xml:space="preserve">RDS-CAL</w:t>
      </w:r>
      <w:bookmarkEnd w:id="71"/>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56"/>
        <w:gridCol w:w="1024"/>
        <w:gridCol w:w="2107"/>
        <w:gridCol w:w="779"/>
        <w:gridCol w:w="973"/>
        <w:gridCol w:w="1264"/>
        <w:gridCol w:w="1100"/>
        <w:gridCol w:w="1249"/>
      </w:tblGrid>
      <w:tr>
        <w:trPr>
          <w:cantSplit/>
          <w:tblHeader/>
        </w:trPr>
        <w:tc>
          <w:tcPr>
            <w:tcW w:w="1256" w:type="dxa"/>
            <w:shd w:val="clear" w:color="auto" w:fill="1F3A5F"/>
            <w:vAlign w:val="bottom"/>
          </w:tcPr>
          <w:p>
            <w:pPr>
              <w:pStyle w:val="TableText"/>
              <w:keepNext/>
            </w:pPr>
            <w:r>
              <w:rPr>
                <w:b/>
                <w:bCs/>
                <w:color w:val="FFFFFF"/>
                <w:sz w:val="17"/>
                <w:szCs w:val="17"/>
              </w:rPr>
              <w:t xml:space="preserve">Scenario</w:t>
            </w:r>
          </w:p>
        </w:tc>
        <w:tc>
          <w:tcPr>
            <w:tcW w:w="1024" w:type="dxa"/>
            <w:shd w:val="clear" w:color="auto" w:fill="1F3A5F"/>
            <w:vAlign w:val="bottom"/>
          </w:tcPr>
          <w:p>
            <w:pPr>
              <w:pStyle w:val="TableText"/>
              <w:keepNext/>
            </w:pPr>
            <w:r>
              <w:rPr>
                <w:b/>
                <w:bCs/>
                <w:color w:val="FFFFFF"/>
                <w:sz w:val="17"/>
                <w:szCs w:val="17"/>
              </w:rPr>
              <w:t xml:space="preserve">Used in gap analysis</w:t>
            </w:r>
          </w:p>
        </w:tc>
        <w:tc>
          <w:tcPr>
            <w:tcW w:w="2107" w:type="dxa"/>
            <w:shd w:val="clear" w:color="auto" w:fill="1F3A5F"/>
            <w:vAlign w:val="bottom"/>
          </w:tcPr>
          <w:p>
            <w:pPr>
              <w:pStyle w:val="TableText"/>
              <w:keepNext/>
            </w:pPr>
            <w:r>
              <w:rPr>
                <w:b/>
                <w:bCs/>
                <w:color w:val="FFFFFF"/>
                <w:sz w:val="17"/>
                <w:szCs w:val="17"/>
              </w:rPr>
              <w:t xml:space="preserve">License</w:t>
            </w:r>
          </w:p>
        </w:tc>
        <w:tc>
          <w:tcPr>
            <w:tcW w:w="779" w:type="dxa"/>
            <w:shd w:val="clear" w:color="auto" w:fill="1F3A5F"/>
            <w:vAlign w:val="bottom"/>
          </w:tcPr>
          <w:p>
            <w:pPr>
              <w:pStyle w:val="TableText"/>
              <w:keepNext/>
            </w:pPr>
            <w:r>
              <w:rPr>
                <w:b/>
                <w:bCs/>
                <w:color w:val="FFFFFF"/>
                <w:sz w:val="17"/>
                <w:szCs w:val="17"/>
              </w:rPr>
              <w:t xml:space="preserve">Metric</w:t>
            </w:r>
          </w:p>
        </w:tc>
        <w:tc>
          <w:tcPr>
            <w:tcW w:w="973" w:type="dxa"/>
            <w:shd w:val="clear" w:color="auto" w:fill="1F3A5F"/>
            <w:vAlign w:val="bottom"/>
          </w:tcPr>
          <w:p>
            <w:pPr>
              <w:pStyle w:val="TableText"/>
              <w:keepNext/>
              <w:jc w:val="right"/>
            </w:pPr>
            <w:r>
              <w:rPr>
                <w:b/>
                <w:bCs/>
                <w:color w:val="FFFFFF"/>
                <w:sz w:val="17"/>
                <w:szCs w:val="17"/>
              </w:rPr>
              <w:t xml:space="preserve">Quantity</w:t>
            </w:r>
          </w:p>
        </w:tc>
        <w:tc>
          <w:tcPr>
            <w:tcW w:w="1264" w:type="dxa"/>
            <w:shd w:val="clear" w:color="auto" w:fill="1F3A5F"/>
            <w:vAlign w:val="bottom"/>
          </w:tcPr>
          <w:p>
            <w:pPr>
              <w:pStyle w:val="TableText"/>
              <w:keepNext/>
            </w:pPr>
            <w:r>
              <w:rPr>
                <w:b/>
                <w:bCs/>
                <w:color w:val="FFFFFF"/>
                <w:sz w:val="17"/>
                <w:szCs w:val="17"/>
              </w:rPr>
              <w:t xml:space="preserve">Target</w:t>
            </w:r>
          </w:p>
        </w:tc>
        <w:tc>
          <w:tcPr>
            <w:tcW w:w="1100" w:type="dxa"/>
            <w:shd w:val="clear" w:color="auto" w:fill="1F3A5F"/>
            <w:vAlign w:val="bottom"/>
          </w:tcPr>
          <w:p>
            <w:pPr>
              <w:pStyle w:val="TableText"/>
              <w:keepNext/>
            </w:pPr>
            <w:r>
              <w:rPr>
                <w:b/>
                <w:bCs/>
                <w:color w:val="FFFFFF"/>
                <w:sz w:val="17"/>
                <w:szCs w:val="17"/>
              </w:rPr>
              <w:t xml:space="preserve">Confidence</w:t>
            </w:r>
          </w:p>
        </w:tc>
        <w:tc>
          <w:tcPr>
            <w:tcW w:w="1249" w:type="dxa"/>
            <w:shd w:val="clear" w:color="auto" w:fill="1F3A5F"/>
            <w:vAlign w:val="bottom"/>
          </w:tcPr>
          <w:p>
            <w:pPr>
              <w:pStyle w:val="TableText"/>
              <w:keepNext/>
            </w:pPr>
            <w:r>
              <w:rPr>
                <w:b/>
                <w:bCs/>
                <w:color w:val="FFFFFF"/>
                <w:sz w:val="17"/>
                <w:szCs w:val="17"/>
              </w:rPr>
              <w:t xml:space="preserve">Rule</w:t>
            </w:r>
          </w:p>
        </w:tc>
      </w:tr>
      <w:tr>
        <w:trPr>
          <w:cantSplit/>
        </w:trPr>
        <w:tc>
          <w:tcPr>
            <w:tcW w:w="1256" w:type="dxa"/>
          </w:tcPr>
          <w:p>
            <w:pPr>
              <w:pStyle w:val="TableText"/>
            </w:pPr>
            <w:r>
              <w:rPr>
                <w:sz w:val="17"/>
                <w:szCs w:val="17"/>
              </w:rPr>
              <w:t xml:space="preserve">User CAL model</w:t>
            </w:r>
          </w:p>
        </w:tc>
        <w:tc>
          <w:tcPr>
            <w:tcW w:w="1024" w:type="dxa"/>
            <w:shd w:val="clear" w:color="auto" w:fill="E3F2E5"/>
          </w:tcPr>
          <w:p>
            <w:pPr>
              <w:pStyle w:val="TableText"/>
            </w:pPr>
            <w:r>
              <w:rPr>
                <w:b/>
                <w:bCs/>
                <w:color w:val="1E6B2A"/>
                <w:sz w:val="17"/>
                <w:szCs w:val="17"/>
              </w:rPr>
              <w:t xml:space="preserve">Primary</w:t>
            </w:r>
          </w:p>
        </w:tc>
        <w:tc>
          <w:tcPr>
            <w:tcW w:w="2107" w:type="dxa"/>
          </w:tcPr>
          <w:p>
            <w:pPr>
              <w:pStyle w:val="TableText"/>
              <w:spacing w:after="40"/>
            </w:pPr>
            <w:r>
              <w:rPr>
                <w:b/>
                <w:bCs/>
                <w:sz w:val="17"/>
                <w:szCs w:val="17"/>
              </w:rPr>
              <w:t xml:space="preserve">Remote Desktop Services CAL (User)</w:t>
            </w:r>
          </w:p>
          <w:p>
            <w:pPr>
              <w:pStyle w:val="TableText"/>
            </w:pPr>
            <w:r>
              <w:rPr>
                <w:color w:val="5B6475"/>
                <w:sz w:val="14"/>
                <w:szCs w:val="14"/>
              </w:rPr>
              <w:t xml:space="preserve">Remote Desktop Services</w:t>
            </w:r>
          </w:p>
        </w:tc>
        <w:tc>
          <w:tcPr>
            <w:tcW w:w="779" w:type="dxa"/>
          </w:tcPr>
          <w:p>
            <w:pPr>
              <w:pStyle w:val="TableText"/>
            </w:pPr>
            <w:r>
              <w:rPr>
                <w:sz w:val="17"/>
                <w:szCs w:val="17"/>
              </w:rPr>
              <w:t xml:space="preserve">User</w:t>
            </w:r>
          </w:p>
        </w:tc>
        <w:tc>
          <w:tcPr>
            <w:tcW w:w="973" w:type="dxa"/>
          </w:tcPr>
          <w:p>
            <w:pPr>
              <w:pStyle w:val="TableText"/>
              <w:jc w:val="right"/>
            </w:pPr>
            <w:r>
              <w:rPr>
                <w:sz w:val="17"/>
                <w:szCs w:val="17"/>
              </w:rPr>
              <w:t xml:space="preserve">42</w:t>
            </w:r>
          </w:p>
        </w:tc>
        <w:tc>
          <w:tcPr>
            <w:tcW w:w="1264" w:type="dxa"/>
          </w:tcPr>
          <w:p>
            <w:pPr>
              <w:pStyle w:val="TableText"/>
            </w:pPr>
            <w:r>
              <w:rPr>
                <w:sz w:val="17"/>
                <w:szCs w:val="17"/>
              </w:rPr>
              <w:t xml:space="preserve">Organization</w:t>
            </w:r>
          </w:p>
        </w:tc>
        <w:tc>
          <w:tcPr>
            <w:tcW w:w="1100" w:type="dxa"/>
          </w:tcPr>
          <w:p>
            <w:pPr>
              <w:pStyle w:val="TableText"/>
            </w:pPr>
            <w:r>
              <w:rPr>
                <w:sz w:val="17"/>
                <w:szCs w:val="17"/>
              </w:rPr>
              <w:t xml:space="preserve">Medium</w:t>
            </w:r>
          </w:p>
        </w:tc>
        <w:tc>
          <w:tcPr>
            <w:tcW w:w="1249" w:type="dxa"/>
          </w:tcPr>
          <w:p>
            <w:pPr>
              <w:pStyle w:val="TableText"/>
            </w:pPr>
            <w:r>
              <w:rPr>
                <w:sz w:val="17"/>
                <w:szCs w:val="17"/>
              </w:rPr>
              <w:t xml:space="preserve">RULE-RDS-006</w:t>
            </w:r>
          </w:p>
        </w:tc>
      </w:tr>
      <w:tr>
        <w:trPr>
          <w:cantSplit/>
        </w:trPr>
        <w:tc>
          <w:tcPr>
            <w:tcW w:w="1256" w:type="dxa"/>
            <w:shd w:val="clear" w:color="auto" w:fill="F7F9FB"/>
          </w:tcPr>
          <w:p>
            <w:pPr>
              <w:pStyle w:val="TableText"/>
            </w:pPr>
            <w:r>
              <w:rPr>
                <w:sz w:val="17"/>
                <w:szCs w:val="17"/>
              </w:rPr>
              <w:t xml:space="preserve">Device CAL model</w:t>
            </w:r>
          </w:p>
        </w:tc>
        <w:tc>
          <w:tcPr>
            <w:tcW w:w="1024" w:type="dxa"/>
            <w:shd w:val="clear" w:color="auto" w:fill="F7F9FB"/>
          </w:tcPr>
          <w:p>
            <w:pPr>
              <w:pStyle w:val="TableText"/>
            </w:pPr>
            <w:r>
              <w:rPr>
                <w:color w:val="5B6475"/>
                <w:sz w:val="17"/>
                <w:szCs w:val="17"/>
              </w:rPr>
              <w:t xml:space="preserve">Alternative</w:t>
            </w:r>
          </w:p>
        </w:tc>
        <w:tc>
          <w:tcPr>
            <w:tcW w:w="2107" w:type="dxa"/>
            <w:shd w:val="clear" w:color="auto" w:fill="F7F9FB"/>
          </w:tcPr>
          <w:p>
            <w:pPr>
              <w:pStyle w:val="TableText"/>
              <w:spacing w:after="40"/>
            </w:pPr>
            <w:r>
              <w:rPr>
                <w:b/>
                <w:bCs/>
                <w:sz w:val="17"/>
                <w:szCs w:val="17"/>
              </w:rPr>
              <w:t xml:space="preserve">Remote Desktop Services CAL (Device)</w:t>
            </w:r>
          </w:p>
          <w:p>
            <w:pPr>
              <w:pStyle w:val="TableText"/>
            </w:pPr>
            <w:r>
              <w:rPr>
                <w:color w:val="5B6475"/>
                <w:sz w:val="14"/>
                <w:szCs w:val="14"/>
              </w:rPr>
              <w:t xml:space="preserve">Remote Desktop Services</w:t>
            </w:r>
          </w:p>
        </w:tc>
        <w:tc>
          <w:tcPr>
            <w:tcW w:w="779" w:type="dxa"/>
            <w:shd w:val="clear" w:color="auto" w:fill="F7F9FB"/>
          </w:tcPr>
          <w:p>
            <w:pPr>
              <w:pStyle w:val="TableText"/>
            </w:pPr>
            <w:r>
              <w:rPr>
                <w:sz w:val="17"/>
                <w:szCs w:val="17"/>
              </w:rPr>
              <w:t xml:space="preserve">Device</w:t>
            </w:r>
          </w:p>
        </w:tc>
        <w:tc>
          <w:tcPr>
            <w:tcW w:w="973" w:type="dxa"/>
            <w:shd w:val="clear" w:color="auto" w:fill="F7F9FB"/>
          </w:tcPr>
          <w:p>
            <w:pPr>
              <w:pStyle w:val="TableText"/>
              <w:jc w:val="right"/>
            </w:pPr>
            <w:r>
              <w:rPr>
                <w:sz w:val="17"/>
                <w:szCs w:val="17"/>
              </w:rPr>
              <w:t xml:space="preserve">138</w:t>
            </w:r>
          </w:p>
        </w:tc>
        <w:tc>
          <w:tcPr>
            <w:tcW w:w="1264" w:type="dxa"/>
            <w:shd w:val="clear" w:color="auto" w:fill="F7F9FB"/>
          </w:tcPr>
          <w:p>
            <w:pPr>
              <w:pStyle w:val="TableText"/>
            </w:pPr>
            <w:r>
              <w:rPr>
                <w:sz w:val="17"/>
                <w:szCs w:val="17"/>
              </w:rPr>
              <w:t xml:space="preserve">Organization</w:t>
            </w:r>
          </w:p>
        </w:tc>
        <w:tc>
          <w:tcPr>
            <w:tcW w:w="1100" w:type="dxa"/>
            <w:shd w:val="clear" w:color="auto" w:fill="F7F9FB"/>
          </w:tcPr>
          <w:p>
            <w:pPr>
              <w:pStyle w:val="TableText"/>
            </w:pPr>
            <w:r>
              <w:rPr>
                <w:sz w:val="17"/>
                <w:szCs w:val="17"/>
              </w:rPr>
              <w:t xml:space="preserve">Low</w:t>
            </w:r>
          </w:p>
        </w:tc>
        <w:tc>
          <w:tcPr>
            <w:tcW w:w="1249" w:type="dxa"/>
            <w:shd w:val="clear" w:color="auto" w:fill="F7F9FB"/>
          </w:tcPr>
          <w:p>
            <w:pPr>
              <w:pStyle w:val="TableText"/>
            </w:pPr>
            <w:r>
              <w:rPr>
                <w:sz w:val="17"/>
                <w:szCs w:val="17"/>
              </w:rPr>
              <w:t xml:space="preserve">RULE-RDS-006</w:t>
            </w:r>
          </w:p>
        </w:tc>
      </w:tr>
    </w:tbl>
    <w:p>
      <w:pPr>
        <w:spacing w:before="0" w:after="0" w:line="240" w:lineRule="auto"/>
        <w:rPr>
          <w:sz w:val="12"/>
          <w:szCs w:val="12"/>
        </w:rPr>
      </w:pPr>
    </w:p>
    <w:p>
      <w:pPr>
        <w:spacing w:after="80"/>
      </w:pPr>
      <w:r>
        <w:rPr>
          <w:b/>
          <w:bCs/>
          <w:sz w:val="18"/>
          <w:szCs w:val="18"/>
        </w:rPr>
        <w:t xml:space="preserve">Device CAL model: </w:t>
      </w:r>
      <w:r>
        <w:rPr>
          <w:sz w:val="18"/>
          <w:szCs w:val="18"/>
        </w:rPr>
        <w:t xml:space="preserve">Potential requirement: 138 RDS Device CALs (version 2022 or later) under the Device CAL model.</w:t>
      </w:r>
    </w:p>
    <w:p>
      <w:pPr>
        <w:pStyle w:val="Heading2"/>
      </w:pPr>
      <w:bookmarkStart w:id="72" w:name="_TocMlat00072"/>
      <w:r>
        <w:t xml:space="preserve">SQL-CAL</w:t>
      </w:r>
      <w:bookmarkEnd w:id="72"/>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57"/>
        <w:gridCol w:w="1024"/>
        <w:gridCol w:w="2107"/>
        <w:gridCol w:w="779"/>
        <w:gridCol w:w="973"/>
        <w:gridCol w:w="1264"/>
        <w:gridCol w:w="1100"/>
        <w:gridCol w:w="1248"/>
      </w:tblGrid>
      <w:tr>
        <w:trPr>
          <w:cantSplit/>
          <w:tblHeader/>
        </w:trPr>
        <w:tc>
          <w:tcPr>
            <w:tcW w:w="1257" w:type="dxa"/>
            <w:shd w:val="clear" w:color="auto" w:fill="1F3A5F"/>
            <w:vAlign w:val="bottom"/>
          </w:tcPr>
          <w:p>
            <w:pPr>
              <w:pStyle w:val="TableText"/>
              <w:keepNext/>
            </w:pPr>
            <w:r>
              <w:rPr>
                <w:b/>
                <w:bCs/>
                <w:color w:val="FFFFFF"/>
                <w:sz w:val="17"/>
                <w:szCs w:val="17"/>
              </w:rPr>
              <w:t xml:space="preserve">Scenario</w:t>
            </w:r>
          </w:p>
        </w:tc>
        <w:tc>
          <w:tcPr>
            <w:tcW w:w="1024" w:type="dxa"/>
            <w:shd w:val="clear" w:color="auto" w:fill="1F3A5F"/>
            <w:vAlign w:val="bottom"/>
          </w:tcPr>
          <w:p>
            <w:pPr>
              <w:pStyle w:val="TableText"/>
              <w:keepNext/>
            </w:pPr>
            <w:r>
              <w:rPr>
                <w:b/>
                <w:bCs/>
                <w:color w:val="FFFFFF"/>
                <w:sz w:val="17"/>
                <w:szCs w:val="17"/>
              </w:rPr>
              <w:t xml:space="preserve">Used in gap analysis</w:t>
            </w:r>
          </w:p>
        </w:tc>
        <w:tc>
          <w:tcPr>
            <w:tcW w:w="2107" w:type="dxa"/>
            <w:shd w:val="clear" w:color="auto" w:fill="1F3A5F"/>
            <w:vAlign w:val="bottom"/>
          </w:tcPr>
          <w:p>
            <w:pPr>
              <w:pStyle w:val="TableText"/>
              <w:keepNext/>
            </w:pPr>
            <w:r>
              <w:rPr>
                <w:b/>
                <w:bCs/>
                <w:color w:val="FFFFFF"/>
                <w:sz w:val="17"/>
                <w:szCs w:val="17"/>
              </w:rPr>
              <w:t xml:space="preserve">License</w:t>
            </w:r>
          </w:p>
        </w:tc>
        <w:tc>
          <w:tcPr>
            <w:tcW w:w="779" w:type="dxa"/>
            <w:shd w:val="clear" w:color="auto" w:fill="1F3A5F"/>
            <w:vAlign w:val="bottom"/>
          </w:tcPr>
          <w:p>
            <w:pPr>
              <w:pStyle w:val="TableText"/>
              <w:keepNext/>
            </w:pPr>
            <w:r>
              <w:rPr>
                <w:b/>
                <w:bCs/>
                <w:color w:val="FFFFFF"/>
                <w:sz w:val="17"/>
                <w:szCs w:val="17"/>
              </w:rPr>
              <w:t xml:space="preserve">Metric</w:t>
            </w:r>
          </w:p>
        </w:tc>
        <w:tc>
          <w:tcPr>
            <w:tcW w:w="973" w:type="dxa"/>
            <w:shd w:val="clear" w:color="auto" w:fill="1F3A5F"/>
            <w:vAlign w:val="bottom"/>
          </w:tcPr>
          <w:p>
            <w:pPr>
              <w:pStyle w:val="TableText"/>
              <w:keepNext/>
              <w:jc w:val="right"/>
            </w:pPr>
            <w:r>
              <w:rPr>
                <w:b/>
                <w:bCs/>
                <w:color w:val="FFFFFF"/>
                <w:sz w:val="17"/>
                <w:szCs w:val="17"/>
              </w:rPr>
              <w:t xml:space="preserve">Quantity</w:t>
            </w:r>
          </w:p>
        </w:tc>
        <w:tc>
          <w:tcPr>
            <w:tcW w:w="1264" w:type="dxa"/>
            <w:shd w:val="clear" w:color="auto" w:fill="1F3A5F"/>
            <w:vAlign w:val="bottom"/>
          </w:tcPr>
          <w:p>
            <w:pPr>
              <w:pStyle w:val="TableText"/>
              <w:keepNext/>
            </w:pPr>
            <w:r>
              <w:rPr>
                <w:b/>
                <w:bCs/>
                <w:color w:val="FFFFFF"/>
                <w:sz w:val="17"/>
                <w:szCs w:val="17"/>
              </w:rPr>
              <w:t xml:space="preserve">Target</w:t>
            </w:r>
          </w:p>
        </w:tc>
        <w:tc>
          <w:tcPr>
            <w:tcW w:w="1100" w:type="dxa"/>
            <w:shd w:val="clear" w:color="auto" w:fill="1F3A5F"/>
            <w:vAlign w:val="bottom"/>
          </w:tcPr>
          <w:p>
            <w:pPr>
              <w:pStyle w:val="TableText"/>
              <w:keepNext/>
            </w:pPr>
            <w:r>
              <w:rPr>
                <w:b/>
                <w:bCs/>
                <w:color w:val="FFFFFF"/>
                <w:sz w:val="17"/>
                <w:szCs w:val="17"/>
              </w:rPr>
              <w:t xml:space="preserve">Confidence</w:t>
            </w:r>
          </w:p>
        </w:tc>
        <w:tc>
          <w:tcPr>
            <w:tcW w:w="1248" w:type="dxa"/>
            <w:shd w:val="clear" w:color="auto" w:fill="1F3A5F"/>
            <w:vAlign w:val="bottom"/>
          </w:tcPr>
          <w:p>
            <w:pPr>
              <w:pStyle w:val="TableText"/>
              <w:keepNext/>
            </w:pPr>
            <w:r>
              <w:rPr>
                <w:b/>
                <w:bCs/>
                <w:color w:val="FFFFFF"/>
                <w:sz w:val="17"/>
                <w:szCs w:val="17"/>
              </w:rPr>
              <w:t xml:space="preserve">Rule</w:t>
            </w:r>
          </w:p>
        </w:tc>
      </w:tr>
      <w:tr>
        <w:trPr>
          <w:cantSplit/>
        </w:trPr>
        <w:tc>
          <w:tcPr>
            <w:tcW w:w="1257" w:type="dxa"/>
          </w:tcPr>
          <w:p>
            <w:pPr>
              <w:pStyle w:val="TableText"/>
            </w:pPr>
            <w:r>
              <w:rPr>
                <w:sz w:val="17"/>
                <w:szCs w:val="17"/>
              </w:rPr>
              <w:t xml:space="preserve">Device CAL model</w:t>
            </w:r>
          </w:p>
        </w:tc>
        <w:tc>
          <w:tcPr>
            <w:tcW w:w="1024" w:type="dxa"/>
          </w:tcPr>
          <w:p>
            <w:pPr>
              <w:pStyle w:val="TableText"/>
            </w:pPr>
            <w:r>
              <w:rPr>
                <w:color w:val="5B6475"/>
                <w:sz w:val="17"/>
                <w:szCs w:val="17"/>
              </w:rPr>
              <w:t xml:space="preserve">Alternative</w:t>
            </w:r>
          </w:p>
        </w:tc>
        <w:tc>
          <w:tcPr>
            <w:tcW w:w="2107" w:type="dxa"/>
          </w:tcPr>
          <w:p>
            <w:pPr>
              <w:pStyle w:val="TableText"/>
              <w:spacing w:after="40"/>
            </w:pPr>
            <w:r>
              <w:rPr>
                <w:b/>
                <w:bCs/>
                <w:sz w:val="17"/>
                <w:szCs w:val="17"/>
              </w:rPr>
              <w:t xml:space="preserve">SQL Server CAL (Device)</w:t>
            </w:r>
          </w:p>
          <w:p>
            <w:pPr>
              <w:pStyle w:val="TableText"/>
            </w:pPr>
            <w:r>
              <w:rPr>
                <w:color w:val="5B6475"/>
                <w:sz w:val="14"/>
                <w:szCs w:val="14"/>
              </w:rPr>
              <w:t xml:space="preserve">SQL Server</w:t>
            </w:r>
          </w:p>
        </w:tc>
        <w:tc>
          <w:tcPr>
            <w:tcW w:w="779" w:type="dxa"/>
          </w:tcPr>
          <w:p>
            <w:pPr>
              <w:pStyle w:val="TableText"/>
            </w:pPr>
            <w:r>
              <w:rPr>
                <w:sz w:val="17"/>
                <w:szCs w:val="17"/>
              </w:rPr>
              <w:t xml:space="preserve">Device</w:t>
            </w:r>
          </w:p>
        </w:tc>
        <w:tc>
          <w:tcPr>
            <w:tcW w:w="973" w:type="dxa"/>
          </w:tcPr>
          <w:p>
            <w:pPr>
              <w:pStyle w:val="TableText"/>
              <w:jc w:val="right"/>
            </w:pPr>
            <w:r>
              <w:rPr>
                <w:sz w:val="17"/>
                <w:szCs w:val="17"/>
              </w:rPr>
              <w:t xml:space="preserve">138</w:t>
            </w:r>
          </w:p>
        </w:tc>
        <w:tc>
          <w:tcPr>
            <w:tcW w:w="1264" w:type="dxa"/>
          </w:tcPr>
          <w:p>
            <w:pPr>
              <w:pStyle w:val="TableText"/>
            </w:pPr>
            <w:r>
              <w:rPr>
                <w:sz w:val="17"/>
                <w:szCs w:val="17"/>
              </w:rPr>
              <w:t xml:space="preserve">Organization</w:t>
            </w:r>
          </w:p>
        </w:tc>
        <w:tc>
          <w:tcPr>
            <w:tcW w:w="1100" w:type="dxa"/>
          </w:tcPr>
          <w:p>
            <w:pPr>
              <w:pStyle w:val="TableText"/>
            </w:pPr>
            <w:r>
              <w:rPr>
                <w:sz w:val="17"/>
                <w:szCs w:val="17"/>
              </w:rPr>
              <w:t xml:space="preserve">Medium</w:t>
            </w:r>
          </w:p>
        </w:tc>
        <w:tc>
          <w:tcPr>
            <w:tcW w:w="1248" w:type="dxa"/>
          </w:tcPr>
          <w:p>
            <w:pPr>
              <w:pStyle w:val="TableText"/>
            </w:pPr>
            <w:r>
              <w:rPr>
                <w:sz w:val="17"/>
                <w:szCs w:val="17"/>
              </w:rPr>
              <w:t xml:space="preserve">RULE-SQL-008</w:t>
            </w:r>
          </w:p>
        </w:tc>
      </w:tr>
      <w:tr>
        <w:trPr>
          <w:cantSplit/>
        </w:trPr>
        <w:tc>
          <w:tcPr>
            <w:tcW w:w="1257" w:type="dxa"/>
            <w:shd w:val="clear" w:color="auto" w:fill="F7F9FB"/>
          </w:tcPr>
          <w:p>
            <w:pPr>
              <w:pStyle w:val="TableText"/>
            </w:pPr>
            <w:r>
              <w:rPr>
                <w:sz w:val="17"/>
                <w:szCs w:val="17"/>
              </w:rPr>
              <w:t xml:space="preserve">User CAL model</w:t>
            </w:r>
          </w:p>
        </w:tc>
        <w:tc>
          <w:tcPr>
            <w:tcW w:w="1024" w:type="dxa"/>
            <w:shd w:val="clear" w:color="auto" w:fill="F7F9FB"/>
          </w:tcPr>
          <w:p>
            <w:pPr>
              <w:pStyle w:val="TableText"/>
            </w:pPr>
            <w:r>
              <w:rPr>
                <w:color w:val="5B6475"/>
                <w:sz w:val="17"/>
                <w:szCs w:val="17"/>
              </w:rPr>
              <w:t xml:space="preserve">Alternative</w:t>
            </w:r>
          </w:p>
        </w:tc>
        <w:tc>
          <w:tcPr>
            <w:tcW w:w="2107" w:type="dxa"/>
            <w:shd w:val="clear" w:color="auto" w:fill="F7F9FB"/>
          </w:tcPr>
          <w:p>
            <w:pPr>
              <w:pStyle w:val="TableText"/>
              <w:spacing w:after="40"/>
            </w:pPr>
            <w:r>
              <w:rPr>
                <w:b/>
                <w:bCs/>
                <w:sz w:val="17"/>
                <w:szCs w:val="17"/>
              </w:rPr>
              <w:t xml:space="preserve">SQL Server CAL (User)</w:t>
            </w:r>
          </w:p>
          <w:p>
            <w:pPr>
              <w:pStyle w:val="TableText"/>
            </w:pPr>
            <w:r>
              <w:rPr>
                <w:color w:val="5B6475"/>
                <w:sz w:val="14"/>
                <w:szCs w:val="14"/>
              </w:rPr>
              <w:t xml:space="preserve">SQL Server</w:t>
            </w:r>
          </w:p>
        </w:tc>
        <w:tc>
          <w:tcPr>
            <w:tcW w:w="779" w:type="dxa"/>
            <w:shd w:val="clear" w:color="auto" w:fill="F7F9FB"/>
          </w:tcPr>
          <w:p>
            <w:pPr>
              <w:pStyle w:val="TableText"/>
            </w:pPr>
            <w:r>
              <w:rPr>
                <w:sz w:val="17"/>
                <w:szCs w:val="17"/>
              </w:rPr>
              <w:t xml:space="preserve">User</w:t>
            </w:r>
          </w:p>
        </w:tc>
        <w:tc>
          <w:tcPr>
            <w:tcW w:w="973" w:type="dxa"/>
            <w:shd w:val="clear" w:color="auto" w:fill="F7F9FB"/>
          </w:tcPr>
          <w:p>
            <w:pPr>
              <w:pStyle w:val="TableText"/>
              <w:jc w:val="right"/>
            </w:pPr>
            <w:r>
              <w:rPr>
                <w:sz w:val="17"/>
                <w:szCs w:val="17"/>
              </w:rPr>
              <w:t xml:space="preserve">168</w:t>
            </w:r>
          </w:p>
        </w:tc>
        <w:tc>
          <w:tcPr>
            <w:tcW w:w="1264" w:type="dxa"/>
            <w:shd w:val="clear" w:color="auto" w:fill="F7F9FB"/>
          </w:tcPr>
          <w:p>
            <w:pPr>
              <w:pStyle w:val="TableText"/>
            </w:pPr>
            <w:r>
              <w:rPr>
                <w:sz w:val="17"/>
                <w:szCs w:val="17"/>
              </w:rPr>
              <w:t xml:space="preserve">Organization</w:t>
            </w:r>
          </w:p>
        </w:tc>
        <w:tc>
          <w:tcPr>
            <w:tcW w:w="1100" w:type="dxa"/>
            <w:shd w:val="clear" w:color="auto" w:fill="F7F9FB"/>
          </w:tcPr>
          <w:p>
            <w:pPr>
              <w:pStyle w:val="TableText"/>
            </w:pPr>
            <w:r>
              <w:rPr>
                <w:sz w:val="17"/>
                <w:szCs w:val="17"/>
              </w:rPr>
              <w:t xml:space="preserve">Medium</w:t>
            </w:r>
          </w:p>
        </w:tc>
        <w:tc>
          <w:tcPr>
            <w:tcW w:w="1248" w:type="dxa"/>
            <w:shd w:val="clear" w:color="auto" w:fill="F7F9FB"/>
          </w:tcPr>
          <w:p>
            <w:pPr>
              <w:pStyle w:val="TableText"/>
            </w:pPr>
            <w:r>
              <w:rPr>
                <w:sz w:val="17"/>
                <w:szCs w:val="17"/>
              </w:rPr>
              <w:t xml:space="preserve">RULE-SQL-008</w:t>
            </w:r>
          </w:p>
        </w:tc>
      </w:tr>
    </w:tbl>
    <w:p>
      <w:pPr>
        <w:spacing w:before="0" w:after="0" w:line="240" w:lineRule="auto"/>
        <w:rPr>
          <w:sz w:val="12"/>
          <w:szCs w:val="12"/>
        </w:rPr>
      </w:pPr>
    </w:p>
    <w:p>
      <w:pPr>
        <w:spacing w:after="80"/>
      </w:pPr>
      <w:r>
        <w:rPr>
          <w:b/>
          <w:bCs/>
          <w:sz w:val="18"/>
          <w:szCs w:val="18"/>
        </w:rPr>
        <w:t xml:space="preserve">User CAL model: </w:t>
      </w:r>
      <w:r>
        <w:rPr>
          <w:sz w:val="18"/>
          <w:szCs w:val="18"/>
        </w:rPr>
        <w:t xml:space="preserve">Potential requirement: 168 SQL Server User CALs (version 2019 or later) under the User CAL model.</w:t>
      </w:r>
    </w:p>
    <w:p>
      <w:pPr>
        <w:spacing w:after="80"/>
      </w:pPr>
      <w:r>
        <w:rPr>
          <w:b/>
          <w:bCs/>
          <w:sz w:val="18"/>
          <w:szCs w:val="18"/>
        </w:rPr>
        <w:t xml:space="preserve">Device CAL model: </w:t>
      </w:r>
      <w:r>
        <w:rPr>
          <w:sz w:val="18"/>
          <w:szCs w:val="18"/>
        </w:rPr>
        <w:t xml:space="preserve">Potential requirement: 138 SQL Server Device CALs (version 2019 or later) under the Device CAL model.</w:t>
      </w:r>
    </w:p>
    <w:p>
      <w:pPr>
        <w:pStyle w:val="Heading2"/>
      </w:pPr>
      <w:bookmarkStart w:id="73" w:name="_TocMlat00073"/>
      <w:r>
        <w:t xml:space="preserve">SQL-MODEL</w:t>
      </w:r>
      <w:bookmarkEnd w:id="73"/>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56"/>
        <w:gridCol w:w="1024"/>
        <w:gridCol w:w="2108"/>
        <w:gridCol w:w="779"/>
        <w:gridCol w:w="973"/>
        <w:gridCol w:w="1264"/>
        <w:gridCol w:w="1100"/>
        <w:gridCol w:w="1248"/>
      </w:tblGrid>
      <w:tr>
        <w:trPr>
          <w:cantSplit/>
          <w:tblHeader/>
        </w:trPr>
        <w:tc>
          <w:tcPr>
            <w:tcW w:w="1256" w:type="dxa"/>
            <w:shd w:val="clear" w:color="auto" w:fill="1F3A5F"/>
            <w:vAlign w:val="bottom"/>
          </w:tcPr>
          <w:p>
            <w:pPr>
              <w:pStyle w:val="TableText"/>
              <w:keepNext/>
            </w:pPr>
            <w:r>
              <w:rPr>
                <w:b/>
                <w:bCs/>
                <w:color w:val="FFFFFF"/>
                <w:sz w:val="17"/>
                <w:szCs w:val="17"/>
              </w:rPr>
              <w:t xml:space="preserve">Scenario</w:t>
            </w:r>
          </w:p>
        </w:tc>
        <w:tc>
          <w:tcPr>
            <w:tcW w:w="1024" w:type="dxa"/>
            <w:shd w:val="clear" w:color="auto" w:fill="1F3A5F"/>
            <w:vAlign w:val="bottom"/>
          </w:tcPr>
          <w:p>
            <w:pPr>
              <w:pStyle w:val="TableText"/>
              <w:keepNext/>
            </w:pPr>
            <w:r>
              <w:rPr>
                <w:b/>
                <w:bCs/>
                <w:color w:val="FFFFFF"/>
                <w:sz w:val="17"/>
                <w:szCs w:val="17"/>
              </w:rPr>
              <w:t xml:space="preserve">Used in gap analysis</w:t>
            </w:r>
          </w:p>
        </w:tc>
        <w:tc>
          <w:tcPr>
            <w:tcW w:w="2108" w:type="dxa"/>
            <w:shd w:val="clear" w:color="auto" w:fill="1F3A5F"/>
            <w:vAlign w:val="bottom"/>
          </w:tcPr>
          <w:p>
            <w:pPr>
              <w:pStyle w:val="TableText"/>
              <w:keepNext/>
            </w:pPr>
            <w:r>
              <w:rPr>
                <w:b/>
                <w:bCs/>
                <w:color w:val="FFFFFF"/>
                <w:sz w:val="17"/>
                <w:szCs w:val="17"/>
              </w:rPr>
              <w:t xml:space="preserve">License</w:t>
            </w:r>
          </w:p>
        </w:tc>
        <w:tc>
          <w:tcPr>
            <w:tcW w:w="779" w:type="dxa"/>
            <w:shd w:val="clear" w:color="auto" w:fill="1F3A5F"/>
            <w:vAlign w:val="bottom"/>
          </w:tcPr>
          <w:p>
            <w:pPr>
              <w:pStyle w:val="TableText"/>
              <w:keepNext/>
            </w:pPr>
            <w:r>
              <w:rPr>
                <w:b/>
                <w:bCs/>
                <w:color w:val="FFFFFF"/>
                <w:sz w:val="17"/>
                <w:szCs w:val="17"/>
              </w:rPr>
              <w:t xml:space="preserve">Metric</w:t>
            </w:r>
          </w:p>
        </w:tc>
        <w:tc>
          <w:tcPr>
            <w:tcW w:w="973" w:type="dxa"/>
            <w:shd w:val="clear" w:color="auto" w:fill="1F3A5F"/>
            <w:vAlign w:val="bottom"/>
          </w:tcPr>
          <w:p>
            <w:pPr>
              <w:pStyle w:val="TableText"/>
              <w:keepNext/>
              <w:jc w:val="right"/>
            </w:pPr>
            <w:r>
              <w:rPr>
                <w:b/>
                <w:bCs/>
                <w:color w:val="FFFFFF"/>
                <w:sz w:val="17"/>
                <w:szCs w:val="17"/>
              </w:rPr>
              <w:t xml:space="preserve">Quantity</w:t>
            </w:r>
          </w:p>
        </w:tc>
        <w:tc>
          <w:tcPr>
            <w:tcW w:w="1264" w:type="dxa"/>
            <w:shd w:val="clear" w:color="auto" w:fill="1F3A5F"/>
            <w:vAlign w:val="bottom"/>
          </w:tcPr>
          <w:p>
            <w:pPr>
              <w:pStyle w:val="TableText"/>
              <w:keepNext/>
            </w:pPr>
            <w:r>
              <w:rPr>
                <w:b/>
                <w:bCs/>
                <w:color w:val="FFFFFF"/>
                <w:sz w:val="17"/>
                <w:szCs w:val="17"/>
              </w:rPr>
              <w:t xml:space="preserve">Target</w:t>
            </w:r>
          </w:p>
        </w:tc>
        <w:tc>
          <w:tcPr>
            <w:tcW w:w="1100" w:type="dxa"/>
            <w:shd w:val="clear" w:color="auto" w:fill="1F3A5F"/>
            <w:vAlign w:val="bottom"/>
          </w:tcPr>
          <w:p>
            <w:pPr>
              <w:pStyle w:val="TableText"/>
              <w:keepNext/>
            </w:pPr>
            <w:r>
              <w:rPr>
                <w:b/>
                <w:bCs/>
                <w:color w:val="FFFFFF"/>
                <w:sz w:val="17"/>
                <w:szCs w:val="17"/>
              </w:rPr>
              <w:t xml:space="preserve">Confidence</w:t>
            </w:r>
          </w:p>
        </w:tc>
        <w:tc>
          <w:tcPr>
            <w:tcW w:w="1248" w:type="dxa"/>
            <w:shd w:val="clear" w:color="auto" w:fill="1F3A5F"/>
            <w:vAlign w:val="bottom"/>
          </w:tcPr>
          <w:p>
            <w:pPr>
              <w:pStyle w:val="TableText"/>
              <w:keepNext/>
            </w:pPr>
            <w:r>
              <w:rPr>
                <w:b/>
                <w:bCs/>
                <w:color w:val="FFFFFF"/>
                <w:sz w:val="17"/>
                <w:szCs w:val="17"/>
              </w:rPr>
              <w:t xml:space="preserve">Rule</w:t>
            </w:r>
          </w:p>
        </w:tc>
      </w:tr>
      <w:tr>
        <w:trPr>
          <w:cantSplit/>
        </w:trPr>
        <w:tc>
          <w:tcPr>
            <w:tcW w:w="1256" w:type="dxa"/>
          </w:tcPr>
          <w:p>
            <w:pPr>
              <w:pStyle w:val="TableText"/>
            </w:pPr>
            <w:r>
              <w:rPr>
                <w:sz w:val="17"/>
                <w:szCs w:val="17"/>
              </w:rPr>
              <w:t xml:space="preserve">Scenario 1: Per core</w:t>
            </w:r>
          </w:p>
        </w:tc>
        <w:tc>
          <w:tcPr>
            <w:tcW w:w="1024" w:type="dxa"/>
            <w:shd w:val="clear" w:color="auto" w:fill="E3F2E5"/>
          </w:tcPr>
          <w:p>
            <w:pPr>
              <w:pStyle w:val="TableText"/>
            </w:pPr>
            <w:r>
              <w:rPr>
                <w:b/>
                <w:bCs/>
                <w:color w:val="1E6B2A"/>
                <w:sz w:val="17"/>
                <w:szCs w:val="17"/>
              </w:rPr>
              <w:t xml:space="preserve">Primary</w:t>
            </w:r>
          </w:p>
        </w:tc>
        <w:tc>
          <w:tcPr>
            <w:tcW w:w="2108" w:type="dxa"/>
          </w:tcPr>
          <w:p>
            <w:pPr>
              <w:pStyle w:val="TableText"/>
              <w:spacing w:after="40"/>
            </w:pPr>
            <w:r>
              <w:rPr>
                <w:b/>
                <w:bCs/>
                <w:sz w:val="17"/>
                <w:szCs w:val="17"/>
              </w:rPr>
              <w:t xml:space="preserve">SQL Server Standard core license</w:t>
            </w:r>
          </w:p>
          <w:p>
            <w:pPr>
              <w:pStyle w:val="TableText"/>
            </w:pPr>
            <w:r>
              <w:rPr>
                <w:color w:val="5B6475"/>
                <w:sz w:val="14"/>
                <w:szCs w:val="14"/>
              </w:rPr>
              <w:t xml:space="preserve">SQL Server</w:t>
            </w:r>
          </w:p>
        </w:tc>
        <w:tc>
          <w:tcPr>
            <w:tcW w:w="779" w:type="dxa"/>
          </w:tcPr>
          <w:p>
            <w:pPr>
              <w:pStyle w:val="TableText"/>
            </w:pPr>
            <w:r>
              <w:rPr>
                <w:sz w:val="17"/>
                <w:szCs w:val="17"/>
              </w:rPr>
              <w:t xml:space="preserve">Core</w:t>
            </w:r>
          </w:p>
        </w:tc>
        <w:tc>
          <w:tcPr>
            <w:tcW w:w="973" w:type="dxa"/>
          </w:tcPr>
          <w:p>
            <w:pPr>
              <w:pStyle w:val="TableText"/>
              <w:jc w:val="right"/>
            </w:pPr>
            <w:r>
              <w:rPr>
                <w:sz w:val="17"/>
                <w:szCs w:val="17"/>
              </w:rPr>
              <w:t xml:space="preserve">4</w:t>
            </w:r>
          </w:p>
        </w:tc>
        <w:tc>
          <w:tcPr>
            <w:tcW w:w="1264" w:type="dxa"/>
          </w:tcPr>
          <w:p>
            <w:pPr>
              <w:pStyle w:val="TableText"/>
            </w:pPr>
            <w:r>
              <w:rPr>
                <w:sz w:val="17"/>
                <w:szCs w:val="17"/>
              </w:rPr>
              <w:t xml:space="preserve">APP01</w:t>
            </w:r>
          </w:p>
        </w:tc>
        <w:tc>
          <w:tcPr>
            <w:tcW w:w="1100" w:type="dxa"/>
          </w:tcPr>
          <w:p>
            <w:pPr>
              <w:pStyle w:val="TableText"/>
            </w:pPr>
            <w:r>
              <w:rPr>
                <w:sz w:val="17"/>
                <w:szCs w:val="17"/>
              </w:rPr>
              <w:t xml:space="preserve">Medium</w:t>
            </w:r>
          </w:p>
        </w:tc>
        <w:tc>
          <w:tcPr>
            <w:tcW w:w="1248" w:type="dxa"/>
          </w:tcPr>
          <w:p>
            <w:pPr>
              <w:pStyle w:val="TableText"/>
            </w:pPr>
            <w:r>
              <w:rPr>
                <w:sz w:val="17"/>
                <w:szCs w:val="17"/>
              </w:rPr>
              <w:t xml:space="preserve">RULE-SQL-007</w:t>
            </w:r>
          </w:p>
        </w:tc>
      </w:tr>
      <w:tr>
        <w:trPr>
          <w:cantSplit/>
        </w:trPr>
        <w:tc>
          <w:tcPr>
            <w:tcW w:w="1256" w:type="dxa"/>
            <w:shd w:val="clear" w:color="auto" w:fill="F7F9FB"/>
          </w:tcPr>
          <w:p>
            <w:pPr>
              <w:pStyle w:val="TableText"/>
            </w:pPr>
            <w:r>
              <w:rPr>
                <w:sz w:val="17"/>
                <w:szCs w:val="17"/>
              </w:rPr>
              <w:t xml:space="preserve">Scenario 1: Per core</w:t>
            </w:r>
          </w:p>
        </w:tc>
        <w:tc>
          <w:tcPr>
            <w:tcW w:w="1024" w:type="dxa"/>
            <w:shd w:val="clear" w:color="auto" w:fill="E3F2E5"/>
          </w:tcPr>
          <w:p>
            <w:pPr>
              <w:pStyle w:val="TableText"/>
            </w:pPr>
            <w:r>
              <w:rPr>
                <w:b/>
                <w:bCs/>
                <w:color w:val="1E6B2A"/>
                <w:sz w:val="17"/>
                <w:szCs w:val="17"/>
              </w:rPr>
              <w:t xml:space="preserve">Primary</w:t>
            </w:r>
          </w:p>
        </w:tc>
        <w:tc>
          <w:tcPr>
            <w:tcW w:w="2108" w:type="dxa"/>
            <w:shd w:val="clear" w:color="auto" w:fill="F7F9FB"/>
          </w:tcPr>
          <w:p>
            <w:pPr>
              <w:pStyle w:val="TableText"/>
              <w:spacing w:after="40"/>
            </w:pPr>
            <w:r>
              <w:rPr>
                <w:b/>
                <w:bCs/>
                <w:sz w:val="17"/>
                <w:szCs w:val="17"/>
              </w:rPr>
              <w:t xml:space="preserve">SQL Server Standard core license</w:t>
            </w:r>
          </w:p>
          <w:p>
            <w:pPr>
              <w:pStyle w:val="TableText"/>
            </w:pPr>
            <w:r>
              <w:rPr>
                <w:color w:val="5B6475"/>
                <w:sz w:val="14"/>
                <w:szCs w:val="14"/>
              </w:rPr>
              <w:t xml:space="preserve">SQL Server</w:t>
            </w:r>
          </w:p>
        </w:tc>
        <w:tc>
          <w:tcPr>
            <w:tcW w:w="779" w:type="dxa"/>
            <w:shd w:val="clear" w:color="auto" w:fill="F7F9FB"/>
          </w:tcPr>
          <w:p>
            <w:pPr>
              <w:pStyle w:val="TableText"/>
            </w:pPr>
            <w:r>
              <w:rPr>
                <w:sz w:val="17"/>
                <w:szCs w:val="17"/>
              </w:rPr>
              <w:t xml:space="preserve">Core</w:t>
            </w:r>
          </w:p>
        </w:tc>
        <w:tc>
          <w:tcPr>
            <w:tcW w:w="973" w:type="dxa"/>
            <w:shd w:val="clear" w:color="auto" w:fill="F7F9FB"/>
          </w:tcPr>
          <w:p>
            <w:pPr>
              <w:pStyle w:val="TableText"/>
              <w:jc w:val="right"/>
            </w:pPr>
            <w:r>
              <w:rPr>
                <w:sz w:val="17"/>
                <w:szCs w:val="17"/>
              </w:rPr>
              <w:t xml:space="preserve">6</w:t>
            </w:r>
          </w:p>
        </w:tc>
        <w:tc>
          <w:tcPr>
            <w:tcW w:w="1264" w:type="dxa"/>
            <w:shd w:val="clear" w:color="auto" w:fill="F7F9FB"/>
          </w:tcPr>
          <w:p>
            <w:pPr>
              <w:pStyle w:val="TableText"/>
            </w:pPr>
            <w:r>
              <w:rPr>
                <w:sz w:val="17"/>
                <w:szCs w:val="17"/>
              </w:rPr>
              <w:t xml:space="preserve">ERP01</w:t>
            </w:r>
          </w:p>
        </w:tc>
        <w:tc>
          <w:tcPr>
            <w:tcW w:w="1100" w:type="dxa"/>
            <w:shd w:val="clear" w:color="auto" w:fill="F7F9FB"/>
          </w:tcPr>
          <w:p>
            <w:pPr>
              <w:pStyle w:val="TableText"/>
            </w:pPr>
            <w:r>
              <w:rPr>
                <w:sz w:val="17"/>
                <w:szCs w:val="17"/>
              </w:rPr>
              <w:t xml:space="preserve">Medium</w:t>
            </w:r>
          </w:p>
        </w:tc>
        <w:tc>
          <w:tcPr>
            <w:tcW w:w="1248" w:type="dxa"/>
            <w:shd w:val="clear" w:color="auto" w:fill="F7F9FB"/>
          </w:tcPr>
          <w:p>
            <w:pPr>
              <w:pStyle w:val="TableText"/>
            </w:pPr>
            <w:r>
              <w:rPr>
                <w:sz w:val="17"/>
                <w:szCs w:val="17"/>
              </w:rPr>
              <w:t xml:space="preserve">RULE-SQL-007</w:t>
            </w:r>
          </w:p>
        </w:tc>
      </w:tr>
      <w:tr>
        <w:trPr>
          <w:cantSplit/>
        </w:trPr>
        <w:tc>
          <w:tcPr>
            <w:tcW w:w="1256" w:type="dxa"/>
          </w:tcPr>
          <w:p>
            <w:pPr>
              <w:pStyle w:val="TableText"/>
            </w:pPr>
            <w:r>
              <w:rPr>
                <w:sz w:val="17"/>
                <w:szCs w:val="17"/>
              </w:rPr>
              <w:t xml:space="preserve">Scenario 2: Server + CAL</w:t>
            </w:r>
          </w:p>
        </w:tc>
        <w:tc>
          <w:tcPr>
            <w:tcW w:w="1024" w:type="dxa"/>
          </w:tcPr>
          <w:p>
            <w:pPr>
              <w:pStyle w:val="TableText"/>
            </w:pPr>
            <w:r>
              <w:rPr>
                <w:color w:val="5B6475"/>
                <w:sz w:val="17"/>
                <w:szCs w:val="17"/>
              </w:rPr>
              <w:t xml:space="preserve">Alternative</w:t>
            </w:r>
          </w:p>
        </w:tc>
        <w:tc>
          <w:tcPr>
            <w:tcW w:w="2108" w:type="dxa"/>
          </w:tcPr>
          <w:p>
            <w:pPr>
              <w:pStyle w:val="TableText"/>
              <w:spacing w:after="40"/>
            </w:pPr>
            <w:r>
              <w:rPr>
                <w:b/>
                <w:bCs/>
                <w:sz w:val="17"/>
                <w:szCs w:val="17"/>
              </w:rPr>
              <w:t xml:space="preserve">SQL Server Standard server license (Server + CAL)</w:t>
            </w:r>
          </w:p>
          <w:p>
            <w:pPr>
              <w:pStyle w:val="TableText"/>
            </w:pPr>
            <w:r>
              <w:rPr>
                <w:color w:val="5B6475"/>
                <w:sz w:val="14"/>
                <w:szCs w:val="14"/>
              </w:rPr>
              <w:t xml:space="preserve">SQL Server</w:t>
            </w:r>
          </w:p>
        </w:tc>
        <w:tc>
          <w:tcPr>
            <w:tcW w:w="779" w:type="dxa"/>
          </w:tcPr>
          <w:p>
            <w:pPr>
              <w:pStyle w:val="TableText"/>
            </w:pPr>
            <w:r>
              <w:rPr>
                <w:sz w:val="17"/>
                <w:szCs w:val="17"/>
              </w:rPr>
              <w:t xml:space="preserve">Server</w:t>
            </w:r>
          </w:p>
        </w:tc>
        <w:tc>
          <w:tcPr>
            <w:tcW w:w="973" w:type="dxa"/>
          </w:tcPr>
          <w:p>
            <w:pPr>
              <w:pStyle w:val="TableText"/>
              <w:jc w:val="right"/>
            </w:pPr>
            <w:r>
              <w:rPr>
                <w:sz w:val="17"/>
                <w:szCs w:val="17"/>
              </w:rPr>
              <w:t xml:space="preserve">2</w:t>
            </w:r>
          </w:p>
        </w:tc>
        <w:tc>
          <w:tcPr>
            <w:tcW w:w="1264" w:type="dxa"/>
          </w:tcPr>
          <w:p>
            <w:pPr>
              <w:pStyle w:val="TableText"/>
            </w:pPr>
            <w:r>
              <w:rPr>
                <w:sz w:val="17"/>
                <w:szCs w:val="17"/>
              </w:rPr>
              <w:t xml:space="preserve">Organization</w:t>
            </w:r>
          </w:p>
        </w:tc>
        <w:tc>
          <w:tcPr>
            <w:tcW w:w="1100" w:type="dxa"/>
          </w:tcPr>
          <w:p>
            <w:pPr>
              <w:pStyle w:val="TableText"/>
            </w:pPr>
            <w:r>
              <w:rPr>
                <w:sz w:val="17"/>
                <w:szCs w:val="17"/>
              </w:rPr>
              <w:t xml:space="preserve">Medium</w:t>
            </w:r>
          </w:p>
        </w:tc>
        <w:tc>
          <w:tcPr>
            <w:tcW w:w="1248" w:type="dxa"/>
          </w:tcPr>
          <w:p>
            <w:pPr>
              <w:pStyle w:val="TableText"/>
            </w:pPr>
            <w:r>
              <w:rPr>
                <w:sz w:val="17"/>
                <w:szCs w:val="17"/>
              </w:rPr>
              <w:t xml:space="preserve">RULE-SQL-008</w:t>
            </w:r>
          </w:p>
        </w:tc>
      </w:tr>
    </w:tbl>
    <w:p>
      <w:pPr>
        <w:spacing w:before="0" w:after="0" w:line="240" w:lineRule="auto"/>
        <w:rPr>
          <w:sz w:val="12"/>
          <w:szCs w:val="12"/>
        </w:rPr>
      </w:pPr>
    </w:p>
    <w:p>
      <w:pPr>
        <w:spacing w:after="80"/>
      </w:pPr>
      <w:r>
        <w:rPr>
          <w:b/>
          <w:bCs/>
          <w:sz w:val="18"/>
          <w:szCs w:val="18"/>
        </w:rPr>
        <w:t xml:space="preserve">Scenario 2: Server + CAL: </w:t>
      </w:r>
      <w:r>
        <w:rPr>
          <w:sz w:val="18"/>
          <w:szCs w:val="18"/>
        </w:rPr>
        <w:t xml:space="preserve">Scenario 2 (Server + CAL): 2 SQL Server Standard server licenses plus SQL CALs for every user/device accessing them.</w:t>
      </w:r>
    </w:p>
    <w:p>
      <w:pPr>
        <w:pStyle w:val="Heading2"/>
      </w:pPr>
      <w:bookmarkStart w:id="74" w:name="_TocMlat00074"/>
      <w:r>
        <w:t xml:space="preserve">WS-CAL</w:t>
      </w:r>
      <w:bookmarkEnd w:id="74"/>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53"/>
        <w:gridCol w:w="1024"/>
        <w:gridCol w:w="2098"/>
        <w:gridCol w:w="779"/>
        <w:gridCol w:w="972"/>
        <w:gridCol w:w="1262"/>
        <w:gridCol w:w="1100"/>
        <w:gridCol w:w="1264"/>
      </w:tblGrid>
      <w:tr>
        <w:trPr>
          <w:cantSplit/>
          <w:tblHeader/>
        </w:trPr>
        <w:tc>
          <w:tcPr>
            <w:tcW w:w="1253" w:type="dxa"/>
            <w:shd w:val="clear" w:color="auto" w:fill="1F3A5F"/>
            <w:vAlign w:val="bottom"/>
          </w:tcPr>
          <w:p>
            <w:pPr>
              <w:pStyle w:val="TableText"/>
              <w:keepNext/>
            </w:pPr>
            <w:r>
              <w:rPr>
                <w:b/>
                <w:bCs/>
                <w:color w:val="FFFFFF"/>
                <w:sz w:val="17"/>
                <w:szCs w:val="17"/>
              </w:rPr>
              <w:t xml:space="preserve">Scenario</w:t>
            </w:r>
          </w:p>
        </w:tc>
        <w:tc>
          <w:tcPr>
            <w:tcW w:w="1024" w:type="dxa"/>
            <w:shd w:val="clear" w:color="auto" w:fill="1F3A5F"/>
            <w:vAlign w:val="bottom"/>
          </w:tcPr>
          <w:p>
            <w:pPr>
              <w:pStyle w:val="TableText"/>
              <w:keepNext/>
            </w:pPr>
            <w:r>
              <w:rPr>
                <w:b/>
                <w:bCs/>
                <w:color w:val="FFFFFF"/>
                <w:sz w:val="17"/>
                <w:szCs w:val="17"/>
              </w:rPr>
              <w:t xml:space="preserve">Used in gap analysis</w:t>
            </w:r>
          </w:p>
        </w:tc>
        <w:tc>
          <w:tcPr>
            <w:tcW w:w="2098" w:type="dxa"/>
            <w:shd w:val="clear" w:color="auto" w:fill="1F3A5F"/>
            <w:vAlign w:val="bottom"/>
          </w:tcPr>
          <w:p>
            <w:pPr>
              <w:pStyle w:val="TableText"/>
              <w:keepNext/>
            </w:pPr>
            <w:r>
              <w:rPr>
                <w:b/>
                <w:bCs/>
                <w:color w:val="FFFFFF"/>
                <w:sz w:val="17"/>
                <w:szCs w:val="17"/>
              </w:rPr>
              <w:t xml:space="preserve">License</w:t>
            </w:r>
          </w:p>
        </w:tc>
        <w:tc>
          <w:tcPr>
            <w:tcW w:w="779" w:type="dxa"/>
            <w:shd w:val="clear" w:color="auto" w:fill="1F3A5F"/>
            <w:vAlign w:val="bottom"/>
          </w:tcPr>
          <w:p>
            <w:pPr>
              <w:pStyle w:val="TableText"/>
              <w:keepNext/>
            </w:pPr>
            <w:r>
              <w:rPr>
                <w:b/>
                <w:bCs/>
                <w:color w:val="FFFFFF"/>
                <w:sz w:val="17"/>
                <w:szCs w:val="17"/>
              </w:rPr>
              <w:t xml:space="preserve">Metric</w:t>
            </w:r>
          </w:p>
        </w:tc>
        <w:tc>
          <w:tcPr>
            <w:tcW w:w="972" w:type="dxa"/>
            <w:shd w:val="clear" w:color="auto" w:fill="1F3A5F"/>
            <w:vAlign w:val="bottom"/>
          </w:tcPr>
          <w:p>
            <w:pPr>
              <w:pStyle w:val="TableText"/>
              <w:keepNext/>
              <w:jc w:val="right"/>
            </w:pPr>
            <w:r>
              <w:rPr>
                <w:b/>
                <w:bCs/>
                <w:color w:val="FFFFFF"/>
                <w:sz w:val="17"/>
                <w:szCs w:val="17"/>
              </w:rPr>
              <w:t xml:space="preserve">Quantity</w:t>
            </w:r>
          </w:p>
        </w:tc>
        <w:tc>
          <w:tcPr>
            <w:tcW w:w="1262" w:type="dxa"/>
            <w:shd w:val="clear" w:color="auto" w:fill="1F3A5F"/>
            <w:vAlign w:val="bottom"/>
          </w:tcPr>
          <w:p>
            <w:pPr>
              <w:pStyle w:val="TableText"/>
              <w:keepNext/>
            </w:pPr>
            <w:r>
              <w:rPr>
                <w:b/>
                <w:bCs/>
                <w:color w:val="FFFFFF"/>
                <w:sz w:val="17"/>
                <w:szCs w:val="17"/>
              </w:rPr>
              <w:t xml:space="preserve">Target</w:t>
            </w:r>
          </w:p>
        </w:tc>
        <w:tc>
          <w:tcPr>
            <w:tcW w:w="1100" w:type="dxa"/>
            <w:shd w:val="clear" w:color="auto" w:fill="1F3A5F"/>
            <w:vAlign w:val="bottom"/>
          </w:tcPr>
          <w:p>
            <w:pPr>
              <w:pStyle w:val="TableText"/>
              <w:keepNext/>
            </w:pPr>
            <w:r>
              <w:rPr>
                <w:b/>
                <w:bCs/>
                <w:color w:val="FFFFFF"/>
                <w:sz w:val="17"/>
                <w:szCs w:val="17"/>
              </w:rPr>
              <w:t xml:space="preserve">Confidence</w:t>
            </w:r>
          </w:p>
        </w:tc>
        <w:tc>
          <w:tcPr>
            <w:tcW w:w="1264" w:type="dxa"/>
            <w:shd w:val="clear" w:color="auto" w:fill="1F3A5F"/>
            <w:vAlign w:val="bottom"/>
          </w:tcPr>
          <w:p>
            <w:pPr>
              <w:pStyle w:val="TableText"/>
              <w:keepNext/>
            </w:pPr>
            <w:r>
              <w:rPr>
                <w:b/>
                <w:bCs/>
                <w:color w:val="FFFFFF"/>
                <w:sz w:val="17"/>
                <w:szCs w:val="17"/>
              </w:rPr>
              <w:t xml:space="preserve">Rule</w:t>
            </w:r>
          </w:p>
        </w:tc>
      </w:tr>
      <w:tr>
        <w:trPr>
          <w:cantSplit/>
        </w:trPr>
        <w:tc>
          <w:tcPr>
            <w:tcW w:w="1253" w:type="dxa"/>
          </w:tcPr>
          <w:p>
            <w:pPr>
              <w:pStyle w:val="TableText"/>
            </w:pPr>
            <w:r>
              <w:rPr>
                <w:sz w:val="17"/>
                <w:szCs w:val="17"/>
              </w:rPr>
              <w:t xml:space="preserve">User CAL model</w:t>
            </w:r>
          </w:p>
        </w:tc>
        <w:tc>
          <w:tcPr>
            <w:tcW w:w="1024" w:type="dxa"/>
            <w:shd w:val="clear" w:color="auto" w:fill="E3F2E5"/>
          </w:tcPr>
          <w:p>
            <w:pPr>
              <w:pStyle w:val="TableText"/>
            </w:pPr>
            <w:r>
              <w:rPr>
                <w:b/>
                <w:bCs/>
                <w:color w:val="1E6B2A"/>
                <w:sz w:val="17"/>
                <w:szCs w:val="17"/>
              </w:rPr>
              <w:t xml:space="preserve">Primary</w:t>
            </w:r>
          </w:p>
        </w:tc>
        <w:tc>
          <w:tcPr>
            <w:tcW w:w="2098" w:type="dxa"/>
          </w:tcPr>
          <w:p>
            <w:pPr>
              <w:pStyle w:val="TableText"/>
              <w:spacing w:after="40"/>
            </w:pPr>
            <w:r>
              <w:rPr>
                <w:b/>
                <w:bCs/>
                <w:sz w:val="17"/>
                <w:szCs w:val="17"/>
              </w:rPr>
              <w:t xml:space="preserve">Windows Server CAL (User)</w:t>
            </w:r>
          </w:p>
          <w:p>
            <w:pPr>
              <w:pStyle w:val="TableText"/>
            </w:pPr>
            <w:r>
              <w:rPr>
                <w:color w:val="5B6475"/>
                <w:sz w:val="14"/>
                <w:szCs w:val="14"/>
              </w:rPr>
              <w:t xml:space="preserve">Windows Server</w:t>
            </w:r>
          </w:p>
        </w:tc>
        <w:tc>
          <w:tcPr>
            <w:tcW w:w="779" w:type="dxa"/>
          </w:tcPr>
          <w:p>
            <w:pPr>
              <w:pStyle w:val="TableText"/>
            </w:pPr>
            <w:r>
              <w:rPr>
                <w:sz w:val="17"/>
                <w:szCs w:val="17"/>
              </w:rPr>
              <w:t xml:space="preserve">User</w:t>
            </w:r>
          </w:p>
        </w:tc>
        <w:tc>
          <w:tcPr>
            <w:tcW w:w="972" w:type="dxa"/>
          </w:tcPr>
          <w:p>
            <w:pPr>
              <w:pStyle w:val="TableText"/>
              <w:jc w:val="right"/>
            </w:pPr>
            <w:r>
              <w:rPr>
                <w:sz w:val="17"/>
                <w:szCs w:val="17"/>
              </w:rPr>
              <w:t xml:space="preserve">168</w:t>
            </w:r>
          </w:p>
        </w:tc>
        <w:tc>
          <w:tcPr>
            <w:tcW w:w="1262" w:type="dxa"/>
          </w:tcPr>
          <w:p>
            <w:pPr>
              <w:pStyle w:val="TableText"/>
            </w:pPr>
            <w:r>
              <w:rPr>
                <w:sz w:val="17"/>
                <w:szCs w:val="17"/>
              </w:rPr>
              <w:t xml:space="preserve">Organization</w:t>
            </w:r>
          </w:p>
        </w:tc>
        <w:tc>
          <w:tcPr>
            <w:tcW w:w="1100" w:type="dxa"/>
          </w:tcPr>
          <w:p>
            <w:pPr>
              <w:pStyle w:val="TableText"/>
            </w:pPr>
            <w:r>
              <w:rPr>
                <w:sz w:val="17"/>
                <w:szCs w:val="17"/>
              </w:rPr>
              <w:t xml:space="preserve">Medium</w:t>
            </w:r>
          </w:p>
        </w:tc>
        <w:tc>
          <w:tcPr>
            <w:tcW w:w="1264" w:type="dxa"/>
          </w:tcPr>
          <w:p>
            <w:pPr>
              <w:pStyle w:val="TableText"/>
            </w:pPr>
            <w:r>
              <w:rPr>
                <w:sz w:val="17"/>
                <w:szCs w:val="17"/>
              </w:rPr>
              <w:t xml:space="preserve">RULE-WINSERVER-005</w:t>
            </w:r>
          </w:p>
        </w:tc>
      </w:tr>
      <w:tr>
        <w:trPr>
          <w:cantSplit/>
        </w:trPr>
        <w:tc>
          <w:tcPr>
            <w:tcW w:w="1253" w:type="dxa"/>
            <w:shd w:val="clear" w:color="auto" w:fill="F7F9FB"/>
          </w:tcPr>
          <w:p>
            <w:pPr>
              <w:pStyle w:val="TableText"/>
            </w:pPr>
            <w:r>
              <w:rPr>
                <w:sz w:val="17"/>
                <w:szCs w:val="17"/>
              </w:rPr>
              <w:t xml:space="preserve">Device CAL model</w:t>
            </w:r>
          </w:p>
        </w:tc>
        <w:tc>
          <w:tcPr>
            <w:tcW w:w="1024" w:type="dxa"/>
            <w:shd w:val="clear" w:color="auto" w:fill="F7F9FB"/>
          </w:tcPr>
          <w:p>
            <w:pPr>
              <w:pStyle w:val="TableText"/>
            </w:pPr>
            <w:r>
              <w:rPr>
                <w:color w:val="5B6475"/>
                <w:sz w:val="17"/>
                <w:szCs w:val="17"/>
              </w:rPr>
              <w:t xml:space="preserve">Alternative</w:t>
            </w:r>
          </w:p>
        </w:tc>
        <w:tc>
          <w:tcPr>
            <w:tcW w:w="2098" w:type="dxa"/>
            <w:shd w:val="clear" w:color="auto" w:fill="F7F9FB"/>
          </w:tcPr>
          <w:p>
            <w:pPr>
              <w:pStyle w:val="TableText"/>
              <w:spacing w:after="40"/>
            </w:pPr>
            <w:r>
              <w:rPr>
                <w:b/>
                <w:bCs/>
                <w:sz w:val="17"/>
                <w:szCs w:val="17"/>
              </w:rPr>
              <w:t xml:space="preserve">Windows Server CAL (Device)</w:t>
            </w:r>
          </w:p>
          <w:p>
            <w:pPr>
              <w:pStyle w:val="TableText"/>
            </w:pPr>
            <w:r>
              <w:rPr>
                <w:color w:val="5B6475"/>
                <w:sz w:val="14"/>
                <w:szCs w:val="14"/>
              </w:rPr>
              <w:t xml:space="preserve">Windows Server</w:t>
            </w:r>
          </w:p>
        </w:tc>
        <w:tc>
          <w:tcPr>
            <w:tcW w:w="779" w:type="dxa"/>
            <w:shd w:val="clear" w:color="auto" w:fill="F7F9FB"/>
          </w:tcPr>
          <w:p>
            <w:pPr>
              <w:pStyle w:val="TableText"/>
            </w:pPr>
            <w:r>
              <w:rPr>
                <w:sz w:val="17"/>
                <w:szCs w:val="17"/>
              </w:rPr>
              <w:t xml:space="preserve">Device</w:t>
            </w:r>
          </w:p>
        </w:tc>
        <w:tc>
          <w:tcPr>
            <w:tcW w:w="972" w:type="dxa"/>
            <w:shd w:val="clear" w:color="auto" w:fill="F7F9FB"/>
          </w:tcPr>
          <w:p>
            <w:pPr>
              <w:pStyle w:val="TableText"/>
              <w:jc w:val="right"/>
            </w:pPr>
            <w:r>
              <w:rPr>
                <w:sz w:val="17"/>
                <w:szCs w:val="17"/>
              </w:rPr>
              <w:t xml:space="preserve">138</w:t>
            </w:r>
          </w:p>
        </w:tc>
        <w:tc>
          <w:tcPr>
            <w:tcW w:w="1262" w:type="dxa"/>
            <w:shd w:val="clear" w:color="auto" w:fill="F7F9FB"/>
          </w:tcPr>
          <w:p>
            <w:pPr>
              <w:pStyle w:val="TableText"/>
            </w:pPr>
            <w:r>
              <w:rPr>
                <w:sz w:val="17"/>
                <w:szCs w:val="17"/>
              </w:rPr>
              <w:t xml:space="preserve">Organization</w:t>
            </w:r>
          </w:p>
        </w:tc>
        <w:tc>
          <w:tcPr>
            <w:tcW w:w="1100" w:type="dxa"/>
            <w:shd w:val="clear" w:color="auto" w:fill="F7F9FB"/>
          </w:tcPr>
          <w:p>
            <w:pPr>
              <w:pStyle w:val="TableText"/>
            </w:pPr>
            <w:r>
              <w:rPr>
                <w:sz w:val="17"/>
                <w:szCs w:val="17"/>
              </w:rPr>
              <w:t xml:space="preserve">Medium</w:t>
            </w:r>
          </w:p>
        </w:tc>
        <w:tc>
          <w:tcPr>
            <w:tcW w:w="1264" w:type="dxa"/>
            <w:shd w:val="clear" w:color="auto" w:fill="F7F9FB"/>
          </w:tcPr>
          <w:p>
            <w:pPr>
              <w:pStyle w:val="TableText"/>
            </w:pPr>
            <w:r>
              <w:rPr>
                <w:sz w:val="17"/>
                <w:szCs w:val="17"/>
              </w:rPr>
              <w:t xml:space="preserve">RULE-WINSERVER-005</w:t>
            </w:r>
          </w:p>
        </w:tc>
      </w:tr>
    </w:tbl>
    <w:p>
      <w:pPr>
        <w:spacing w:before="0" w:after="0" w:line="240" w:lineRule="auto"/>
        <w:rPr>
          <w:sz w:val="12"/>
          <w:szCs w:val="12"/>
        </w:rPr>
      </w:pPr>
    </w:p>
    <w:p>
      <w:pPr>
        <w:spacing w:after="80"/>
      </w:pPr>
      <w:r>
        <w:rPr>
          <w:b/>
          <w:bCs/>
          <w:sz w:val="18"/>
          <w:szCs w:val="18"/>
        </w:rPr>
        <w:t xml:space="preserve">Device CAL model: </w:t>
      </w:r>
      <w:r>
        <w:rPr>
          <w:sz w:val="18"/>
          <w:szCs w:val="18"/>
        </w:rPr>
        <w:t xml:space="preserve">Potential requirement: 138 Windows Server Device CALs (version 2022 or later) under the Device CAL model.</w:t>
      </w:r>
    </w:p>
    <w:p>
      <w:pPr>
        <w:pStyle w:val="Heading1"/>
        <w:pageBreakBefore/>
      </w:pPr>
      <w:bookmarkStart w:id="75" w:name="_TocMlat00075"/>
      <w:r>
        <w:t xml:space="preserve">Evidence appendix</w:t>
      </w:r>
      <w:bookmarkEnd w:id="75"/>
    </w:p>
    <w:p>
      <w:r>
        <w:t xml:space="preserve">Supporting evidence for each license requirement: the discovered facts, the rule that produced the requirement (with version, review date and source), the licensing interpretation, assumptions and confidence. The complete machine-readable evidence is provided in </w:t>
      </w:r>
      <w:r>
        <w:rPr>
          <w:b/>
          <w:bCs/>
        </w:rPr>
        <w:t xml:space="preserve">Evidence.json</w:t>
      </w:r>
      <w:r>
        <w:t xml:space="preserve"> and in the Evidence sheet of AssessmentReport.xlsx.</w:t>
      </w:r>
    </w:p>
    <w:p>
      <w:pPr>
        <w:pStyle w:val="Heading2"/>
      </w:pPr>
      <w:bookmarkStart w:id="76" w:name="_TocMlat00076"/>
      <w:r>
        <w:t xml:space="preserve">Exchange Server — Exchange Server Standard (Server)</w:t>
      </w:r>
      <w:bookmarkEnd w:id="76"/>
    </w:p>
    <w:p>
      <w:pPr>
        <w:pStyle w:val="Heading3"/>
      </w:pPr>
      <w:bookmarkStart w:id="77" w:name="_TocMlat00077"/>
      <w:r>
        <w:t xml:space="preserve">Exchange Server Standard (Server) × 1 Server — EXCH01</w:t>
      </w:r>
      <w:bookmarkEnd w:id="77"/>
    </w:p>
    <w:p>
      <w:pPr>
        <w:keepNext/>
        <w:spacing w:after="80"/>
      </w:pPr>
      <w:r>
        <w:rPr>
          <w:color w:val="5B6475"/>
          <w:sz w:val="17"/>
          <w:szCs w:val="17"/>
        </w:rPr>
        <w:t xml:space="preserve">Requirement REQ-0023  ·  Confidence: Low</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RULE-EXCH-018</w:t>
            </w:r>
            <w:r>
              <w:rPr>
                <w:sz w:val="17"/>
                <w:szCs w:val="17"/>
              </w:rPr>
              <w:t xml:space="preserve"> v1.0 — Exchange Server (server license +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48" w:history="1">
              <w:r>
                <w:rPr>
                  <w:rStyle w:val="Hyperlink"/>
                  <w:sz w:val="17"/>
                  <w:szCs w:val="17"/>
                </w:rPr>
                <w:t xml:space="preserve">Microsoft Product Terms - Exchange Server</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one Exchange Server Standard (Server) license for EXCH01 (Exchange Server 2019).</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 gap </w:t>
            </w:r>
            <w:r>
              <w:rPr>
                <w:sz w:val="17"/>
                <w:szCs w:val="17"/>
              </w:rPr>
              <w:t xml:space="preserve">0</w:t>
            </w:r>
            <w:r>
              <w:rPr>
                <w:sz w:val="17"/>
                <w:szCs w:val="17"/>
              </w:rPr>
              <w:t xml:space="preserve"> · covered by: Exchange Server 2019 Standard [Excel]: 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2019 · capability EXCH-STD-SERVER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EXCH01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2019 Standard (build 17763)</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EXCH01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EXCH01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(Hyper-V)</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EXCH01</w:t>
            </w:r>
          </w:p>
        </w:tc>
        <w:tc>
          <w:tcPr>
            <w:tcW w:w="2535" w:type="dxa"/>
            <w:shd w:val="clear" w:color="auto" w:fill="FAFBFC"/>
          </w:tcPr>
          <w:p>
            <w:pPr>
              <w:pStyle w:val="TableText"/>
            </w:pPr>
            <w:r>
              <w:rPr>
                <w:sz w:val="16"/>
                <w:szCs w:val="16"/>
              </w:rPr>
              <w:t xml:space="preserve">Exchange Server</w:t>
            </w:r>
          </w:p>
        </w:tc>
        <w:tc>
          <w:tcPr>
            <w:tcW w:w="3315" w:type="dxa"/>
            <w:shd w:val="clear" w:color="auto" w:fill="FAFBFC"/>
          </w:tcPr>
          <w:p>
            <w:pPr>
              <w:pStyle w:val="TableText"/>
            </w:pPr>
            <w:r>
              <w:rPr>
                <w:sz w:val="16"/>
                <w:szCs w:val="16"/>
              </w:rPr>
              <w:t xml:space="preserve">Microsoft Exchange Server 2019 Cumulative Update 14 (15.2.1544.4)</w:t>
            </w:r>
          </w:p>
        </w:tc>
        <w:tc>
          <w:tcPr>
            <w:tcW w:w="1757" w:type="dxa"/>
            <w:shd w:val="clear" w:color="auto" w:fill="FAFBFC"/>
          </w:tcPr>
          <w:p>
            <w:pPr>
              <w:pStyle w:val="TableText"/>
            </w:pPr>
            <w:r>
              <w:rPr>
                <w:sz w:val="16"/>
                <w:szCs w:val="16"/>
              </w:rPr>
              <w:t xml:space="preserve">Add/Remove Programs + Exchange server role registry/services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Edition cannot be determined from the server; Standard is assumed - validate (Enterprise is needed above 5 databases).</w:t>
      </w:r>
    </w:p>
    <w:p>
      <w:pPr>
        <w:pStyle w:val="ListBullet"/>
        <w:numPr>
          <w:ilvl w:val="0"/>
          <w:numId w:val="1"/>
        </w:numPr>
      </w:pPr>
      <w:r>
        <w:rPr>
          <w:sz w:val="17"/>
          <w:szCs w:val="17"/>
        </w:rPr>
        <w:t xml:space="preserve">Exchange Server Subscription Edition requires active SA or subscription.</w:t>
      </w:r>
    </w:p>
    <w:p>
      <w:pPr>
        <w:pStyle w:val="Heading2"/>
      </w:pPr>
      <w:bookmarkStart w:id="78" w:name="_TocMlat00078"/>
      <w:r>
        <w:t xml:space="preserve">Exchange Server — Exchange Server Standard CAL (User)</w:t>
      </w:r>
      <w:bookmarkEnd w:id="78"/>
    </w:p>
    <w:p>
      <w:pPr>
        <w:pStyle w:val="Heading3"/>
      </w:pPr>
      <w:bookmarkStart w:id="79" w:name="_TocMlat00079"/>
      <w:r>
        <w:t xml:space="preserve">Exchange Server Standard CAL (User) × 168 User — Organization</w:t>
      </w:r>
      <w:bookmarkEnd w:id="79"/>
    </w:p>
    <w:p>
      <w:pPr>
        <w:keepNext/>
        <w:spacing w:after="80"/>
      </w:pPr>
      <w:r>
        <w:rPr>
          <w:color w:val="5B6475"/>
          <w:sz w:val="17"/>
          <w:szCs w:val="17"/>
        </w:rPr>
        <w:t xml:space="preserve">Requirement REQ-0024  ·  Confidence: Low</w:t>
      </w:r>
      <w:r>
        <w:rPr>
          <w:color w:val="5B6475"/>
          <w:sz w:val="17"/>
          <w:szCs w:val="17"/>
        </w:rPr>
        <w:t xml:space="preserve">  ·  Primary scenario (used in the gap analysis): User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RULE-EXCH-018</w:t>
            </w:r>
            <w:r>
              <w:rPr>
                <w:sz w:val="17"/>
                <w:szCs w:val="17"/>
              </w:rPr>
              <w:t xml:space="preserve"> v1.0 — Exchange Server (server license +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49" w:history="1">
              <w:r>
                <w:rPr>
                  <w:rStyle w:val="Hyperlink"/>
                  <w:sz w:val="17"/>
                  <w:szCs w:val="17"/>
                </w:rPr>
                <w:t xml:space="preserve">Microsoft Product Terms - Exchange Server</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168 Exchange Server User CALs (version 2019 or later) under the User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168, gap </w:t>
            </w:r>
            <w:r>
              <w:rPr>
                <w:sz w:val="17"/>
                <w:szCs w:val="17"/>
              </w:rPr>
              <w:t xml:space="preserve">0</w:t>
            </w:r>
            <w:r>
              <w:rPr>
                <w:sz w:val="17"/>
                <w:szCs w:val="17"/>
              </w:rPr>
              <w:t xml:space="preserve"> · covered by: Exchange Server 2019 Standard CAL - User [Excel]: 120, Microsoft 365 E3 - per user (subscription) [SPE_E3]: 48</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2019 · capability EXCH-CAL-USER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Exchange Server CALs</w:t>
            </w:r>
          </w:p>
        </w:tc>
        <w:tc>
          <w:tcPr>
            <w:tcW w:w="3315" w:type="dxa"/>
          </w:tcPr>
          <w:p>
            <w:pPr>
              <w:pStyle w:val="TableText"/>
            </w:pPr>
            <w:r>
              <w:rPr>
                <w:sz w:val="16"/>
                <w:szCs w:val="16"/>
              </w:rPr>
              <w:t xml:space="preserve">1 (EXCH01)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Users requiring access</w:t>
            </w:r>
          </w:p>
        </w:tc>
        <w:tc>
          <w:tcPr>
            <w:tcW w:w="3315" w:type="dxa"/>
            <w:shd w:val="clear" w:color="auto" w:fill="FAFBFC"/>
          </w:tcPr>
          <w:p>
            <w:pPr>
              <w:pStyle w:val="TableText"/>
            </w:pPr>
            <w:r>
              <w:rPr>
                <w:sz w:val="16"/>
                <w:szCs w:val="16"/>
              </w:rPr>
              <w:t xml:space="preserve">168</w:t>
            </w:r>
          </w:p>
        </w:tc>
        <w:tc>
          <w:tcPr>
            <w:tcW w:w="1757" w:type="dxa"/>
            <w:shd w:val="clear" w:color="auto" w:fill="FAFBFC"/>
          </w:tcPr>
          <w:p>
            <w:pPr>
              <w:pStyle w:val="TableText"/>
            </w:pPr>
            <w:r>
              <w:rPr>
                <w:sz w:val="16"/>
                <w:szCs w:val="16"/>
              </w:rPr>
              <w:t xml:space="preserve">Active Directory: enabled users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Customer license inventory contains User CALs only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Edition cannot be determined from the server; Standard is assumed - validate (Enterprise is needed above 5 databases).</w:t>
      </w:r>
    </w:p>
    <w:p>
      <w:pPr>
        <w:pStyle w:val="ListBullet"/>
        <w:numPr>
          <w:ilvl w:val="0"/>
          <w:numId w:val="1"/>
        </w:numPr>
      </w:pPr>
      <w:r>
        <w:rPr>
          <w:sz w:val="17"/>
          <w:szCs w:val="17"/>
        </w:rPr>
        <w:t xml:space="preserve">Exchange Server Subscription Edition requires active SA or subscription.</w:t>
      </w:r>
    </w:p>
    <w:p>
      <w:pPr>
        <w:pStyle w:val="Heading2"/>
      </w:pPr>
      <w:bookmarkStart w:id="80" w:name="_TocMlat00080"/>
      <w:r>
        <w:t xml:space="preserve">Microsoft 365 — Microsoft 365 Apps desktop rights (User)</w:t>
      </w:r>
      <w:bookmarkEnd w:id="80"/>
    </w:p>
    <w:p>
      <w:pPr>
        <w:pStyle w:val="Heading3"/>
      </w:pPr>
      <w:bookmarkStart w:id="81" w:name="_TocMlat00081"/>
      <w:r>
        <w:t xml:space="preserve">Microsoft 365 Apps desktop rights (User) × 10 User — Organization</w:t>
      </w:r>
      <w:bookmarkEnd w:id="81"/>
    </w:p>
    <w:p>
      <w:pPr>
        <w:keepNext/>
        <w:spacing w:after="80"/>
      </w:pPr>
      <w:r>
        <w:rPr>
          <w:color w:val="5B6475"/>
          <w:sz w:val="17"/>
          <w:szCs w:val="17"/>
        </w:rPr>
        <w:t xml:space="preserve">Requirement REQ-0019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RULE-OFFICE-014</w:t>
            </w:r>
            <w:r>
              <w:rPr>
                <w:sz w:val="17"/>
                <w:szCs w:val="17"/>
              </w:rPr>
              <w:t xml:space="preserve"> v1.0 — Microsoft 365 Apps, Visio Plan 2 and Project Plan subscriptions (per user)</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0" w:history="1">
              <w:r>
                <w:rPr>
                  <w:rStyle w:val="Hyperlink"/>
                  <w:sz w:val="17"/>
                  <w:szCs w:val="17"/>
                </w:rPr>
                <w:t xml:space="preserve">Microsoft 365 service descriptions / Product Terms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10 Microsoft 365 Apps subscription user license(s) for 10 device(s) with the subscription apps installed.</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10, gap </w:t>
            </w:r>
            <w:r>
              <w:rPr>
                <w:sz w:val="17"/>
                <w:szCs w:val="17"/>
              </w:rPr>
              <w:t xml:space="preserve">0</w:t>
            </w:r>
            <w:r>
              <w:rPr>
                <w:sz w:val="17"/>
                <w:szCs w:val="17"/>
              </w:rPr>
              <w:t xml:space="preserve"> · covered by: Microsoft 365 E3 - per user (subscription) [SPE_E3]: 10</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Subscription · capability M365-APPS-USER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Devices with Microsoft 365 Apps (subscription) installed</w:t>
            </w:r>
          </w:p>
        </w:tc>
        <w:tc>
          <w:tcPr>
            <w:tcW w:w="3315" w:type="dxa"/>
          </w:tcPr>
          <w:p>
            <w:pPr>
              <w:pStyle w:val="TableText"/>
            </w:pPr>
            <w:r>
              <w:rPr>
                <w:sz w:val="16"/>
                <w:szCs w:val="16"/>
              </w:rPr>
              <w:t xml:space="preserve">10</w:t>
            </w:r>
          </w:p>
        </w:tc>
        <w:tc>
          <w:tcPr>
            <w:tcW w:w="1757" w:type="dxa"/>
          </w:tcPr>
          <w:p>
            <w:pPr>
              <w:pStyle w:val="TableText"/>
            </w:pPr>
            <w:r>
              <w:rPr>
                <w:sz w:val="16"/>
                <w:szCs w:val="16"/>
              </w:rPr>
              <w:t xml:space="preserve">Registry (Click-to-Run)</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Devices per user assumption</w:t>
            </w:r>
          </w:p>
        </w:tc>
        <w:tc>
          <w:tcPr>
            <w:tcW w:w="3315" w:type="dxa"/>
            <w:shd w:val="clear" w:color="auto" w:fill="FAFBFC"/>
          </w:tcPr>
          <w:p>
            <w:pPr>
              <w:pStyle w:val="TableText"/>
            </w:pPr>
            <w:r>
              <w:rPr>
                <w:sz w:val="16"/>
                <w:szCs w:val="16"/>
              </w:rPr>
              <w:t xml:space="preserve">1</w:t>
            </w:r>
          </w:p>
        </w:tc>
        <w:tc>
          <w:tcPr>
            <w:tcW w:w="1757" w:type="dxa"/>
            <w:shd w:val="clear" w:color="auto" w:fill="FAFBFC"/>
          </w:tcPr>
          <w:p>
            <w:pPr>
              <w:pStyle w:val="TableText"/>
            </w:pPr>
            <w:r>
              <w:rPr>
                <w:sz w:val="16"/>
                <w:szCs w:val="16"/>
              </w:rPr>
              <w:t xml:space="preserve">Setting</w:t>
            </w:r>
          </w:p>
        </w:tc>
      </w:tr>
      <w:tr>
        <w:trPr>
          <w:cantSplit/>
        </w:trPr>
        <w:tc>
          <w:tcPr>
            <w:tcW w:w="2145" w:type="dxa"/>
          </w:tcPr>
          <w:p>
            <w:pPr>
              <w:pStyle w:val="TableText"/>
            </w:pPr>
            <w:r>
              <w:rPr>
                <w:sz w:val="16"/>
                <w:szCs w:val="16"/>
              </w:rPr>
              <w:t xml:space="preserve">PC-001</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Microsoft 365 Apps (Apps for enterprise)</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PC-002</w:t>
            </w:r>
          </w:p>
        </w:tc>
        <w:tc>
          <w:tcPr>
            <w:tcW w:w="2535" w:type="dxa"/>
            <w:shd w:val="clear" w:color="auto" w:fill="FAFBFC"/>
          </w:tcPr>
          <w:p>
            <w:pPr>
              <w:pStyle w:val="TableText"/>
            </w:pPr>
            <w:r>
              <w:rPr>
                <w:sz w:val="16"/>
                <w:szCs w:val="16"/>
              </w:rPr>
              <w:t xml:space="preserve">Installed</w:t>
            </w:r>
          </w:p>
        </w:tc>
        <w:tc>
          <w:tcPr>
            <w:tcW w:w="3315" w:type="dxa"/>
            <w:shd w:val="clear" w:color="auto" w:fill="FAFBFC"/>
          </w:tcPr>
          <w:p>
            <w:pPr>
              <w:pStyle w:val="TableText"/>
            </w:pPr>
            <w:r>
              <w:rPr>
                <w:sz w:val="16"/>
                <w:szCs w:val="16"/>
              </w:rPr>
              <w:t xml:space="preserve">Microsoft 365 Apps (Apps for 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PC-003</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Microsoft 365 Apps (Apps for enterprise)</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PC-004</w:t>
            </w:r>
          </w:p>
        </w:tc>
        <w:tc>
          <w:tcPr>
            <w:tcW w:w="2535" w:type="dxa"/>
            <w:shd w:val="clear" w:color="auto" w:fill="FAFBFC"/>
          </w:tcPr>
          <w:p>
            <w:pPr>
              <w:pStyle w:val="TableText"/>
            </w:pPr>
            <w:r>
              <w:rPr>
                <w:sz w:val="16"/>
                <w:szCs w:val="16"/>
              </w:rPr>
              <w:t xml:space="preserve">Installed</w:t>
            </w:r>
          </w:p>
        </w:tc>
        <w:tc>
          <w:tcPr>
            <w:tcW w:w="3315" w:type="dxa"/>
            <w:shd w:val="clear" w:color="auto" w:fill="FAFBFC"/>
          </w:tcPr>
          <w:p>
            <w:pPr>
              <w:pStyle w:val="TableText"/>
            </w:pPr>
            <w:r>
              <w:rPr>
                <w:sz w:val="16"/>
                <w:szCs w:val="16"/>
              </w:rPr>
              <w:t xml:space="preserve">Microsoft 365 Apps (Apps for 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Microsoft 365 Apps (Apps for enterprise)</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PC-006</w:t>
            </w:r>
          </w:p>
        </w:tc>
        <w:tc>
          <w:tcPr>
            <w:tcW w:w="2535" w:type="dxa"/>
            <w:shd w:val="clear" w:color="auto" w:fill="FAFBFC"/>
          </w:tcPr>
          <w:p>
            <w:pPr>
              <w:pStyle w:val="TableText"/>
            </w:pPr>
            <w:r>
              <w:rPr>
                <w:sz w:val="16"/>
                <w:szCs w:val="16"/>
              </w:rPr>
              <w:t xml:space="preserve">Installed</w:t>
            </w:r>
          </w:p>
        </w:tc>
        <w:tc>
          <w:tcPr>
            <w:tcW w:w="3315" w:type="dxa"/>
            <w:shd w:val="clear" w:color="auto" w:fill="FAFBFC"/>
          </w:tcPr>
          <w:p>
            <w:pPr>
              <w:pStyle w:val="TableText"/>
            </w:pPr>
            <w:r>
              <w:rPr>
                <w:sz w:val="16"/>
                <w:szCs w:val="16"/>
              </w:rPr>
              <w:t xml:space="preserve">Microsoft 365 Apps (Apps for 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PC-008</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Microsoft 365 Apps (Apps for enterprise)</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PC-009</w:t>
            </w:r>
          </w:p>
        </w:tc>
        <w:tc>
          <w:tcPr>
            <w:tcW w:w="2535" w:type="dxa"/>
            <w:shd w:val="clear" w:color="auto" w:fill="FAFBFC"/>
          </w:tcPr>
          <w:p>
            <w:pPr>
              <w:pStyle w:val="TableText"/>
            </w:pPr>
            <w:r>
              <w:rPr>
                <w:sz w:val="16"/>
                <w:szCs w:val="16"/>
              </w:rPr>
              <w:t xml:space="preserve">Installed</w:t>
            </w:r>
          </w:p>
        </w:tc>
        <w:tc>
          <w:tcPr>
            <w:tcW w:w="3315" w:type="dxa"/>
            <w:shd w:val="clear" w:color="auto" w:fill="FAFBFC"/>
          </w:tcPr>
          <w:p>
            <w:pPr>
              <w:pStyle w:val="TableText"/>
            </w:pPr>
            <w:r>
              <w:rPr>
                <w:sz w:val="16"/>
                <w:szCs w:val="16"/>
              </w:rPr>
              <w:t xml:space="preserve">Microsoft 365 Apps (Apps for 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PC-010</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Microsoft 365 Apps (Apps for enterprise)</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PC-011</w:t>
            </w:r>
          </w:p>
        </w:tc>
        <w:tc>
          <w:tcPr>
            <w:tcW w:w="2535" w:type="dxa"/>
            <w:shd w:val="clear" w:color="auto" w:fill="FAFBFC"/>
          </w:tcPr>
          <w:p>
            <w:pPr>
              <w:pStyle w:val="TableText"/>
            </w:pPr>
            <w:r>
              <w:rPr>
                <w:sz w:val="16"/>
                <w:szCs w:val="16"/>
              </w:rPr>
              <w:t xml:space="preserve">Installed</w:t>
            </w:r>
          </w:p>
        </w:tc>
        <w:tc>
          <w:tcPr>
            <w:tcW w:w="3315" w:type="dxa"/>
            <w:shd w:val="clear" w:color="auto" w:fill="FAFBFC"/>
          </w:tcPr>
          <w:p>
            <w:pPr>
              <w:pStyle w:val="TableText"/>
            </w:pPr>
            <w:r>
              <w:rPr>
                <w:sz w:val="16"/>
                <w:szCs w:val="16"/>
              </w:rPr>
              <w:t xml:space="preserve">Microsoft 365 Apps (Apps for 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a plan granting Microsoft 365 Apps assigned</w:t>
            </w:r>
          </w:p>
        </w:tc>
        <w:tc>
          <w:tcPr>
            <w:tcW w:w="3315" w:type="dxa"/>
          </w:tcPr>
          <w:p>
            <w:pPr>
              <w:pStyle w:val="TableText"/>
            </w:pPr>
            <w:r>
              <w:rPr>
                <w:sz w:val="16"/>
                <w:szCs w:val="16"/>
              </w:rPr>
              <w:t xml:space="preserve">165</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Installations are converted to users with 'Devices per user' (default 1 = conservative).</w:t>
      </w:r>
    </w:p>
    <w:p>
      <w:pPr>
        <w:pStyle w:val="ListBullet"/>
        <w:numPr>
          <w:ilvl w:val="0"/>
          <w:numId w:val="1"/>
        </w:numPr>
      </w:pPr>
      <w:r>
        <w:rPr>
          <w:sz w:val="17"/>
          <w:szCs w:val="17"/>
        </w:rPr>
        <w:t xml:space="preserve">When Microsoft Graph data is available the requirement is compared with tenant licenses; device-to-user association is not available.</w:t>
      </w:r>
    </w:p>
    <w:p>
      <w:pPr>
        <w:pStyle w:val="ListBullet"/>
        <w:numPr>
          <w:ilvl w:val="0"/>
          <w:numId w:val="1"/>
        </w:numPr>
      </w:pPr>
      <w:r>
        <w:rPr>
          <w:sz w:val="17"/>
          <w:szCs w:val="17"/>
        </w:rPr>
        <w:t xml:space="preserve">Only the devices included in this assessment are counted; unassessed devices are not represented.</w:t>
      </w:r>
    </w:p>
    <w:p>
      <w:pPr>
        <w:pStyle w:val="Heading2"/>
      </w:pPr>
      <w:bookmarkStart w:id="82" w:name="_TocMlat00082"/>
      <w:r>
        <w:t xml:space="preserve">Microsoft Entra ID — Microsoft Entra ID P1 (User)</w:t>
      </w:r>
      <w:bookmarkEnd w:id="82"/>
    </w:p>
    <w:p>
      <w:pPr>
        <w:pStyle w:val="Heading3"/>
      </w:pPr>
      <w:bookmarkStart w:id="83" w:name="_TocMlat00083"/>
      <w:r>
        <w:t xml:space="preserve">Microsoft Entra ID P1 (User) × 168 User — Demo Company (demo tenant)</w:t>
      </w:r>
      <w:bookmarkEnd w:id="83"/>
    </w:p>
    <w:p>
      <w:pPr>
        <w:keepNext/>
        <w:spacing w:after="80"/>
      </w:pPr>
      <w:r>
        <w:rPr>
          <w:color w:val="5B6475"/>
          <w:sz w:val="17"/>
          <w:szCs w:val="17"/>
        </w:rPr>
        <w:t xml:space="preserve">Requirement REQ-0027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RULE-ENTRA-023</w:t>
            </w:r>
            <w:r>
              <w:rPr>
                <w:sz w:val="17"/>
                <w:szCs w:val="17"/>
              </w:rPr>
              <w:t xml:space="preserve"> v1.0 — Microsoft Entra ID P1 features (Conditional Access)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1" w:history="1">
              <w:r>
                <w:rPr>
                  <w:rStyle w:val="Hyperlink"/>
                  <w:sz w:val="17"/>
                  <w:szCs w:val="17"/>
                </w:rPr>
                <w:t xml:space="preserve">Microsoft Learn - Microsoft Entra licensing</w:t>
              </w:r>
            </w:hyperlink>
            <w:r>
              <w:rPr>
                <w:color w:val="5B6475"/>
                <w:sz w:val="15"/>
                <w:szCs w:val="15"/>
              </w:rPr>
              <w:t xml:space="preserve"> (https://learn.microsoft.com/entra/fundamentals/licensing)</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Entra ID P1 for users who benefit from Conditional Access (168 enabled members, policy targets all users).</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150, gap </w:t>
            </w:r>
            <w:r>
              <w:rPr>
                <w:b/>
                <w:bCs/>
                <w:color w:val="C62828"/>
                <w:sz w:val="17"/>
                <w:szCs w:val="17"/>
              </w:rPr>
              <w:t xml:space="preserve">18</w:t>
            </w:r>
            <w:r>
              <w:rPr>
                <w:sz w:val="17"/>
                <w:szCs w:val="17"/>
              </w:rPr>
              <w:t xml:space="preserve"> · covered by: Microsoft 365 E3 - per user (subscription) [SPE_E3]: 150</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P1 · capability ENTRA-P1-USER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Enabled Conditional Access policies</w:t>
            </w:r>
          </w:p>
        </w:tc>
        <w:tc>
          <w:tcPr>
            <w:tcW w:w="3315" w:type="dxa"/>
          </w:tcPr>
          <w:p>
            <w:pPr>
              <w:pStyle w:val="TableText"/>
            </w:pPr>
            <w:r>
              <w:rPr>
                <w:sz w:val="16"/>
                <w:szCs w:val="16"/>
              </w:rPr>
              <w:t xml:space="preserve">6</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Report-only policies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A policy targets all users</w:t>
            </w:r>
          </w:p>
        </w:tc>
        <w:tc>
          <w:tcPr>
            <w:tcW w:w="3315" w:type="dxa"/>
          </w:tcPr>
          <w:p>
            <w:pPr>
              <w:pStyle w:val="TableText"/>
            </w:pPr>
            <w:r>
              <w:rPr>
                <w:sz w:val="16"/>
                <w:szCs w:val="16"/>
              </w:rPr>
              <w:t xml:space="preserve">True</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Enabled member users</w:t>
            </w:r>
          </w:p>
        </w:tc>
        <w:tc>
          <w:tcPr>
            <w:tcW w:w="3315" w:type="dxa"/>
            <w:shd w:val="clear" w:color="auto" w:fill="FAFBFC"/>
          </w:tcPr>
          <w:p>
            <w:pPr>
              <w:pStyle w:val="TableText"/>
            </w:pPr>
            <w:r>
              <w:rPr>
                <w:sz w:val="16"/>
                <w:szCs w:val="16"/>
              </w:rPr>
              <w:t xml:space="preserve">168</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Entra ID P1/P2 assigned</w:t>
            </w:r>
          </w:p>
        </w:tc>
        <w:tc>
          <w:tcPr>
            <w:tcW w:w="3315" w:type="dxa"/>
          </w:tcPr>
          <w:p>
            <w:pPr>
              <w:pStyle w:val="TableText"/>
            </w:pPr>
            <w:r>
              <w:rPr>
                <w:sz w:val="16"/>
                <w:szCs w:val="16"/>
              </w:rPr>
              <w:t xml:space="preserve">141</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Policies targeting 'All users' apply to all enabled member users; group-scoped policies require validation of the in-scope population.</w:t>
      </w:r>
    </w:p>
    <w:p>
      <w:pPr>
        <w:pStyle w:val="Heading2"/>
      </w:pPr>
      <w:bookmarkStart w:id="84" w:name="_TocMlat00084"/>
      <w:r>
        <w:t xml:space="preserve">Microsoft Entra ID — Microsoft Entra ID P2 (User)</w:t>
      </w:r>
      <w:bookmarkEnd w:id="84"/>
    </w:p>
    <w:p>
      <w:pPr>
        <w:pStyle w:val="Heading3"/>
      </w:pPr>
      <w:bookmarkStart w:id="85" w:name="_TocMlat00085"/>
      <w:r>
        <w:t xml:space="preserve">Microsoft Entra ID P2 (User) × 5 User — Demo Company (demo tenant)</w:t>
      </w:r>
      <w:bookmarkEnd w:id="85"/>
    </w:p>
    <w:p>
      <w:pPr>
        <w:keepNext/>
        <w:spacing w:after="80"/>
      </w:pPr>
      <w:r>
        <w:rPr>
          <w:color w:val="5B6475"/>
          <w:sz w:val="17"/>
          <w:szCs w:val="17"/>
        </w:rPr>
        <w:t xml:space="preserve">Requirement REQ-0028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RULE-ENTRA-024</w:t>
            </w:r>
            <w:r>
              <w:rPr>
                <w:sz w:val="17"/>
                <w:szCs w:val="17"/>
              </w:rPr>
              <w:t xml:space="preserve"> v1.0 — Microsoft Entra ID P2 / ID Governance features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2" w:history="1">
              <w:r>
                <w:rPr>
                  <w:rStyle w:val="Hyperlink"/>
                  <w:sz w:val="17"/>
                  <w:szCs w:val="17"/>
                </w:rPr>
                <w:t xml:space="preserve">Microsoft Learn - Microsoft Entra licensing</w:t>
              </w:r>
            </w:hyperlink>
            <w:r>
              <w:rPr>
                <w:color w:val="5B6475"/>
                <w:sz w:val="15"/>
                <w:szCs w:val="15"/>
              </w:rPr>
              <w:t xml:space="preserve"> (https://learn.microsoft.com/entra/fundamentals/licensing)</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Entra ID P2 for 5 principal(s) using Privileged Identity Management.</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5</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P2 · capability ENTRA-P2-USER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PIM eligible role assignments</w:t>
            </w:r>
          </w:p>
        </w:tc>
        <w:tc>
          <w:tcPr>
            <w:tcW w:w="3315" w:type="dxa"/>
          </w:tcPr>
          <w:p>
            <w:pPr>
              <w:pStyle w:val="TableText"/>
            </w:pPr>
            <w:r>
              <w:rPr>
                <w:sz w:val="16"/>
                <w:szCs w:val="16"/>
              </w:rPr>
              <w:t xml:space="preserve">7</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Distinct principals with eligible roles</w:t>
            </w:r>
          </w:p>
        </w:tc>
        <w:tc>
          <w:tcPr>
            <w:tcW w:w="3315" w:type="dxa"/>
            <w:shd w:val="clear" w:color="auto" w:fill="FAFBFC"/>
          </w:tcPr>
          <w:p>
            <w:pPr>
              <w:pStyle w:val="TableText"/>
            </w:pPr>
            <w:r>
              <w:rPr>
                <w:sz w:val="16"/>
                <w:szCs w:val="16"/>
              </w:rPr>
              <w:t xml:space="preserve">5</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Users with Entra ID P2 / ID Governance assigned</w:t>
            </w:r>
          </w:p>
        </w:tc>
        <w:tc>
          <w:tcPr>
            <w:tcW w:w="3315" w:type="dxa"/>
          </w:tcPr>
          <w:p>
            <w:pPr>
              <w:pStyle w:val="TableText"/>
            </w:pPr>
            <w:r>
              <w:rPr>
                <w:sz w:val="16"/>
                <w:szCs w:val="16"/>
              </w:rPr>
              <w:t xml:space="preserve">0</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PIM: each principal with an eligible role assignment is counted.</w:t>
      </w:r>
    </w:p>
    <w:p>
      <w:pPr>
        <w:pStyle w:val="ListBullet"/>
        <w:numPr>
          <w:ilvl w:val="0"/>
          <w:numId w:val="1"/>
        </w:numPr>
      </w:pPr>
      <w:r>
        <w:rPr>
          <w:sz w:val="17"/>
          <w:szCs w:val="17"/>
        </w:rPr>
        <w:t xml:space="preserve">Risk policies / access reviews: in-scope population cannot be resolved automatically - validation required.</w:t>
      </w:r>
    </w:p>
    <w:p>
      <w:pPr>
        <w:pStyle w:val="Heading2"/>
      </w:pPr>
      <w:bookmarkStart w:id="86" w:name="_TocMlat00086"/>
      <w:r>
        <w:t xml:space="preserve">Microsoft Intune — Microsoft Intune Plan 1 (User)</w:t>
      </w:r>
      <w:bookmarkEnd w:id="86"/>
    </w:p>
    <w:p>
      <w:pPr>
        <w:pStyle w:val="Heading3"/>
      </w:pPr>
      <w:bookmarkStart w:id="87" w:name="_TocMlat00087"/>
      <w:r>
        <w:t xml:space="preserve">Microsoft Intune Plan 1 (User) × 150 User — Demo Company (demo tenant)</w:t>
      </w:r>
      <w:bookmarkEnd w:id="87"/>
    </w:p>
    <w:p>
      <w:pPr>
        <w:keepNext/>
        <w:spacing w:after="80"/>
      </w:pPr>
      <w:r>
        <w:rPr>
          <w:color w:val="5B6475"/>
          <w:sz w:val="17"/>
          <w:szCs w:val="17"/>
        </w:rPr>
        <w:t xml:space="preserve">Requirement REQ-0026  ·  Confidence: High</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RULE-INTUNE-022</w:t>
            </w:r>
            <w:r>
              <w:rPr>
                <w:sz w:val="17"/>
                <w:szCs w:val="17"/>
              </w:rPr>
              <w:t xml:space="preserve"> v1.0 — Microsoft Intune per-user licensing</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3" w:history="1">
              <w:r>
                <w:rPr>
                  <w:rStyle w:val="Hyperlink"/>
                  <w:sz w:val="17"/>
                  <w:szCs w:val="17"/>
                </w:rPr>
                <w:t xml:space="preserve">Microsoft Learn - Microsoft Intune licensing</w:t>
              </w:r>
            </w:hyperlink>
            <w:r>
              <w:rPr>
                <w:color w:val="5B6475"/>
                <w:sz w:val="15"/>
                <w:szCs w:val="15"/>
              </w:rPr>
              <w:t xml:space="preserve"> (https://learn.microsoft.com/mem/intune/fundamentals/licenses)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150 Intune user licenses for users with enrolled devices.</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150, gap </w:t>
            </w:r>
            <w:r>
              <w:rPr>
                <w:sz w:val="17"/>
                <w:szCs w:val="17"/>
              </w:rPr>
              <w:t xml:space="preserve">0</w:t>
            </w:r>
            <w:r>
              <w:rPr>
                <w:sz w:val="17"/>
                <w:szCs w:val="17"/>
              </w:rPr>
              <w:t xml:space="preserve"> · covered by: Microsoft 365 E3 - per user (subscription) [SPE_E3]: 150</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Plan 1 · capability INTUNE-USER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Managed devices</w:t>
            </w:r>
          </w:p>
        </w:tc>
        <w:tc>
          <w:tcPr>
            <w:tcW w:w="3315" w:type="dxa"/>
          </w:tcPr>
          <w:p>
            <w:pPr>
              <w:pStyle w:val="TableText"/>
            </w:pPr>
            <w:r>
              <w:rPr>
                <w:sz w:val="16"/>
                <w:szCs w:val="16"/>
              </w:rPr>
              <w:t xml:space="preserve">163 (Windows 138, iOS/iPadOS 17, Android 6, macOS 2, other 0)</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Ownership</w:t>
            </w:r>
          </w:p>
        </w:tc>
        <w:tc>
          <w:tcPr>
            <w:tcW w:w="3315" w:type="dxa"/>
            <w:shd w:val="clear" w:color="auto" w:fill="FAFBFC"/>
          </w:tcPr>
          <w:p>
            <w:pPr>
              <w:pStyle w:val="TableText"/>
            </w:pPr>
            <w:r>
              <w:rPr>
                <w:sz w:val="16"/>
                <w:szCs w:val="16"/>
              </w:rPr>
              <w:t xml:space="preserve">Corporate 151, personal 12</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Compliance</w:t>
            </w:r>
          </w:p>
        </w:tc>
        <w:tc>
          <w:tcPr>
            <w:tcW w:w="3315" w:type="dxa"/>
          </w:tcPr>
          <w:p>
            <w:pPr>
              <w:pStyle w:val="TableText"/>
            </w:pPr>
            <w:r>
              <w:rPr>
                <w:sz w:val="16"/>
                <w:szCs w:val="16"/>
              </w:rPr>
              <w:t xml:space="preserve">Compliant 149, potentially under-licensed 14</w:t>
            </w:r>
          </w:p>
        </w:tc>
        <w:tc>
          <w:tcPr>
            <w:tcW w:w="1757" w:type="dxa"/>
          </w:tcPr>
          <w:p>
            <w:pPr>
              <w:pStyle w:val="TableText"/>
            </w:pPr>
            <w:r>
              <w:rPr>
                <w:sz w:val="16"/>
                <w:szCs w:val="16"/>
              </w:rPr>
              <w:t xml:space="preserve">Microsoft Graph</w:t>
            </w:r>
          </w:p>
        </w:tc>
      </w:tr>
      <w:tr>
        <w:trPr>
          <w:cantSplit/>
        </w:trPr>
        <w:tc>
          <w:tcPr>
            <w:tcW w:w="2145" w:type="dxa"/>
            <w:shd w:val="clear" w:color="auto" w:fill="FAFBFC"/>
          </w:tcPr>
          <w:p>
            <w:pPr>
              <w:pStyle w:val="TableText"/>
            </w:pPr>
            <w:r>
              <w:rPr>
                <w:sz w:val="16"/>
                <w:szCs w:val="16"/>
              </w:rPr>
              <w:t xml:space="preserve">Demo Company (demo tenant)</w:t>
            </w:r>
          </w:p>
        </w:tc>
        <w:tc>
          <w:tcPr>
            <w:tcW w:w="2535" w:type="dxa"/>
            <w:shd w:val="clear" w:color="auto" w:fill="FAFBFC"/>
          </w:tcPr>
          <w:p>
            <w:pPr>
              <w:pStyle w:val="TableText"/>
            </w:pPr>
            <w:r>
              <w:rPr>
                <w:sz w:val="16"/>
                <w:szCs w:val="16"/>
              </w:rPr>
              <w:t xml:space="preserve">Distinct enrolled users</w:t>
            </w:r>
          </w:p>
        </w:tc>
        <w:tc>
          <w:tcPr>
            <w:tcW w:w="3315" w:type="dxa"/>
            <w:shd w:val="clear" w:color="auto" w:fill="FAFBFC"/>
          </w:tcPr>
          <w:p>
            <w:pPr>
              <w:pStyle w:val="TableText"/>
            </w:pPr>
            <w:r>
              <w:rPr>
                <w:sz w:val="16"/>
                <w:szCs w:val="16"/>
              </w:rPr>
              <w:t xml:space="preserve">150</w:t>
            </w:r>
          </w:p>
        </w:tc>
        <w:tc>
          <w:tcPr>
            <w:tcW w:w="1757" w:type="dxa"/>
            <w:shd w:val="clear" w:color="auto" w:fill="FAFBFC"/>
          </w:tcPr>
          <w:p>
            <w:pPr>
              <w:pStyle w:val="TableText"/>
            </w:pPr>
            <w:r>
              <w:rPr>
                <w:sz w:val="16"/>
                <w:szCs w:val="16"/>
              </w:rPr>
              <w:t xml:space="preserve">Microsoft Graph</w:t>
            </w:r>
          </w:p>
        </w:tc>
      </w:tr>
      <w:tr>
        <w:trPr>
          <w:cantSplit/>
        </w:trPr>
        <w:tc>
          <w:tcPr>
            <w:tcW w:w="2145" w:type="dxa"/>
          </w:tcPr>
          <w:p>
            <w:pPr>
              <w:pStyle w:val="TableText"/>
            </w:pPr>
            <w:r>
              <w:rPr>
                <w:sz w:val="16"/>
                <w:szCs w:val="16"/>
              </w:rPr>
              <w:t xml:space="preserve">Demo Company (demo tenant)</w:t>
            </w:r>
          </w:p>
        </w:tc>
        <w:tc>
          <w:tcPr>
            <w:tcW w:w="2535" w:type="dxa"/>
          </w:tcPr>
          <w:p>
            <w:pPr>
              <w:pStyle w:val="TableText"/>
            </w:pPr>
            <w:r>
              <w:rPr>
                <w:sz w:val="16"/>
                <w:szCs w:val="16"/>
              </w:rPr>
              <w:t xml:space="preserve">Enrolled users without an Intune plan assigned</w:t>
            </w:r>
          </w:p>
        </w:tc>
        <w:tc>
          <w:tcPr>
            <w:tcW w:w="3315" w:type="dxa"/>
          </w:tcPr>
          <w:p>
            <w:pPr>
              <w:pStyle w:val="TableText"/>
            </w:pPr>
            <w:r>
              <w:rPr>
                <w:sz w:val="16"/>
                <w:szCs w:val="16"/>
              </w:rPr>
              <w:t xml:space="preserve">9</w:t>
            </w:r>
          </w:p>
        </w:tc>
        <w:tc>
          <w:tcPr>
            <w:tcW w:w="1757" w:type="dxa"/>
          </w:tcPr>
          <w:p>
            <w:pPr>
              <w:pStyle w:val="TableText"/>
            </w:pPr>
            <w:r>
              <w:rPr>
                <w:sz w:val="16"/>
                <w:szCs w:val="16"/>
              </w:rPr>
              <w:t xml:space="preserve">Microsoft Graph</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Enrolled users = distinct primary users of Intune managed devices.</w:t>
      </w:r>
    </w:p>
    <w:p>
      <w:pPr>
        <w:pStyle w:val="Heading2"/>
      </w:pPr>
      <w:bookmarkStart w:id="88" w:name="_TocMlat00088"/>
      <w:r>
        <w:t xml:space="preserve">Office — Office Home &amp; Business (Device)</w:t>
      </w:r>
      <w:bookmarkEnd w:id="88"/>
    </w:p>
    <w:p>
      <w:pPr>
        <w:pStyle w:val="Heading3"/>
      </w:pPr>
      <w:bookmarkStart w:id="89" w:name="_TocMlat00089"/>
      <w:r>
        <w:t xml:space="preserve">Office Home &amp; Business (Device) × 1 Device — PC-007</w:t>
      </w:r>
      <w:bookmarkEnd w:id="89"/>
    </w:p>
    <w:p>
      <w:pPr>
        <w:keepNext/>
        <w:spacing w:after="80"/>
      </w:pPr>
      <w:r>
        <w:rPr>
          <w:color w:val="5B6475"/>
          <w:sz w:val="17"/>
          <w:szCs w:val="17"/>
        </w:rPr>
        <w:t xml:space="preserve">Requirement REQ-0020  ·  Confidence: Medium</w:t>
      </w:r>
      <w:r>
        <w:rPr>
          <w:sz w:val="17"/>
          <w:szCs w:val="17"/>
        </w:rPr>
        <w:t xml:space="preserve">  </w:t>
      </w:r>
      <w:r>
        <w:rPr>
          <w:b/>
          <w:bCs/>
          <w:color w:val="5E1A8A"/>
          <w:sz w:val="17"/>
          <w:szCs w:val="17"/>
          <w:shd w:val="clear" w:color="auto" w:fill="F0E4F7"/>
        </w:rPr>
        <w:t xml:space="preserve"> Validation Required </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RULE-OFFICE-015</w:t>
            </w:r>
            <w:r>
              <w:rPr>
                <w:sz w:val="17"/>
                <w:szCs w:val="17"/>
              </w:rPr>
              <w:t xml:space="preserve"> v1.0 — Consumer Office editions on business devices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4" w:history="1">
              <w:r>
                <w:rPr>
                  <w:rStyle w:val="Hyperlink"/>
                  <w:sz w:val="17"/>
                  <w:szCs w:val="17"/>
                </w:rPr>
                <w:t xml:space="preserve">Microsoft Software License Terms (consumer Office)</w:t>
              </w:r>
            </w:hyperlink>
            <w:r>
              <w:rPr>
                <w:color w:val="5B6475"/>
                <w:sz w:val="15"/>
                <w:szCs w:val="15"/>
              </w:rPr>
              <w:t xml:space="preserve"> (https://www.microsoft.com/useterms)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a commercial Office license for PC-007 - a consumer edition (Office Home &amp; Student 2021) is installed.</w:t>
            </w:r>
          </w:p>
        </w:tc>
      </w:tr>
      <w:tr>
        <w:trPr>
          <w:cantSplit/>
        </w:trPr>
        <w:tc>
          <w:tcPr>
            <w:tcW w:w="1950" w:type="dxa"/>
          </w:tcPr>
          <w:p>
            <w:pPr>
              <w:pStyle w:val="TableText"/>
            </w:pPr>
            <w:r>
              <w:rPr>
                <w:color w:val="5B6475"/>
                <w:sz w:val="17"/>
                <w:szCs w:val="17"/>
              </w:rPr>
              <w:t xml:space="preserve">Validation required</w:t>
            </w:r>
          </w:p>
        </w:tc>
        <w:tc>
          <w:tcPr>
            <w:tcW w:w="7802" w:type="dxa"/>
          </w:tcPr>
          <w:p>
            <w:pPr>
              <w:pStyle w:val="TableText"/>
            </w:pPr>
            <w:r>
              <w:rPr>
                <w:sz w:val="17"/>
                <w:szCs w:val="17"/>
              </w:rPr>
              <w:t xml:space="preserve">Consumer editions are licensed for non-commercial use; confirm whether the device is used for business.</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Home &amp; Business · version 2021 · capability OFFICE-HB-DEVICE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PC-007</w:t>
            </w:r>
          </w:p>
        </w:tc>
        <w:tc>
          <w:tcPr>
            <w:tcW w:w="2535" w:type="dxa"/>
          </w:tcPr>
          <w:p>
            <w:pPr>
              <w:pStyle w:val="TableText"/>
            </w:pPr>
            <w:r>
              <w:rPr>
                <w:sz w:val="16"/>
                <w:szCs w:val="16"/>
              </w:rPr>
              <w:t xml:space="preserve">Installed product</w:t>
            </w:r>
          </w:p>
        </w:tc>
        <w:tc>
          <w:tcPr>
            <w:tcW w:w="3315" w:type="dxa"/>
          </w:tcPr>
          <w:p>
            <w:pPr>
              <w:pStyle w:val="TableText"/>
            </w:pPr>
            <w:r>
              <w:rPr>
                <w:sz w:val="16"/>
                <w:szCs w:val="16"/>
              </w:rPr>
              <w:t xml:space="preserve">Office Home &amp; Student 2021 (HomeStudent2021Retail)</w:t>
            </w:r>
          </w:p>
        </w:tc>
        <w:tc>
          <w:tcPr>
            <w:tcW w:w="1757" w:type="dxa"/>
          </w:tcPr>
          <w:p>
            <w:pPr>
              <w:pStyle w:val="TableText"/>
            </w:pPr>
            <w:r>
              <w:rPr>
                <w:sz w:val="16"/>
                <w:szCs w:val="16"/>
              </w:rPr>
              <w:t xml:space="preserve">Registry</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Devices in the assessment are used for commercial purposes.</w:t>
      </w:r>
    </w:p>
    <w:p>
      <w:pPr>
        <w:pStyle w:val="Heading2"/>
      </w:pPr>
      <w:bookmarkStart w:id="90" w:name="_TocMlat00090"/>
      <w:r>
        <w:t xml:space="preserve">Office — Office Professional Plus / LTSC Professional Plus (Device)</w:t>
      </w:r>
      <w:bookmarkEnd w:id="90"/>
    </w:p>
    <w:p>
      <w:pPr>
        <w:pStyle w:val="Heading3"/>
      </w:pPr>
      <w:bookmarkStart w:id="91" w:name="_TocMlat00091"/>
      <w:r>
        <w:t xml:space="preserve">Office Professional Plus / LTSC Professional Plus (Device) × 42 Device — RDS01</w:t>
      </w:r>
      <w:bookmarkEnd w:id="91"/>
    </w:p>
    <w:p>
      <w:pPr>
        <w:keepNext/>
        <w:spacing w:after="80"/>
      </w:pPr>
      <w:r>
        <w:rPr>
          <w:color w:val="5B6475"/>
          <w:sz w:val="17"/>
          <w:szCs w:val="17"/>
        </w:rPr>
        <w:t xml:space="preserve">Requirement REQ-0021  ·  Confidence: Low</w:t>
      </w:r>
      <w:r>
        <w:rPr>
          <w:sz w:val="17"/>
          <w:szCs w:val="17"/>
        </w:rPr>
        <w:t xml:space="preserve">  </w:t>
      </w:r>
      <w:r>
        <w:rPr>
          <w:b/>
          <w:bCs/>
          <w:color w:val="5E1A8A"/>
          <w:sz w:val="17"/>
          <w:szCs w:val="17"/>
          <w:shd w:val="clear" w:color="auto" w:fill="F0E4F7"/>
        </w:rPr>
        <w:t xml:space="preserve"> Validation Required </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RULE-OFFICE-016</w:t>
            </w:r>
            <w:r>
              <w:rPr>
                <w:sz w:val="17"/>
                <w:szCs w:val="17"/>
              </w:rPr>
              <w:t xml:space="preserve"> v1.0 — Office on Remote Desktop Session Hosts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5" w:history="1">
              <w:r>
                <w:rPr>
                  <w:rStyle w:val="Hyperlink"/>
                  <w:sz w:val="17"/>
                  <w:szCs w:val="17"/>
                </w:rPr>
                <w:t xml:space="preserve">Microsoft Learn - Overview of shared computer activation for Microsoft 365 Apps</w:t>
              </w:r>
            </w:hyperlink>
            <w:r>
              <w:rPr>
                <w:color w:val="5B6475"/>
                <w:sz w:val="15"/>
                <w:szCs w:val="15"/>
              </w:rPr>
              <w:t xml:space="preserve"> (https://learn.microsoft.com/microsoft-365-apps/licensing-activation/overview-shared-computer-activation)</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42 Office Professional Plus 2021 device licenses - every device accessing RDS01 must be licensed.</w:t>
            </w:r>
          </w:p>
        </w:tc>
      </w:tr>
      <w:tr>
        <w:trPr>
          <w:cantSplit/>
        </w:trPr>
        <w:tc>
          <w:tcPr>
            <w:tcW w:w="1950" w:type="dxa"/>
          </w:tcPr>
          <w:p>
            <w:pPr>
              <w:pStyle w:val="TableText"/>
            </w:pPr>
            <w:r>
              <w:rPr>
                <w:color w:val="5B6475"/>
                <w:sz w:val="17"/>
                <w:szCs w:val="17"/>
              </w:rPr>
              <w:t xml:space="preserve">Validation required</w:t>
            </w:r>
          </w:p>
        </w:tc>
        <w:tc>
          <w:tcPr>
            <w:tcW w:w="7802" w:type="dxa"/>
          </w:tcPr>
          <w:p>
            <w:pPr>
              <w:pStyle w:val="TableText"/>
            </w:pPr>
            <w:r>
              <w:rPr>
                <w:sz w:val="17"/>
                <w:szCs w:val="17"/>
              </w:rPr>
              <w:t xml:space="preserve">Devices accessing the Session Host are estimated.</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5, gap </w:t>
            </w:r>
            <w:r>
              <w:rPr>
                <w:b/>
                <w:bCs/>
                <w:color w:val="C62828"/>
                <w:sz w:val="17"/>
                <w:szCs w:val="17"/>
              </w:rPr>
              <w:t xml:space="preserve">37</w:t>
            </w:r>
            <w:r>
              <w:rPr>
                <w:sz w:val="17"/>
                <w:szCs w:val="17"/>
              </w:rPr>
              <w:t xml:space="preserve"> · covered by: Office LTSC Professional Plus 2021 [Excel]: 5</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Professional Plus · version 2021 · capability OFFICE-PROPLUS-DEVICE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Remote Desktop Session Host</w:t>
            </w:r>
          </w:p>
        </w:tc>
        <w:tc>
          <w:tcPr>
            <w:tcW w:w="3315" w:type="dxa"/>
          </w:tcPr>
          <w:p>
            <w:pPr>
              <w:pStyle w:val="TableText"/>
            </w:pPr>
            <w:r>
              <w:rPr>
                <w:sz w:val="16"/>
                <w:szCs w:val="16"/>
              </w:rPr>
              <w:t xml:space="preserve">Yes (Per User)</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RDS01</w:t>
            </w:r>
          </w:p>
        </w:tc>
        <w:tc>
          <w:tcPr>
            <w:tcW w:w="2535" w:type="dxa"/>
            <w:shd w:val="clear" w:color="auto" w:fill="FAFBFC"/>
          </w:tcPr>
          <w:p>
            <w:pPr>
              <w:pStyle w:val="TableText"/>
            </w:pPr>
            <w:r>
              <w:rPr>
                <w:sz w:val="16"/>
                <w:szCs w:val="16"/>
              </w:rPr>
              <w:t xml:space="preserve">Installed product</w:t>
            </w:r>
          </w:p>
        </w:tc>
        <w:tc>
          <w:tcPr>
            <w:tcW w:w="3315" w:type="dxa"/>
            <w:shd w:val="clear" w:color="auto" w:fill="FAFBFC"/>
          </w:tcPr>
          <w:p>
            <w:pPr>
              <w:pStyle w:val="TableText"/>
            </w:pPr>
            <w:r>
              <w:rPr>
                <w:sz w:val="16"/>
                <w:szCs w:val="16"/>
              </w:rPr>
              <w:t xml:space="preserve">Office Professional Plus 2021 (ProPlus2021Volume, Volume)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Shared computer activation</w:t>
            </w:r>
          </w:p>
        </w:tc>
        <w:tc>
          <w:tcPr>
            <w:tcW w:w="3315" w:type="dxa"/>
          </w:tcPr>
          <w:p>
            <w:pPr>
              <w:pStyle w:val="TableText"/>
            </w:pPr>
            <w:r>
              <w:rPr>
                <w:sz w:val="16"/>
                <w:szCs w:val="16"/>
              </w:rPr>
              <w:t xml:space="preserve">False</w:t>
            </w:r>
          </w:p>
        </w:tc>
        <w:tc>
          <w:tcPr>
            <w:tcW w:w="1757" w:type="dxa"/>
          </w:tcPr>
          <w:p>
            <w:pPr>
              <w:pStyle w:val="TableText"/>
            </w:pPr>
            <w:r>
              <w:rPr>
                <w:sz w:val="16"/>
                <w:szCs w:val="16"/>
              </w:rPr>
              <w:t xml:space="preserve">Registry (Click-to-Run)</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Users/devices accessing the Session Hosts are estimated with the RDS counts.</w:t>
      </w:r>
    </w:p>
    <w:p>
      <w:pPr>
        <w:pStyle w:val="ListBullet"/>
        <w:numPr>
          <w:ilvl w:val="0"/>
          <w:numId w:val="1"/>
        </w:numPr>
      </w:pPr>
      <w:r>
        <w:rPr>
          <w:sz w:val="17"/>
          <w:szCs w:val="17"/>
        </w:rPr>
        <w:t xml:space="preserve">One accessing device per RDS user is assumed (42 users).</w:t>
      </w:r>
    </w:p>
    <w:p>
      <w:pPr>
        <w:pStyle w:val="Heading2"/>
      </w:pPr>
      <w:bookmarkStart w:id="92" w:name="_TocMlat00092"/>
      <w:r>
        <w:t xml:space="preserve">Office — Office Standard / LTSC Standard (Device)</w:t>
      </w:r>
      <w:bookmarkEnd w:id="92"/>
    </w:p>
    <w:p>
      <w:pPr>
        <w:pStyle w:val="Heading3"/>
      </w:pPr>
      <w:bookmarkStart w:id="93" w:name="_TocMlat00093"/>
      <w:r>
        <w:t xml:space="preserve">Office Standard / LTSC Standard (Device) × 1 Device — PC-012</w:t>
      </w:r>
      <w:bookmarkEnd w:id="93"/>
    </w:p>
    <w:p>
      <w:pPr>
        <w:keepNext/>
        <w:spacing w:after="80"/>
      </w:pPr>
      <w:r>
        <w:rPr>
          <w:color w:val="5B6475"/>
          <w:sz w:val="17"/>
          <w:szCs w:val="17"/>
        </w:rPr>
        <w:t xml:space="preserve">Requirement REQ-0018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RULE-OFFICE-013</w:t>
            </w:r>
            <w:r>
              <w:rPr>
                <w:sz w:val="17"/>
                <w:szCs w:val="17"/>
              </w:rPr>
              <w:t xml:space="preserve"> v1.0 — Office, Visio and Project perpetual licenses (per device)</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6" w:history="1">
              <w:r>
                <w:rPr>
                  <w:rStyle w:val="Hyperlink"/>
                  <w:sz w:val="17"/>
                  <w:szCs w:val="17"/>
                </w:rPr>
                <w:t xml:space="preserve">Microsoft Product Terms - Office / Visio / Project</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one Office Standard 2016 (or later) license for PC-012.</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2016 · capability OFFICE-STD-DEVICE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PC-012</w:t>
            </w:r>
          </w:p>
        </w:tc>
        <w:tc>
          <w:tcPr>
            <w:tcW w:w="2535" w:type="dxa"/>
          </w:tcPr>
          <w:p>
            <w:pPr>
              <w:pStyle w:val="TableText"/>
            </w:pPr>
            <w:r>
              <w:rPr>
                <w:sz w:val="16"/>
                <w:szCs w:val="16"/>
              </w:rPr>
              <w:t xml:space="preserve">Installed product</w:t>
            </w:r>
          </w:p>
        </w:tc>
        <w:tc>
          <w:tcPr>
            <w:tcW w:w="3315" w:type="dxa"/>
          </w:tcPr>
          <w:p>
            <w:pPr>
              <w:pStyle w:val="TableText"/>
            </w:pPr>
            <w:r>
              <w:rPr>
                <w:sz w:val="16"/>
                <w:szCs w:val="16"/>
              </w:rPr>
              <w:t xml:space="preserve">Microsoft Office Standard 2016</w:t>
            </w:r>
          </w:p>
        </w:tc>
        <w:tc>
          <w:tcPr>
            <w:tcW w:w="1757" w:type="dxa"/>
          </w:tcPr>
          <w:p>
            <w:pPr>
              <w:pStyle w:val="TableText"/>
            </w:pPr>
            <w:r>
              <w:rPr>
                <w:sz w:val="16"/>
                <w:szCs w:val="16"/>
              </w:rPr>
              <w:t xml:space="preserve">Registry (Add/Remove Programs)</w:t>
            </w:r>
          </w:p>
        </w:tc>
      </w:tr>
      <w:tr>
        <w:trPr>
          <w:cantSplit/>
        </w:trPr>
        <w:tc>
          <w:tcPr>
            <w:tcW w:w="2145" w:type="dxa"/>
            <w:shd w:val="clear" w:color="auto" w:fill="FAFBFC"/>
          </w:tcPr>
          <w:p>
            <w:pPr>
              <w:pStyle w:val="TableText"/>
            </w:pPr>
            <w:r>
              <w:rPr>
                <w:sz w:val="16"/>
                <w:szCs w:val="16"/>
              </w:rPr>
              <w:t xml:space="preserve">PC-012</w:t>
            </w:r>
          </w:p>
        </w:tc>
        <w:tc>
          <w:tcPr>
            <w:tcW w:w="2535" w:type="dxa"/>
            <w:shd w:val="clear" w:color="auto" w:fill="FAFBFC"/>
          </w:tcPr>
          <w:p>
            <w:pPr>
              <w:pStyle w:val="TableText"/>
            </w:pPr>
            <w:r>
              <w:rPr>
                <w:sz w:val="16"/>
                <w:szCs w:val="16"/>
              </w:rPr>
              <w:t xml:space="preserve">Product ID / channel</w:t>
            </w:r>
          </w:p>
        </w:tc>
        <w:tc>
          <w:tcPr>
            <w:tcW w:w="3315" w:type="dxa"/>
            <w:shd w:val="clear" w:color="auto" w:fill="FAFBFC"/>
          </w:tcPr>
          <w:p>
            <w:pPr>
              <w:pStyle w:val="TableText"/>
            </w:pPr>
            <w:r>
              <w:rPr>
                <w:sz w:val="16"/>
                <w:szCs w:val="16"/>
              </w:rPr>
              <w:t xml:space="preserve">MSI:Office Standard 2016 / Volume/Retail</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PC-012</w:t>
            </w:r>
          </w:p>
        </w:tc>
        <w:tc>
          <w:tcPr>
            <w:tcW w:w="2535" w:type="dxa"/>
          </w:tcPr>
          <w:p>
            <w:pPr>
              <w:pStyle w:val="TableText"/>
            </w:pPr>
            <w:r>
              <w:rPr>
                <w:sz w:val="16"/>
                <w:szCs w:val="16"/>
              </w:rPr>
              <w:t xml:space="preserve">Version</w:t>
            </w:r>
          </w:p>
        </w:tc>
        <w:tc>
          <w:tcPr>
            <w:tcW w:w="3315" w:type="dxa"/>
          </w:tcPr>
          <w:p>
            <w:pPr>
              <w:pStyle w:val="TableText"/>
            </w:pPr>
            <w:r>
              <w:rPr>
                <w:sz w:val="16"/>
                <w:szCs w:val="16"/>
              </w:rPr>
              <w:t xml:space="preserve">16.0.4266.1001</w:t>
            </w:r>
          </w:p>
        </w:tc>
        <w:tc>
          <w:tcPr>
            <w:tcW w:w="1757" w:type="dxa"/>
          </w:tcPr>
          <w:p>
            <w:pPr>
              <w:pStyle w:val="TableText"/>
            </w:pPr>
            <w:r>
              <w:rPr>
                <w:sz w:val="16"/>
                <w:szCs w:val="16"/>
              </w:rPr>
              <w:t xml:space="preserve">Registry</w:t>
            </w:r>
          </w:p>
        </w:tc>
      </w:tr>
      <w:tr>
        <w:trPr>
          <w:cantSplit/>
        </w:trPr>
        <w:tc>
          <w:tcPr>
            <w:tcW w:w="2145" w:type="dxa"/>
            <w:shd w:val="clear" w:color="auto" w:fill="FAFBFC"/>
          </w:tcPr>
          <w:p>
            <w:pPr>
              <w:pStyle w:val="TableText"/>
            </w:pPr>
            <w:r>
              <w:rPr>
                <w:sz w:val="16"/>
                <w:szCs w:val="16"/>
              </w:rPr>
              <w:t xml:space="preserve">PC-012</w:t>
            </w:r>
          </w:p>
        </w:tc>
        <w:tc>
          <w:tcPr>
            <w:tcW w:w="2535" w:type="dxa"/>
            <w:shd w:val="clear" w:color="auto" w:fill="FAFBFC"/>
          </w:tcPr>
          <w:p>
            <w:pPr>
              <w:pStyle w:val="TableText"/>
            </w:pPr>
            <w:r>
              <w:rPr>
                <w:sz w:val="16"/>
                <w:szCs w:val="16"/>
              </w:rPr>
              <w:t xml:space="preserve">Activation</w:t>
            </w:r>
          </w:p>
        </w:tc>
        <w:tc>
          <w:tcPr>
            <w:tcW w:w="3315" w:type="dxa"/>
            <w:shd w:val="clear" w:color="auto" w:fill="FAFBFC"/>
          </w:tcPr>
          <w:p>
            <w:pPr>
              <w:pStyle w:val="TableText"/>
            </w:pPr>
            <w:r>
              <w:rPr>
                <w:sz w:val="16"/>
                <w:szCs w:val="16"/>
              </w:rPr>
              <w:t xml:space="preserve">Licensed (Volume (MAK))</w:t>
            </w:r>
          </w:p>
        </w:tc>
        <w:tc>
          <w:tcPr>
            <w:tcW w:w="1757" w:type="dxa"/>
            <w:shd w:val="clear" w:color="auto" w:fill="FAFBFC"/>
          </w:tcPr>
          <w:p>
            <w:pPr>
              <w:pStyle w:val="TableText"/>
            </w:pPr>
            <w:r>
              <w:rPr>
                <w:sz w:val="16"/>
                <w:szCs w:val="16"/>
              </w:rPr>
              <w:t xml:space="preserve">WMI (SoftwareLicensingProduct)</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Volume Licensing Professional Plus is accepted as covering Standard/Professional/Home &amp; Business installs (down-edition).</w:t>
      </w:r>
    </w:p>
    <w:p>
      <w:pPr>
        <w:pStyle w:val="ListBullet"/>
        <w:numPr>
          <w:ilvl w:val="0"/>
          <w:numId w:val="1"/>
        </w:numPr>
      </w:pPr>
      <w:r>
        <w:rPr>
          <w:sz w:val="17"/>
          <w:szCs w:val="17"/>
        </w:rPr>
        <w:t xml:space="preserve">Standalone Office applications are reported for validation.</w:t>
      </w:r>
    </w:p>
    <w:p>
      <w:pPr>
        <w:pStyle w:val="Heading2"/>
      </w:pPr>
      <w:bookmarkStart w:id="94" w:name="_TocMlat00094"/>
      <w:r>
        <w:t xml:space="preserve">Remote Desktop Services — Remote Desktop Services CAL (User)</w:t>
      </w:r>
      <w:bookmarkEnd w:id="94"/>
    </w:p>
    <w:p>
      <w:pPr>
        <w:pStyle w:val="Heading3"/>
      </w:pPr>
      <w:bookmarkStart w:id="95" w:name="_TocMlat00095"/>
      <w:r>
        <w:t xml:space="preserve">Remote Desktop Services CAL (User) × 42 User — Organization</w:t>
      </w:r>
      <w:bookmarkEnd w:id="95"/>
    </w:p>
    <w:p>
      <w:pPr>
        <w:keepNext/>
        <w:spacing w:after="80"/>
      </w:pPr>
      <w:r>
        <w:rPr>
          <w:color w:val="5B6475"/>
          <w:sz w:val="17"/>
          <w:szCs w:val="17"/>
        </w:rPr>
        <w:t xml:space="preserve">Requirement REQ-0007  ·  Confidence: Medium</w:t>
      </w:r>
      <w:r>
        <w:rPr>
          <w:color w:val="5B6475"/>
          <w:sz w:val="17"/>
          <w:szCs w:val="17"/>
        </w:rPr>
        <w:t xml:space="preserve">  ·  Primary scenario (used in the gap analysis): User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RULE-RDS-006</w:t>
            </w:r>
            <w:r>
              <w:rPr>
                <w:sz w:val="17"/>
                <w:szCs w:val="17"/>
              </w:rPr>
              <w:t xml:space="preserve"> v1.0 — Remote Desktop Services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7" w:history="1">
              <w:r>
                <w:rPr>
                  <w:rStyle w:val="Hyperlink"/>
                  <w:sz w:val="17"/>
                  <w:szCs w:val="17"/>
                </w:rPr>
                <w:t xml:space="preserve">Microsoft Learn - License your RDS deployment with client access licenses (CALs)</w:t>
              </w:r>
            </w:hyperlink>
            <w:r>
              <w:rPr>
                <w:color w:val="5B6475"/>
                <w:sz w:val="15"/>
                <w:szCs w:val="15"/>
              </w:rPr>
              <w:t xml:space="preserve"> (https://learn.microsoft.com/windows-server/remote/remote-desktop-services/rds-client-access-license)</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42 RDS User CALs (version 2022 or later) under the User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42</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2022 · capability RDS-CAL-USER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RDS CALs</w:t>
            </w:r>
          </w:p>
        </w:tc>
        <w:tc>
          <w:tcPr>
            <w:tcW w:w="3315" w:type="dxa"/>
          </w:tcPr>
          <w:p>
            <w:pPr>
              <w:pStyle w:val="TableText"/>
            </w:pPr>
            <w:r>
              <w:rPr>
                <w:sz w:val="16"/>
                <w:szCs w:val="16"/>
              </w:rPr>
              <w:t xml:space="preserve">1 (RDS01)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Users requiring access</w:t>
            </w:r>
          </w:p>
        </w:tc>
        <w:tc>
          <w:tcPr>
            <w:tcW w:w="3315" w:type="dxa"/>
            <w:shd w:val="clear" w:color="auto" w:fill="FAFBFC"/>
          </w:tcPr>
          <w:p>
            <w:pPr>
              <w:pStyle w:val="TableText"/>
            </w:pPr>
            <w:r>
              <w:rPr>
                <w:sz w:val="16"/>
                <w:szCs w:val="16"/>
              </w:rPr>
              <w:t xml:space="preserve">42</w:t>
            </w:r>
          </w:p>
        </w:tc>
        <w:tc>
          <w:tcPr>
            <w:tcW w:w="1757" w:type="dxa"/>
            <w:shd w:val="clear" w:color="auto" w:fill="FAFBFC"/>
          </w:tcPr>
          <w:p>
            <w:pPr>
              <w:pStyle w:val="TableText"/>
            </w:pPr>
            <w:r>
              <w:rPr>
                <w:sz w:val="16"/>
                <w:szCs w:val="16"/>
              </w:rPr>
              <w:t xml:space="preserve">Distinct domain user profiles on Session Hosts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Session Host licensing mode is Per User on 1 host(s)</w:t>
            </w:r>
          </w:p>
        </w:tc>
        <w:tc>
          <w:tcPr>
            <w:tcW w:w="1757" w:type="dxa"/>
          </w:tcPr>
          <w:p>
            <w:pPr>
              <w:pStyle w:val="TableText"/>
            </w:pPr>
            <w:r>
              <w:rPr>
                <w:sz w:val="16"/>
                <w:szCs w:val="16"/>
              </w:rPr>
              <w:t xml:space="preserve">License inventory / settings</w:t>
            </w:r>
          </w:p>
        </w:tc>
      </w:tr>
      <w:tr>
        <w:trPr>
          <w:cantSplit/>
        </w:trPr>
        <w:tc>
          <w:tcPr>
            <w:tcW w:w="2145" w:type="dxa"/>
            <w:shd w:val="clear" w:color="auto" w:fill="FAFBFC"/>
          </w:tcPr>
          <w:p>
            <w:pPr>
              <w:pStyle w:val="TableText"/>
            </w:pPr>
            <w:r>
              <w:rPr>
                <w:sz w:val="16"/>
                <w:szCs w:val="16"/>
              </w:rPr>
              <w:t xml:space="preserve">RDS01</w:t>
            </w:r>
          </w:p>
        </w:tc>
        <w:tc>
          <w:tcPr>
            <w:tcW w:w="2535" w:type="dxa"/>
            <w:shd w:val="clear" w:color="auto" w:fill="FAFBFC"/>
          </w:tcPr>
          <w:p>
            <w:pPr>
              <w:pStyle w:val="TableText"/>
            </w:pPr>
            <w:r>
              <w:rPr>
                <w:sz w:val="16"/>
                <w:szCs w:val="16"/>
              </w:rPr>
              <w:t xml:space="preserve">RDS licensing mode</w:t>
            </w:r>
          </w:p>
        </w:tc>
        <w:tc>
          <w:tcPr>
            <w:tcW w:w="3315" w:type="dxa"/>
            <w:shd w:val="clear" w:color="auto" w:fill="FAFBFC"/>
          </w:tcPr>
          <w:p>
            <w:pPr>
              <w:pStyle w:val="TableText"/>
            </w:pPr>
            <w:r>
              <w:rPr>
                <w:sz w:val="16"/>
                <w:szCs w:val="16"/>
              </w:rPr>
              <w:t xml:space="preserve">Per User</w:t>
            </w:r>
          </w:p>
        </w:tc>
        <w:tc>
          <w:tcPr>
            <w:tcW w:w="1757" w:type="dxa"/>
            <w:shd w:val="clear" w:color="auto" w:fill="FAFBFC"/>
          </w:tcPr>
          <w:p>
            <w:pPr>
              <w:pStyle w:val="TableText"/>
            </w:pPr>
            <w:r>
              <w:rPr>
                <w:sz w:val="16"/>
                <w:szCs w:val="16"/>
              </w:rPr>
              <w:t xml:space="preserve">WMI (Win32_TerminalServiceSetting)</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Configured license servers</w:t>
            </w:r>
          </w:p>
        </w:tc>
        <w:tc>
          <w:tcPr>
            <w:tcW w:w="3315" w:type="dxa"/>
          </w:tcPr>
          <w:p>
            <w:pPr>
              <w:pStyle w:val="TableText"/>
            </w:pPr>
            <w:r>
              <w:rPr>
                <w:sz w:val="16"/>
                <w:szCs w:val="16"/>
              </w:rPr>
              <w:t xml:space="preserve">DC01.demo.local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RDS01</w:t>
            </w:r>
          </w:p>
        </w:tc>
        <w:tc>
          <w:tcPr>
            <w:tcW w:w="2535" w:type="dxa"/>
            <w:shd w:val="clear" w:color="auto" w:fill="FAFBFC"/>
          </w:tcPr>
          <w:p>
            <w:pPr>
              <w:pStyle w:val="TableText"/>
            </w:pPr>
            <w:r>
              <w:rPr>
                <w:sz w:val="16"/>
                <w:szCs w:val="16"/>
              </w:rPr>
              <w:t xml:space="preserve">Active remote sessions at collection</w:t>
            </w:r>
          </w:p>
        </w:tc>
        <w:tc>
          <w:tcPr>
            <w:tcW w:w="3315" w:type="dxa"/>
            <w:shd w:val="clear" w:color="auto" w:fill="FAFBFC"/>
          </w:tcPr>
          <w:p>
            <w:pPr>
              <w:pStyle w:val="TableText"/>
            </w:pPr>
            <w:r>
              <w:rPr>
                <w:sz w:val="16"/>
                <w:szCs w:val="16"/>
              </w:rPr>
              <w:t xml:space="preserve">23</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Distinct user profiles</w:t>
            </w:r>
          </w:p>
        </w:tc>
        <w:tc>
          <w:tcPr>
            <w:tcW w:w="3315" w:type="dxa"/>
          </w:tcPr>
          <w:p>
            <w:pPr>
              <w:pStyle w:val="TableText"/>
            </w:pPr>
            <w:r>
              <w:rPr>
                <w:sz w:val="16"/>
                <w:szCs w:val="16"/>
              </w:rPr>
              <w:t xml:space="preserve">42</w:t>
            </w:r>
          </w:p>
        </w:tc>
        <w:tc>
          <w:tcPr>
            <w:tcW w:w="1757" w:type="dxa"/>
          </w:tcPr>
          <w:p>
            <w:pPr>
              <w:pStyle w:val="TableText"/>
            </w:pPr>
            <w:r>
              <w:rPr>
                <w:sz w:val="16"/>
                <w:szCs w:val="16"/>
              </w:rPr>
              <w:t xml:space="preserve">WMI</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RDS users = distinct domain user profiles on Session Hosts (or customer input); RDS devices = issued per-device CALs or active workstations (or customer input).</w:t>
      </w:r>
    </w:p>
    <w:p>
      <w:pPr>
        <w:pStyle w:val="ListBullet"/>
        <w:numPr>
          <w:ilvl w:val="0"/>
          <w:numId w:val="1"/>
        </w:numPr>
      </w:pPr>
      <w:r>
        <w:rPr>
          <w:sz w:val="17"/>
          <w:szCs w:val="17"/>
        </w:rPr>
        <w:t xml:space="preserve">The licensing mode configured on the Session Hosts is used as evidence of the access model.</w:t>
      </w:r>
    </w:p>
    <w:p>
      <w:pPr>
        <w:pStyle w:val="Heading2"/>
      </w:pPr>
      <w:bookmarkStart w:id="96" w:name="_TocMlat00096"/>
      <w:r>
        <w:t xml:space="preserve">SQL Server — SQL Server Enterprise core license</w:t>
      </w:r>
      <w:bookmarkEnd w:id="96"/>
    </w:p>
    <w:p>
      <w:pPr>
        <w:pStyle w:val="Heading3"/>
      </w:pPr>
      <w:bookmarkStart w:id="97" w:name="_TocMlat00097"/>
      <w:r>
        <w:t xml:space="preserve">SQL Server Enterprise core license × 8 Core — SQL01</w:t>
      </w:r>
      <w:bookmarkEnd w:id="97"/>
    </w:p>
    <w:p>
      <w:pPr>
        <w:keepNext/>
        <w:spacing w:after="80"/>
      </w:pPr>
      <w:r>
        <w:rPr>
          <w:color w:val="5B6475"/>
          <w:sz w:val="17"/>
          <w:szCs w:val="17"/>
        </w:rPr>
        <w:t xml:space="preserve">Requirement REQ-0009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RULE-SQL-007</w:t>
            </w:r>
            <w:r>
              <w:rPr>
                <w:sz w:val="17"/>
                <w:szCs w:val="17"/>
              </w:rPr>
              <w:t xml:space="preserve"> v1.0 — SQL Server per-core licensing</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8" w:history="1">
              <w:r>
                <w:rPr>
                  <w:rStyle w:val="Hyperlink"/>
                  <w:sz w:val="17"/>
                  <w:szCs w:val="17"/>
                </w:rPr>
                <w:t xml:space="preserve">Microsoft Product Terms - SQL Server / SQL Server licensing guide</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SQL Server Enterprise licensing requirement: 8 core licenses for SQL01.</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8</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Enterprise · version 2022 · capability SQL-ENT-CORE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2022 Standard (build 20348)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(Hyper-V)</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4 + 4</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8</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Logical processors</w:t>
            </w:r>
          </w:p>
        </w:tc>
        <w:tc>
          <w:tcPr>
            <w:tcW w:w="3315" w:type="dxa"/>
          </w:tcPr>
          <w:p>
            <w:pPr>
              <w:pStyle w:val="TableText"/>
            </w:pPr>
            <w:r>
              <w:rPr>
                <w:sz w:val="16"/>
                <w:szCs w:val="16"/>
              </w:rPr>
              <w:t xml:space="preserve">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SQL Database Engine</w:t>
            </w:r>
          </w:p>
        </w:tc>
        <w:tc>
          <w:tcPr>
            <w:tcW w:w="3315" w:type="dxa"/>
            <w:shd w:val="clear" w:color="auto" w:fill="FAFBFC"/>
          </w:tcPr>
          <w:p>
            <w:pPr>
              <w:pStyle w:val="TableText"/>
            </w:pPr>
            <w:r>
              <w:rPr>
                <w:sz w:val="16"/>
                <w:szCs w:val="16"/>
              </w:rPr>
              <w:t xml:space="preserve">MSSQLSERVER: Enterprise 2022 (16.0.4135.4), service Running/Auto, Always On enabled</w:t>
            </w:r>
          </w:p>
        </w:tc>
        <w:tc>
          <w:tcPr>
            <w:tcW w:w="1757" w:type="dxa"/>
            <w:shd w:val="clear" w:color="auto" w:fill="FAFBFC"/>
          </w:tcPr>
          <w:p>
            <w:pPr>
              <w:pStyle w:val="TableText"/>
            </w:pPr>
            <w:r>
              <w:rPr>
                <w:sz w:val="16"/>
                <w:szCs w:val="16"/>
              </w:rPr>
              <w:t xml:space="preserve">Registry / WMI</w:t>
            </w:r>
          </w:p>
        </w:tc>
      </w:tr>
      <w:tr>
        <w:trPr>
          <w:cantSplit/>
        </w:trPr>
        <w:tc>
          <w:tcPr>
            <w:tcW w:w="2145" w:type="dxa"/>
          </w:tcPr>
          <w:p>
            <w:pPr>
              <w:pStyle w:val="TableText"/>
            </w:pPr>
            <w:r>
              <w:rPr>
                <w:sz w:val="16"/>
                <w:szCs w:val="16"/>
              </w:rPr>
              <w:t xml:space="preserve">SQL01</w:t>
            </w:r>
          </w:p>
        </w:tc>
        <w:tc>
          <w:tcPr>
            <w:tcW w:w="2535" w:type="dxa"/>
          </w:tcPr>
          <w:p>
            <w:pPr>
              <w:pStyle w:val="TableText"/>
            </w:pPr>
            <w:r>
              <w:rPr>
                <w:sz w:val="16"/>
                <w:szCs w:val="16"/>
              </w:rPr>
              <w:t xml:space="preserve">SQL Reporting Services</w:t>
            </w:r>
          </w:p>
        </w:tc>
        <w:tc>
          <w:tcPr>
            <w:tcW w:w="3315" w:type="dxa"/>
          </w:tcPr>
          <w:p>
            <w:pPr>
              <w:pStyle w:val="TableText"/>
            </w:pPr>
            <w:r>
              <w:rPr>
                <w:sz w:val="16"/>
                <w:szCs w:val="16"/>
              </w:rPr>
              <w:t xml:space="preserve">MSSQLSERVER: Enterprise 2022 (16.0.1000.6), service Running/Auto</w:t>
            </w:r>
          </w:p>
        </w:tc>
        <w:tc>
          <w:tcPr>
            <w:tcW w:w="1757" w:type="dxa"/>
          </w:tcPr>
          <w:p>
            <w:pPr>
              <w:pStyle w:val="TableText"/>
            </w:pPr>
            <w:r>
              <w:rPr>
                <w:sz w:val="16"/>
                <w:szCs w:val="16"/>
              </w:rPr>
              <w:t xml:space="preserve">Registry / WMI</w:t>
            </w:r>
          </w:p>
        </w:tc>
      </w:tr>
      <w:tr>
        <w:trPr>
          <w:cantSplit/>
        </w:trPr>
        <w:tc>
          <w:tcPr>
            <w:tcW w:w="2145" w:type="dxa"/>
            <w:shd w:val="clear" w:color="auto" w:fill="FAFBFC"/>
          </w:tcPr>
          <w:p>
            <w:pPr>
              <w:pStyle w:val="TableText"/>
            </w:pPr>
            <w:r>
              <w:rPr>
                <w:sz w:val="16"/>
                <w:szCs w:val="16"/>
              </w:rPr>
              <w:t xml:space="preserve">SQL01</w:t>
            </w:r>
          </w:p>
        </w:tc>
        <w:tc>
          <w:tcPr>
            <w:tcW w:w="2535" w:type="dxa"/>
            <w:shd w:val="clear" w:color="auto" w:fill="FAFBFC"/>
          </w:tcPr>
          <w:p>
            <w:pPr>
              <w:pStyle w:val="TableText"/>
            </w:pPr>
            <w:r>
              <w:rPr>
                <w:sz w:val="16"/>
                <w:szCs w:val="16"/>
              </w:rPr>
              <w:t xml:space="preserve">Licensable cores</w:t>
            </w:r>
          </w:p>
        </w:tc>
        <w:tc>
          <w:tcPr>
            <w:tcW w:w="3315" w:type="dxa"/>
            <w:shd w:val="clear" w:color="auto" w:fill="FAFBFC"/>
          </w:tcPr>
          <w:p>
            <w:pPr>
              <w:pStyle w:val="TableText"/>
            </w:pPr>
            <w:r>
              <w:rPr>
                <w:sz w:val="16"/>
                <w:szCs w:val="16"/>
              </w:rPr>
              <w:t xml:space="preserve">8 (virtual OSE: vCPUs, min 4)</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Installed instances are treated as requiring licenses (stopped/disabled instances are reported as evidence).</w:t>
      </w:r>
    </w:p>
    <w:p>
      <w:pPr>
        <w:pStyle w:val="ListBullet"/>
        <w:numPr>
          <w:ilvl w:val="0"/>
          <w:numId w:val="1"/>
        </w:numPr>
      </w:pPr>
      <w:r>
        <w:rPr>
          <w:sz w:val="17"/>
          <w:szCs w:val="17"/>
        </w:rPr>
        <w:t xml:space="preserve">Passive failover rights with SA are not evaluated automatically - validation recommended for Always On / FCI secondaries.</w:t>
      </w:r>
    </w:p>
    <w:p>
      <w:pPr>
        <w:pStyle w:val="Heading2"/>
      </w:pPr>
      <w:bookmarkStart w:id="98" w:name="_TocMlat00098"/>
      <w:r>
        <w:t xml:space="preserve">SQL Server — SQL Server Standard core license</w:t>
      </w:r>
      <w:bookmarkEnd w:id="98"/>
    </w:p>
    <w:p>
      <w:pPr>
        <w:pStyle w:val="Heading3"/>
      </w:pPr>
      <w:bookmarkStart w:id="99" w:name="_TocMlat00099"/>
      <w:r>
        <w:t xml:space="preserve">SQL Server Standard core license × 4 Core — APP01</w:t>
      </w:r>
      <w:bookmarkEnd w:id="99"/>
    </w:p>
    <w:p>
      <w:pPr>
        <w:keepNext/>
        <w:spacing w:after="80"/>
      </w:pPr>
      <w:r>
        <w:rPr>
          <w:color w:val="5B6475"/>
          <w:sz w:val="17"/>
          <w:szCs w:val="17"/>
        </w:rPr>
        <w:t xml:space="preserve">Requirement REQ-0010  ·  Confidence: Medium</w:t>
      </w:r>
      <w:r>
        <w:rPr>
          <w:color w:val="5B6475"/>
          <w:sz w:val="17"/>
          <w:szCs w:val="17"/>
        </w:rPr>
        <w:t xml:space="preserve">  ·  Primary scenario (used in the gap analysis): Scenario 1: Per core</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RULE-SQL-007</w:t>
            </w:r>
            <w:r>
              <w:rPr>
                <w:sz w:val="17"/>
                <w:szCs w:val="17"/>
              </w:rPr>
              <w:t xml:space="preserve"> v1.0 — SQL Server per-core licensing</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59" w:history="1">
              <w:r>
                <w:rPr>
                  <w:rStyle w:val="Hyperlink"/>
                  <w:sz w:val="17"/>
                  <w:szCs w:val="17"/>
                </w:rPr>
                <w:t xml:space="preserve">Microsoft Product Terms - SQL Server / SQL Server licensing guide</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SQL Server Standard licensing requirement: 4 core licenses for APP01.</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4, gap </w:t>
            </w:r>
            <w:r>
              <w:rPr>
                <w:sz w:val="17"/>
                <w:szCs w:val="17"/>
              </w:rPr>
              <w:t xml:space="preserve">0</w:t>
            </w:r>
            <w:r>
              <w:rPr>
                <w:sz w:val="17"/>
                <w:szCs w:val="17"/>
              </w:rPr>
              <w:t xml:space="preserve"> · covered by: SQL Server 2019 Enterprise - 2 core pack x2 [Excel]: 4 (via SQL Server Enterprise core license)</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2019 · capability SQL-STD-CORE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2022 Standard (build 20348)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(Hyper-V)</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1</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4</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4</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Logical processors</w:t>
            </w:r>
          </w:p>
        </w:tc>
        <w:tc>
          <w:tcPr>
            <w:tcW w:w="3315" w:type="dxa"/>
          </w:tcPr>
          <w:p>
            <w:pPr>
              <w:pStyle w:val="TableText"/>
            </w:pPr>
            <w:r>
              <w:rPr>
                <w:sz w:val="16"/>
                <w:szCs w:val="16"/>
              </w:rPr>
              <w:t xml:space="preserve">4</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APP01</w:t>
            </w:r>
          </w:p>
        </w:tc>
        <w:tc>
          <w:tcPr>
            <w:tcW w:w="2535" w:type="dxa"/>
            <w:shd w:val="clear" w:color="auto" w:fill="FAFBFC"/>
          </w:tcPr>
          <w:p>
            <w:pPr>
              <w:pStyle w:val="TableText"/>
            </w:pPr>
            <w:r>
              <w:rPr>
                <w:sz w:val="16"/>
                <w:szCs w:val="16"/>
              </w:rPr>
              <w:t xml:space="preserve">SQL Database Engine</w:t>
            </w:r>
          </w:p>
        </w:tc>
        <w:tc>
          <w:tcPr>
            <w:tcW w:w="3315" w:type="dxa"/>
            <w:shd w:val="clear" w:color="auto" w:fill="FAFBFC"/>
          </w:tcPr>
          <w:p>
            <w:pPr>
              <w:pStyle w:val="TableText"/>
            </w:pPr>
            <w:r>
              <w:rPr>
                <w:sz w:val="16"/>
                <w:szCs w:val="16"/>
              </w:rPr>
              <w:t xml:space="preserve">APPDB: Standard 2019 (15.0.4355.3), service Running/Auto</w:t>
            </w:r>
          </w:p>
        </w:tc>
        <w:tc>
          <w:tcPr>
            <w:tcW w:w="1757" w:type="dxa"/>
            <w:shd w:val="clear" w:color="auto" w:fill="FAFBFC"/>
          </w:tcPr>
          <w:p>
            <w:pPr>
              <w:pStyle w:val="TableText"/>
            </w:pPr>
            <w:r>
              <w:rPr>
                <w:sz w:val="16"/>
                <w:szCs w:val="16"/>
              </w:rPr>
              <w:t xml:space="preserve">Registry / WMI</w:t>
            </w:r>
          </w:p>
        </w:tc>
      </w:tr>
      <w:tr>
        <w:trPr>
          <w:cantSplit/>
        </w:trPr>
        <w:tc>
          <w:tcPr>
            <w:tcW w:w="2145" w:type="dxa"/>
          </w:tcPr>
          <w:p>
            <w:pPr>
              <w:pStyle w:val="TableText"/>
            </w:pPr>
            <w:r>
              <w:rPr>
                <w:sz w:val="16"/>
                <w:szCs w:val="16"/>
              </w:rPr>
              <w:t xml:space="preserve">APP01</w:t>
            </w:r>
          </w:p>
        </w:tc>
        <w:tc>
          <w:tcPr>
            <w:tcW w:w="2535" w:type="dxa"/>
          </w:tcPr>
          <w:p>
            <w:pPr>
              <w:pStyle w:val="TableText"/>
            </w:pPr>
            <w:r>
              <w:rPr>
                <w:sz w:val="16"/>
                <w:szCs w:val="16"/>
              </w:rPr>
              <w:t xml:space="preserve">Licensable cores</w:t>
            </w:r>
          </w:p>
        </w:tc>
        <w:tc>
          <w:tcPr>
            <w:tcW w:w="3315" w:type="dxa"/>
          </w:tcPr>
          <w:p>
            <w:pPr>
              <w:pStyle w:val="TableText"/>
            </w:pPr>
            <w:r>
              <w:rPr>
                <w:sz w:val="16"/>
                <w:szCs w:val="16"/>
              </w:rPr>
              <w:t xml:space="preserve">4 (virtual OSE: vCPUs, min 4)</w:t>
            </w:r>
          </w:p>
        </w:tc>
        <w:tc>
          <w:tcPr>
            <w:tcW w:w="1757" w:type="dxa"/>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Installed instances are treated as requiring licenses (stopped/disabled instances are reported as evidence).</w:t>
      </w:r>
    </w:p>
    <w:p>
      <w:pPr>
        <w:pStyle w:val="ListBullet"/>
        <w:numPr>
          <w:ilvl w:val="0"/>
          <w:numId w:val="1"/>
        </w:numPr>
      </w:pPr>
      <w:r>
        <w:rPr>
          <w:sz w:val="17"/>
          <w:szCs w:val="17"/>
        </w:rPr>
        <w:t xml:space="preserve">Passive failover rights with SA are not evaluated automatically - validation recommended for Always On / FCI secondaries.</w:t>
      </w:r>
    </w:p>
    <w:p>
      <w:pPr>
        <w:pStyle w:val="Heading3"/>
      </w:pPr>
      <w:bookmarkStart w:id="100" w:name="_TocMlat00100"/>
      <w:r>
        <w:t xml:space="preserve">SQL Server Standard core license × 6 Core — ERP01</w:t>
      </w:r>
      <w:bookmarkEnd w:id="100"/>
    </w:p>
    <w:p>
      <w:pPr>
        <w:keepNext/>
        <w:spacing w:after="80"/>
      </w:pPr>
      <w:r>
        <w:rPr>
          <w:color w:val="5B6475"/>
          <w:sz w:val="17"/>
          <w:szCs w:val="17"/>
        </w:rPr>
        <w:t xml:space="preserve">Requirement REQ-0011  ·  Confidence: Medium</w:t>
      </w:r>
      <w:r>
        <w:rPr>
          <w:color w:val="5B6475"/>
          <w:sz w:val="17"/>
          <w:szCs w:val="17"/>
        </w:rPr>
        <w:t xml:space="preserve">  ·  Primary scenario (used in the gap analysis): Scenario 1: Per core</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RULE-SQL-007</w:t>
            </w:r>
            <w:r>
              <w:rPr>
                <w:sz w:val="17"/>
                <w:szCs w:val="17"/>
              </w:rPr>
              <w:t xml:space="preserve"> v1.0 — SQL Server per-core licensing</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0" w:history="1">
              <w:r>
                <w:rPr>
                  <w:rStyle w:val="Hyperlink"/>
                  <w:sz w:val="17"/>
                  <w:szCs w:val="17"/>
                </w:rPr>
                <w:t xml:space="preserve">Microsoft Product Terms - SQL Server / SQL Server licensing guide</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SQL Server Standard licensing requirement: 6 core licenses for ERP01.</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6, gap </w:t>
            </w:r>
            <w:r>
              <w:rPr>
                <w:sz w:val="17"/>
                <w:szCs w:val="17"/>
              </w:rPr>
              <w:t xml:space="preserve">0</w:t>
            </w:r>
            <w:r>
              <w:rPr>
                <w:sz w:val="17"/>
                <w:szCs w:val="17"/>
              </w:rPr>
              <w:t xml:space="preserve"> · covered by: SQL Server 2017 Standard - core [Excel]: 6</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2017 · capability SQL-STD-CORE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ERP01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2019 Standard (build 17763)</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ERP01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ERP01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Virtual (VMware)</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ERP01</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1</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ERP01</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6</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ERP01</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6</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ERP01</w:t>
            </w:r>
          </w:p>
        </w:tc>
        <w:tc>
          <w:tcPr>
            <w:tcW w:w="2535" w:type="dxa"/>
          </w:tcPr>
          <w:p>
            <w:pPr>
              <w:pStyle w:val="TableText"/>
            </w:pPr>
            <w:r>
              <w:rPr>
                <w:sz w:val="16"/>
                <w:szCs w:val="16"/>
              </w:rPr>
              <w:t xml:space="preserve">Logical processors</w:t>
            </w:r>
          </w:p>
        </w:tc>
        <w:tc>
          <w:tcPr>
            <w:tcW w:w="3315" w:type="dxa"/>
          </w:tcPr>
          <w:p>
            <w:pPr>
              <w:pStyle w:val="TableText"/>
            </w:pPr>
            <w:r>
              <w:rPr>
                <w:sz w:val="16"/>
                <w:szCs w:val="16"/>
              </w:rPr>
              <w:t xml:space="preserve">6</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ERP01</w:t>
            </w:r>
          </w:p>
        </w:tc>
        <w:tc>
          <w:tcPr>
            <w:tcW w:w="2535" w:type="dxa"/>
            <w:shd w:val="clear" w:color="auto" w:fill="FAFBFC"/>
          </w:tcPr>
          <w:p>
            <w:pPr>
              <w:pStyle w:val="TableText"/>
            </w:pPr>
            <w:r>
              <w:rPr>
                <w:sz w:val="16"/>
                <w:szCs w:val="16"/>
              </w:rPr>
              <w:t xml:space="preserve">SQL Database Engine</w:t>
            </w:r>
          </w:p>
        </w:tc>
        <w:tc>
          <w:tcPr>
            <w:tcW w:w="3315" w:type="dxa"/>
            <w:shd w:val="clear" w:color="auto" w:fill="FAFBFC"/>
          </w:tcPr>
          <w:p>
            <w:pPr>
              <w:pStyle w:val="TableText"/>
            </w:pPr>
            <w:r>
              <w:rPr>
                <w:sz w:val="16"/>
                <w:szCs w:val="16"/>
              </w:rPr>
              <w:t xml:space="preserve">ERP: Standard 2017 (14.0.3465.1), service Running/Auto</w:t>
            </w:r>
          </w:p>
        </w:tc>
        <w:tc>
          <w:tcPr>
            <w:tcW w:w="1757" w:type="dxa"/>
            <w:shd w:val="clear" w:color="auto" w:fill="FAFBFC"/>
          </w:tcPr>
          <w:p>
            <w:pPr>
              <w:pStyle w:val="TableText"/>
            </w:pPr>
            <w:r>
              <w:rPr>
                <w:sz w:val="16"/>
                <w:szCs w:val="16"/>
              </w:rPr>
              <w:t xml:space="preserve">Registry / WMI</w:t>
            </w:r>
          </w:p>
        </w:tc>
      </w:tr>
      <w:tr>
        <w:trPr>
          <w:cantSplit/>
        </w:trPr>
        <w:tc>
          <w:tcPr>
            <w:tcW w:w="2145" w:type="dxa"/>
          </w:tcPr>
          <w:p>
            <w:pPr>
              <w:pStyle w:val="TableText"/>
            </w:pPr>
            <w:r>
              <w:rPr>
                <w:sz w:val="16"/>
                <w:szCs w:val="16"/>
              </w:rPr>
              <w:t xml:space="preserve">ERP01</w:t>
            </w:r>
          </w:p>
        </w:tc>
        <w:tc>
          <w:tcPr>
            <w:tcW w:w="2535" w:type="dxa"/>
          </w:tcPr>
          <w:p>
            <w:pPr>
              <w:pStyle w:val="TableText"/>
            </w:pPr>
            <w:r>
              <w:rPr>
                <w:sz w:val="16"/>
                <w:szCs w:val="16"/>
              </w:rPr>
              <w:t xml:space="preserve">Licensable cores</w:t>
            </w:r>
          </w:p>
        </w:tc>
        <w:tc>
          <w:tcPr>
            <w:tcW w:w="3315" w:type="dxa"/>
          </w:tcPr>
          <w:p>
            <w:pPr>
              <w:pStyle w:val="TableText"/>
            </w:pPr>
            <w:r>
              <w:rPr>
                <w:sz w:val="16"/>
                <w:szCs w:val="16"/>
              </w:rPr>
              <w:t xml:space="preserve">6 (virtual OSE: vCPUs, min 4)</w:t>
            </w:r>
          </w:p>
        </w:tc>
        <w:tc>
          <w:tcPr>
            <w:tcW w:w="1757" w:type="dxa"/>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Installed instances are treated as requiring licenses (stopped/disabled instances are reported as evidence).</w:t>
      </w:r>
    </w:p>
    <w:p>
      <w:pPr>
        <w:pStyle w:val="ListBullet"/>
        <w:numPr>
          <w:ilvl w:val="0"/>
          <w:numId w:val="1"/>
        </w:numPr>
      </w:pPr>
      <w:r>
        <w:rPr>
          <w:sz w:val="17"/>
          <w:szCs w:val="17"/>
        </w:rPr>
        <w:t xml:space="preserve">Passive failover rights with SA are not evaluated automatically - validation recommended for Always On / FCI secondaries.</w:t>
      </w:r>
    </w:p>
    <w:p>
      <w:pPr>
        <w:pStyle w:val="Heading2"/>
      </w:pPr>
      <w:bookmarkStart w:id="101" w:name="_TocMlat00101"/>
      <w:r>
        <w:t xml:space="preserve">Visio — Visio Professional (Device)</w:t>
      </w:r>
      <w:bookmarkEnd w:id="101"/>
    </w:p>
    <w:p>
      <w:pPr>
        <w:pStyle w:val="Heading3"/>
      </w:pPr>
      <w:bookmarkStart w:id="102" w:name="_TocMlat00102"/>
      <w:r>
        <w:t xml:space="preserve">Visio Professional (Device) × 1 Device — PC-008</w:t>
      </w:r>
      <w:bookmarkEnd w:id="102"/>
    </w:p>
    <w:p>
      <w:pPr>
        <w:keepNext/>
        <w:spacing w:after="80"/>
      </w:pPr>
      <w:r>
        <w:rPr>
          <w:color w:val="5B6475"/>
          <w:sz w:val="17"/>
          <w:szCs w:val="17"/>
        </w:rPr>
        <w:t xml:space="preserve">Requirement REQ-0017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RULE-OFFICE-013</w:t>
            </w:r>
            <w:r>
              <w:rPr>
                <w:sz w:val="17"/>
                <w:szCs w:val="17"/>
              </w:rPr>
              <w:t xml:space="preserve"> v1.0 — Office, Visio and Project perpetual licenses (per device)</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1" w:history="1">
              <w:r>
                <w:rPr>
                  <w:rStyle w:val="Hyperlink"/>
                  <w:sz w:val="17"/>
                  <w:szCs w:val="17"/>
                </w:rPr>
                <w:t xml:space="preserve">Microsoft Product Terms - Office / Visio / Project</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one Visio Professional 2021 (or later) license for PC-008.</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Professional · version 2021 · capability VISIO-PRO-DEVICE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PC-008</w:t>
            </w:r>
          </w:p>
        </w:tc>
        <w:tc>
          <w:tcPr>
            <w:tcW w:w="2535" w:type="dxa"/>
          </w:tcPr>
          <w:p>
            <w:pPr>
              <w:pStyle w:val="TableText"/>
            </w:pPr>
            <w:r>
              <w:rPr>
                <w:sz w:val="16"/>
                <w:szCs w:val="16"/>
              </w:rPr>
              <w:t xml:space="preserve">Installed product</w:t>
            </w:r>
          </w:p>
        </w:tc>
        <w:tc>
          <w:tcPr>
            <w:tcW w:w="3315" w:type="dxa"/>
          </w:tcPr>
          <w:p>
            <w:pPr>
              <w:pStyle w:val="TableText"/>
            </w:pPr>
            <w:r>
              <w:rPr>
                <w:sz w:val="16"/>
                <w:szCs w:val="16"/>
              </w:rPr>
              <w:t xml:space="preserve">Visio Professional 2021</w:t>
            </w:r>
          </w:p>
        </w:tc>
        <w:tc>
          <w:tcPr>
            <w:tcW w:w="1757" w:type="dxa"/>
          </w:tcPr>
          <w:p>
            <w:pPr>
              <w:pStyle w:val="TableText"/>
            </w:pPr>
            <w:r>
              <w:rPr>
                <w:sz w:val="16"/>
                <w:szCs w:val="16"/>
              </w:rPr>
              <w:t xml:space="preserve">Registry (Click-to-Run configuration)</w:t>
            </w:r>
          </w:p>
        </w:tc>
      </w:tr>
      <w:tr>
        <w:trPr>
          <w:cantSplit/>
        </w:trPr>
        <w:tc>
          <w:tcPr>
            <w:tcW w:w="2145" w:type="dxa"/>
            <w:shd w:val="clear" w:color="auto" w:fill="FAFBFC"/>
          </w:tcPr>
          <w:p>
            <w:pPr>
              <w:pStyle w:val="TableText"/>
            </w:pPr>
            <w:r>
              <w:rPr>
                <w:sz w:val="16"/>
                <w:szCs w:val="16"/>
              </w:rPr>
              <w:t xml:space="preserve">PC-008</w:t>
            </w:r>
          </w:p>
        </w:tc>
        <w:tc>
          <w:tcPr>
            <w:tcW w:w="2535" w:type="dxa"/>
            <w:shd w:val="clear" w:color="auto" w:fill="FAFBFC"/>
          </w:tcPr>
          <w:p>
            <w:pPr>
              <w:pStyle w:val="TableText"/>
            </w:pPr>
            <w:r>
              <w:rPr>
                <w:sz w:val="16"/>
                <w:szCs w:val="16"/>
              </w:rPr>
              <w:t xml:space="preserve">Product ID / channel</w:t>
            </w:r>
          </w:p>
        </w:tc>
        <w:tc>
          <w:tcPr>
            <w:tcW w:w="3315" w:type="dxa"/>
            <w:shd w:val="clear" w:color="auto" w:fill="FAFBFC"/>
          </w:tcPr>
          <w:p>
            <w:pPr>
              <w:pStyle w:val="TableText"/>
            </w:pPr>
            <w:r>
              <w:rPr>
                <w:sz w:val="16"/>
                <w:szCs w:val="16"/>
              </w:rPr>
              <w:t xml:space="preserve">VisioPro2021Retail / Retail</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PC-008</w:t>
            </w:r>
          </w:p>
        </w:tc>
        <w:tc>
          <w:tcPr>
            <w:tcW w:w="2535" w:type="dxa"/>
          </w:tcPr>
          <w:p>
            <w:pPr>
              <w:pStyle w:val="TableText"/>
            </w:pPr>
            <w:r>
              <w:rPr>
                <w:sz w:val="16"/>
                <w:szCs w:val="16"/>
              </w:rPr>
              <w:t xml:space="preserve">Version</w:t>
            </w:r>
          </w:p>
        </w:tc>
        <w:tc>
          <w:tcPr>
            <w:tcW w:w="3315" w:type="dxa"/>
          </w:tcPr>
          <w:p>
            <w:pPr>
              <w:pStyle w:val="TableText"/>
            </w:pPr>
          </w:p>
        </w:tc>
        <w:tc>
          <w:tcPr>
            <w:tcW w:w="1757" w:type="dxa"/>
          </w:tcPr>
          <w:p>
            <w:pPr>
              <w:pStyle w:val="TableText"/>
            </w:pPr>
            <w:r>
              <w:rPr>
                <w:sz w:val="16"/>
                <w:szCs w:val="16"/>
              </w:rPr>
              <w:t xml:space="preserve">Registry</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Volume Licensing Professional Plus is accepted as covering Standard/Professional/Home &amp; Business installs (down-edition).</w:t>
      </w:r>
    </w:p>
    <w:p>
      <w:pPr>
        <w:pStyle w:val="ListBullet"/>
        <w:numPr>
          <w:ilvl w:val="0"/>
          <w:numId w:val="1"/>
        </w:numPr>
      </w:pPr>
      <w:r>
        <w:rPr>
          <w:sz w:val="17"/>
          <w:szCs w:val="17"/>
        </w:rPr>
        <w:t xml:space="preserve">Standalone Office applications are reported for validation.</w:t>
      </w:r>
    </w:p>
    <w:p>
      <w:pPr>
        <w:pStyle w:val="Heading2"/>
      </w:pPr>
      <w:bookmarkStart w:id="103" w:name="_TocMlat00103"/>
      <w:r>
        <w:t xml:space="preserve">Visual Studio — Visual Studio Professional subscription (User)</w:t>
      </w:r>
      <w:bookmarkEnd w:id="103"/>
    </w:p>
    <w:p>
      <w:pPr>
        <w:pStyle w:val="Heading3"/>
      </w:pPr>
      <w:bookmarkStart w:id="104" w:name="_TocMlat00104"/>
      <w:r>
        <w:t xml:space="preserve">Visual Studio Professional subscription (User) × 1 User — Organization</w:t>
      </w:r>
      <w:bookmarkEnd w:id="104"/>
    </w:p>
    <w:p>
      <w:pPr>
        <w:keepNext/>
        <w:spacing w:after="80"/>
      </w:pPr>
      <w:r>
        <w:rPr>
          <w:color w:val="5B6475"/>
          <w:sz w:val="17"/>
          <w:szCs w:val="17"/>
        </w:rPr>
        <w:t xml:space="preserve">Requirement REQ-0022  ·  Confidence: Low</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RULE-VS-017</w:t>
            </w:r>
            <w:r>
              <w:rPr>
                <w:sz w:val="17"/>
                <w:szCs w:val="17"/>
              </w:rPr>
              <w:t xml:space="preserve"> v1.0 — Visual Studio Professional / Enterprise</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2" w:history="1">
              <w:r>
                <w:rPr>
                  <w:rStyle w:val="Hyperlink"/>
                  <w:sz w:val="17"/>
                  <w:szCs w:val="17"/>
                </w:rPr>
                <w:t xml:space="preserve">Visual Studio license terms</w:t>
              </w:r>
            </w:hyperlink>
            <w:r>
              <w:rPr>
                <w:color w:val="5B6475"/>
                <w:sz w:val="15"/>
                <w:szCs w:val="15"/>
              </w:rPr>
              <w:t xml:space="preserve"> (https://visualstudio.microsoft.com/license-terms/)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 Visual Studio Professional subscription (User) for 1 device(s) with the edition installed.</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Professional · capability VS-PRO-USER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PC-010</w:t>
            </w:r>
          </w:p>
        </w:tc>
        <w:tc>
          <w:tcPr>
            <w:tcW w:w="2535" w:type="dxa"/>
          </w:tcPr>
          <w:p>
            <w:pPr>
              <w:pStyle w:val="TableText"/>
            </w:pPr>
            <w:r>
              <w:rPr>
                <w:sz w:val="16"/>
                <w:szCs w:val="16"/>
              </w:rPr>
              <w:t xml:space="preserve">Installed</w:t>
            </w:r>
          </w:p>
        </w:tc>
        <w:tc>
          <w:tcPr>
            <w:tcW w:w="3315" w:type="dxa"/>
          </w:tcPr>
          <w:p>
            <w:pPr>
              <w:pStyle w:val="TableText"/>
            </w:pPr>
            <w:r>
              <w:rPr>
                <w:sz w:val="16"/>
                <w:szCs w:val="16"/>
              </w:rPr>
              <w:t xml:space="preserve">Visual Studio Professional 2022</w:t>
            </w:r>
          </w:p>
        </w:tc>
        <w:tc>
          <w:tcPr>
            <w:tcW w:w="1757" w:type="dxa"/>
          </w:tcPr>
          <w:p>
            <w:pPr>
              <w:pStyle w:val="TableText"/>
            </w:pPr>
            <w:r>
              <w:rPr>
                <w:sz w:val="16"/>
                <w:szCs w:val="16"/>
              </w:rPr>
              <w:t xml:space="preserve">Registry (Add/Remove Programs)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One developer per device with Visual Studio installed (adjust with 'Devices per user').</w:t>
      </w:r>
    </w:p>
    <w:p>
      <w:pPr>
        <w:pStyle w:val="Heading2"/>
      </w:pPr>
      <w:bookmarkStart w:id="105" w:name="_TocMlat00105"/>
      <w:r>
        <w:t xml:space="preserve">Windows — Windows Enterprise right (Device)</w:t>
      </w:r>
      <w:bookmarkEnd w:id="105"/>
    </w:p>
    <w:p>
      <w:pPr>
        <w:pStyle w:val="Heading3"/>
      </w:pPr>
      <w:bookmarkStart w:id="106" w:name="_TocMlat00106"/>
      <w:r>
        <w:t xml:space="preserve">Windows Enterprise right (Device) × 1 Device — PC-009</w:t>
      </w:r>
      <w:bookmarkEnd w:id="106"/>
    </w:p>
    <w:p>
      <w:pPr>
        <w:keepNext/>
        <w:spacing w:after="80"/>
      </w:pPr>
      <w:r>
        <w:rPr>
          <w:color w:val="5B6475"/>
          <w:sz w:val="17"/>
          <w:szCs w:val="17"/>
        </w:rPr>
        <w:t xml:space="preserve">Requirement REQ-0016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RULE-WINCLIENT-011</w:t>
            </w:r>
            <w:r>
              <w:rPr>
                <w:sz w:val="17"/>
                <w:szCs w:val="17"/>
              </w:rPr>
              <w:t xml:space="preserve"> v1.0 — Windows Enterprise edition entitlement</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3" w:history="1">
              <w:r>
                <w:rPr>
                  <w:rStyle w:val="Hyperlink"/>
                  <w:sz w:val="17"/>
                  <w:szCs w:val="17"/>
                </w:rPr>
                <w:t xml:space="preserve">Microsoft Learn - Windows commercial licensing overview</w:t>
              </w:r>
            </w:hyperlink>
            <w:r>
              <w:rPr>
                <w:color w:val="5B6475"/>
                <w:sz w:val="15"/>
                <w:szCs w:val="15"/>
              </w:rPr>
              <w:t xml:space="preserve"> (https://learn.microsoft.com/windows/whats-new/windows-licensing)</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Windows Enterprise rights for PC-009 (Enterprise) through Windows Enterprise E3/E5, Microsoft 365 E3/E5 or a Volume Licensing upgrade.</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 gap </w:t>
            </w:r>
            <w:r>
              <w:rPr>
                <w:sz w:val="17"/>
                <w:szCs w:val="17"/>
              </w:rPr>
              <w:t xml:space="preserve">0</w:t>
            </w:r>
            <w:r>
              <w:rPr>
                <w:sz w:val="17"/>
                <w:szCs w:val="17"/>
              </w:rPr>
              <w:t xml:space="preserve"> · covered by: Microsoft 365 E3 - per user (subscription) [SPE_E3]: 1 user license(s) x 1 device(s) (via Windows Enterprise E3/E5 (User))</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Enterprise · capability WIN-ENT-DEVICE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PC-009</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11 Enterprise (build 26100)</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PC-009</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Enterprise</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PC-009</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Physical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PC-009</w:t>
            </w:r>
          </w:p>
        </w:tc>
        <w:tc>
          <w:tcPr>
            <w:tcW w:w="2535" w:type="dxa"/>
            <w:shd w:val="clear" w:color="auto" w:fill="FAFBFC"/>
          </w:tcPr>
          <w:p>
            <w:pPr>
              <w:pStyle w:val="TableText"/>
            </w:pPr>
            <w:r>
              <w:rPr>
                <w:sz w:val="16"/>
                <w:szCs w:val="16"/>
              </w:rPr>
              <w:t xml:space="preserve">Activation channel</w:t>
            </w:r>
          </w:p>
        </w:tc>
        <w:tc>
          <w:tcPr>
            <w:tcW w:w="3315" w:type="dxa"/>
            <w:shd w:val="clear" w:color="auto" w:fill="FAFBFC"/>
          </w:tcPr>
          <w:p>
            <w:pPr>
              <w:pStyle w:val="TableText"/>
            </w:pPr>
            <w:r>
              <w:rPr>
                <w:sz w:val="16"/>
                <w:szCs w:val="16"/>
              </w:rPr>
              <w:t xml:space="preserve">Volume (KMS) / Licensed</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PC-009</w:t>
            </w:r>
          </w:p>
        </w:tc>
        <w:tc>
          <w:tcPr>
            <w:tcW w:w="2535" w:type="dxa"/>
          </w:tcPr>
          <w:p>
            <w:pPr>
              <w:pStyle w:val="TableText"/>
            </w:pPr>
            <w:r>
              <w:rPr>
                <w:sz w:val="16"/>
                <w:szCs w:val="16"/>
              </w:rPr>
              <w:t xml:space="preserve">Entra ID joined</w:t>
            </w:r>
          </w:p>
        </w:tc>
        <w:tc>
          <w:tcPr>
            <w:tcW w:w="3315" w:type="dxa"/>
          </w:tcPr>
          <w:p>
            <w:pPr>
              <w:pStyle w:val="TableText"/>
            </w:pPr>
            <w:r>
              <w:rPr>
                <w:sz w:val="16"/>
                <w:szCs w:val="16"/>
              </w:rPr>
              <w:t xml:space="preserve">True</w:t>
            </w:r>
          </w:p>
        </w:tc>
        <w:tc>
          <w:tcPr>
            <w:tcW w:w="1757" w:type="dxa"/>
          </w:tcPr>
          <w:p>
            <w:pPr>
              <w:pStyle w:val="TableText"/>
            </w:pPr>
            <w:r>
              <w:rPr>
                <w:sz w:val="16"/>
                <w:szCs w:val="16"/>
              </w:rPr>
              <w:t xml:space="preserve">Registry</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User-based subscriptions (Windows E3/E5, Microsoft 365 E3/E5) cover devices 1:1 unless 'Devices per user' is raised in Settings (max 5).</w:t>
      </w:r>
    </w:p>
    <w:p>
      <w:pPr>
        <w:pStyle w:val="Heading2"/>
      </w:pPr>
      <w:bookmarkStart w:id="107" w:name="_TocMlat00107"/>
      <w:r>
        <w:t xml:space="preserve">Windows — Windows Pro qualifying license (Device)</w:t>
      </w:r>
      <w:bookmarkEnd w:id="107"/>
    </w:p>
    <w:p>
      <w:pPr>
        <w:pStyle w:val="Heading3"/>
      </w:pPr>
      <w:bookmarkStart w:id="108" w:name="_TocMlat00108"/>
      <w:r>
        <w:t xml:space="preserve">Windows Pro qualifying license (Device) × 1 Device — PC-005</w:t>
      </w:r>
      <w:bookmarkEnd w:id="108"/>
    </w:p>
    <w:p>
      <w:pPr>
        <w:keepNext/>
        <w:spacing w:after="80"/>
      </w:pPr>
      <w:r>
        <w:rPr>
          <w:color w:val="5B6475"/>
          <w:sz w:val="17"/>
          <w:szCs w:val="17"/>
        </w:rPr>
        <w:t xml:space="preserve">Requirement REQ-0015  ·  Confidence: Medium</w:t>
      </w:r>
      <w:r>
        <w:rPr>
          <w:sz w:val="17"/>
          <w:szCs w:val="17"/>
        </w:rPr>
        <w:t xml:space="preserve">  </w:t>
      </w:r>
      <w:r>
        <w:rPr>
          <w:b/>
          <w:bCs/>
          <w:color w:val="5E1A8A"/>
          <w:sz w:val="17"/>
          <w:szCs w:val="17"/>
          <w:shd w:val="clear" w:color="auto" w:fill="F0E4F7"/>
        </w:rPr>
        <w:t xml:space="preserve"> Validation Required </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RULE-WINCLIENT-010</w:t>
            </w:r>
            <w:r>
              <w:rPr>
                <w:sz w:val="17"/>
                <w:szCs w:val="17"/>
              </w:rPr>
              <w:t xml:space="preserve"> v1.1 — Windows activation and license state (servers and clients)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2026-10-02</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4" w:history="1">
              <w:r>
                <w:rPr>
                  <w:rStyle w:val="Hyperlink"/>
                  <w:sz w:val="17"/>
                  <w:szCs w:val="17"/>
                </w:rPr>
                <w:t xml:space="preserve">Microsoft Learn - Windows commercial licensing overview</w:t>
              </w:r>
            </w:hyperlink>
            <w:r>
              <w:rPr>
                <w:color w:val="5B6475"/>
                <w:sz w:val="15"/>
                <w:szCs w:val="15"/>
              </w:rPr>
              <w:t xml:space="preserve"> (https://learn.microsoft.com/windows/whats-new/windows-licensing)</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a qualifying Windows license for PC-005 - the installed Windows is not activated (Notification).</w:t>
            </w:r>
          </w:p>
        </w:tc>
      </w:tr>
      <w:tr>
        <w:trPr>
          <w:cantSplit/>
        </w:trPr>
        <w:tc>
          <w:tcPr>
            <w:tcW w:w="1950" w:type="dxa"/>
          </w:tcPr>
          <w:p>
            <w:pPr>
              <w:pStyle w:val="TableText"/>
            </w:pPr>
            <w:r>
              <w:rPr>
                <w:color w:val="5B6475"/>
                <w:sz w:val="17"/>
                <w:szCs w:val="17"/>
              </w:rPr>
              <w:t xml:space="preserve">Validation required</w:t>
            </w:r>
          </w:p>
        </w:tc>
        <w:tc>
          <w:tcPr>
            <w:tcW w:w="7802" w:type="dxa"/>
          </w:tcPr>
          <w:p>
            <w:pPr>
              <w:pStyle w:val="TableText"/>
            </w:pPr>
            <w:r>
              <w:rPr>
                <w:sz w:val="17"/>
                <w:szCs w:val="17"/>
              </w:rPr>
              <w:t xml:space="preserve">Not activated - the device may lack a genuine license, or activation may simply be pending.</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 gap </w:t>
            </w:r>
            <w:r>
              <w:rPr>
                <w:sz w:val="17"/>
                <w:szCs w:val="17"/>
              </w:rPr>
              <w:t xml:space="preserve">0</w:t>
            </w:r>
            <w:r>
              <w:rPr>
                <w:sz w:val="17"/>
                <w:szCs w:val="17"/>
              </w:rPr>
              <w:t xml:space="preserve"> · covered by: Windows 11 Pro upgrade (spare) [Excel]: 1</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Pro · capability WIN-PRO-DEVICE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11 Pro (build 26100)</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Pro</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Physical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Windows license state</w:t>
            </w:r>
          </w:p>
        </w:tc>
        <w:tc>
          <w:tcPr>
            <w:tcW w:w="3315" w:type="dxa"/>
            <w:shd w:val="clear" w:color="auto" w:fill="FAFBFC"/>
          </w:tcPr>
          <w:p>
            <w:pPr>
              <w:pStyle w:val="TableText"/>
            </w:pPr>
            <w:r>
              <w:rPr>
                <w:sz w:val="16"/>
                <w:szCs w:val="16"/>
              </w:rPr>
              <w:t xml:space="preserve">Not activated (Notification)</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Activation channel</w:t>
            </w:r>
          </w:p>
        </w:tc>
        <w:tc>
          <w:tcPr>
            <w:tcW w:w="3315" w:type="dxa"/>
          </w:tcPr>
          <w:p>
            <w:pPr>
              <w:pStyle w:val="TableText"/>
            </w:pPr>
            <w:r>
              <w:rPr>
                <w:sz w:val="16"/>
                <w:szCs w:val="16"/>
              </w:rPr>
              <w:t xml:space="preserve">Retail</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Partial product key</w:t>
            </w:r>
          </w:p>
        </w:tc>
        <w:tc>
          <w:tcPr>
            <w:tcW w:w="3315" w:type="dxa"/>
            <w:shd w:val="clear" w:color="auto" w:fill="FAFBFC"/>
          </w:tcPr>
          <w:p>
            <w:pPr>
              <w:pStyle w:val="TableText"/>
            </w:pPr>
            <w:r>
              <w:rPr>
                <w:sz w:val="16"/>
                <w:szCs w:val="16"/>
              </w:rPr>
              <w:t xml:space="preserve">DEMO2</w:t>
            </w:r>
          </w:p>
        </w:tc>
        <w:tc>
          <w:tcPr>
            <w:tcW w:w="1757" w:type="dxa"/>
            <w:shd w:val="clear" w:color="auto" w:fill="FAFBFC"/>
          </w:tcPr>
          <w:p>
            <w:pPr>
              <w:pStyle w:val="TableText"/>
            </w:pPr>
            <w:r>
              <w:rPr>
                <w:sz w:val="16"/>
                <w:szCs w:val="16"/>
              </w:rPr>
              <w:t xml:space="preserve">WMI (SoftwareLicensingProduct)</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Grace period remaining</w:t>
            </w:r>
          </w:p>
        </w:tc>
        <w:tc>
          <w:tcPr>
            <w:tcW w:w="3315" w:type="dxa"/>
          </w:tcPr>
          <w:p>
            <w:pPr>
              <w:pStyle w:val="TableText"/>
            </w:pPr>
            <w:r>
              <w:rPr>
                <w:sz w:val="16"/>
                <w:szCs w:val="16"/>
              </w:rPr>
              <w:t xml:space="preserve">0 day(s)</w:t>
            </w:r>
          </w:p>
        </w:tc>
        <w:tc>
          <w:tcPr>
            <w:tcW w:w="1757" w:type="dxa"/>
          </w:tcPr>
          <w:p>
            <w:pPr>
              <w:pStyle w:val="TableText"/>
            </w:pPr>
            <w:r>
              <w:rPr>
                <w:sz w:val="16"/>
                <w:szCs w:val="16"/>
              </w:rPr>
              <w:t xml:space="preserve">WMI (SoftwareLicensingProduct)</w:t>
            </w:r>
          </w:p>
        </w:tc>
      </w:tr>
      <w:tr>
        <w:trPr>
          <w:cantSplit/>
        </w:trPr>
        <w:tc>
          <w:tcPr>
            <w:tcW w:w="2145" w:type="dxa"/>
            <w:shd w:val="clear" w:color="auto" w:fill="FAFBFC"/>
          </w:tcPr>
          <w:p>
            <w:pPr>
              <w:pStyle w:val="TableText"/>
            </w:pPr>
            <w:r>
              <w:rPr>
                <w:sz w:val="16"/>
                <w:szCs w:val="16"/>
              </w:rPr>
              <w:t xml:space="preserve">PC-005</w:t>
            </w:r>
          </w:p>
        </w:tc>
        <w:tc>
          <w:tcPr>
            <w:tcW w:w="2535" w:type="dxa"/>
            <w:shd w:val="clear" w:color="auto" w:fill="FAFBFC"/>
          </w:tcPr>
          <w:p>
            <w:pPr>
              <w:pStyle w:val="TableText"/>
            </w:pPr>
            <w:r>
              <w:rPr>
                <w:sz w:val="16"/>
                <w:szCs w:val="16"/>
              </w:rPr>
              <w:t xml:space="preserve">Firmware (OEM) product key</w:t>
            </w:r>
          </w:p>
        </w:tc>
        <w:tc>
          <w:tcPr>
            <w:tcW w:w="3315" w:type="dxa"/>
            <w:shd w:val="clear" w:color="auto" w:fill="FAFBFC"/>
          </w:tcPr>
          <w:p>
            <w:pPr>
              <w:pStyle w:val="TableText"/>
            </w:pPr>
            <w:r>
              <w:rPr>
                <w:sz w:val="16"/>
                <w:szCs w:val="16"/>
              </w:rPr>
              <w:t xml:space="preserve">[4.0] Professional OEM:DM (description only - the key is never read)</w:t>
            </w:r>
          </w:p>
        </w:tc>
        <w:tc>
          <w:tcPr>
            <w:tcW w:w="1757" w:type="dxa"/>
            <w:shd w:val="clear" w:color="auto" w:fill="FAFBFC"/>
          </w:tcPr>
          <w:p>
            <w:pPr>
              <w:pStyle w:val="TableText"/>
            </w:pPr>
            <w:r>
              <w:rPr>
                <w:sz w:val="16"/>
                <w:szCs w:val="16"/>
              </w:rPr>
              <w:t xml:space="preserve">WMI (SoftwareLicensingService)</w:t>
            </w:r>
          </w:p>
        </w:tc>
      </w:tr>
      <w:tr>
        <w:trPr>
          <w:cantSplit/>
        </w:trPr>
        <w:tc>
          <w:tcPr>
            <w:tcW w:w="2145" w:type="dxa"/>
          </w:tcPr>
          <w:p>
            <w:pPr>
              <w:pStyle w:val="TableText"/>
            </w:pPr>
            <w:r>
              <w:rPr>
                <w:sz w:val="16"/>
                <w:szCs w:val="16"/>
              </w:rPr>
              <w:t xml:space="preserve">PC-005</w:t>
            </w:r>
          </w:p>
        </w:tc>
        <w:tc>
          <w:tcPr>
            <w:tcW w:w="2535" w:type="dxa"/>
          </w:tcPr>
          <w:p>
            <w:pPr>
              <w:pStyle w:val="TableText"/>
            </w:pPr>
            <w:r>
              <w:rPr>
                <w:sz w:val="16"/>
                <w:szCs w:val="16"/>
              </w:rPr>
              <w:t xml:space="preserve">Collected via</w:t>
            </w:r>
          </w:p>
        </w:tc>
        <w:tc>
          <w:tcPr>
            <w:tcW w:w="3315" w:type="dxa"/>
          </w:tcPr>
          <w:p>
            <w:pPr>
              <w:pStyle w:val="TableText"/>
            </w:pPr>
            <w:r>
              <w:rPr>
                <w:sz w:val="16"/>
                <w:szCs w:val="16"/>
              </w:rPr>
              <w:t xml:space="preserve">WMI / DCOM (TCP 135) - 10.10.30.105 [Range 10.10.30.0/24] as Domain admin (DEMO)</w:t>
            </w:r>
          </w:p>
        </w:tc>
        <w:tc>
          <w:tcPr>
            <w:tcW w:w="1757" w:type="dxa"/>
          </w:tcPr>
          <w:p>
            <w:pPr>
              <w:pStyle w:val="TableText"/>
            </w:pPr>
            <w:r>
              <w:rPr>
                <w:sz w:val="16"/>
                <w:szCs w:val="16"/>
              </w:rPr>
              <w:t xml:space="preserve">Scanned (WMI)</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An activated OEM/retail license is accepted as evidence of a qualifying license; proof of license (invoice/COA) is outside the scope of technical discovery.</w:t>
      </w:r>
    </w:p>
    <w:p>
      <w:pPr>
        <w:pStyle w:val="ListBullet"/>
        <w:numPr>
          <w:ilvl w:val="0"/>
          <w:numId w:val="1"/>
        </w:numPr>
      </w:pPr>
      <w:r>
        <w:rPr>
          <w:sz w:val="17"/>
          <w:szCs w:val="17"/>
        </w:rPr>
        <w:t xml:space="preserve">License state per computer comes from the Windows licensing service (SoftwareLicensingProduct / SoftwareLicensingService): Licensed = Activated; Non-genuine grace = Not genuine; Unlicensed / grace / notification = Not activated; licensing service answered without a Windows product key = No product key installed. Only the last 5 characters of a product key are collected.</w:t>
      </w:r>
    </w:p>
    <w:p>
      <w:pPr>
        <w:pStyle w:val="ListBullet"/>
        <w:numPr>
          <w:ilvl w:val="0"/>
          <w:numId w:val="1"/>
        </w:numPr>
      </w:pPr>
      <w:r>
        <w:rPr>
          <w:sz w:val="17"/>
          <w:szCs w:val="17"/>
        </w:rPr>
        <w:t xml:space="preserve">Windows computers known only from Active Directory, virtualization hosts or cluster node lists, and machines whose licensing data could not be collected, are 'Not verified' and reported in one grouped validation finding.</w:t>
      </w:r>
    </w:p>
    <w:p>
      <w:pPr>
        <w:pStyle w:val="ListBullet"/>
        <w:numPr>
          <w:ilvl w:val="0"/>
          <w:numId w:val="1"/>
        </w:numPr>
      </w:pPr>
      <w:r>
        <w:rPr>
          <w:sz w:val="17"/>
          <w:szCs w:val="17"/>
        </w:rPr>
        <w:t xml:space="preserve">Evaluation editions are reported with their end date; less than 30 days remaining (or expired) raises the severity.</w:t>
      </w:r>
    </w:p>
    <w:p>
      <w:pPr>
        <w:pStyle w:val="ListBullet"/>
        <w:numPr>
          <w:ilvl w:val="0"/>
          <w:numId w:val="1"/>
        </w:numPr>
      </w:pPr>
      <w:r>
        <w:rPr>
          <w:sz w:val="17"/>
          <w:szCs w:val="17"/>
        </w:rPr>
        <w:t xml:space="preserve">When more than 20 machines share the same issue they are grouped into one finding that still lists every machine.</w:t>
      </w:r>
    </w:p>
    <w:p>
      <w:pPr>
        <w:pStyle w:val="Heading2"/>
      </w:pPr>
      <w:bookmarkStart w:id="109" w:name="_TocMlat00109"/>
      <w:r>
        <w:t xml:space="preserve">Windows Server — Windows Server CAL (User)</w:t>
      </w:r>
      <w:bookmarkEnd w:id="109"/>
    </w:p>
    <w:p>
      <w:pPr>
        <w:pStyle w:val="Heading3"/>
      </w:pPr>
      <w:bookmarkStart w:id="110" w:name="_TocMlat00110"/>
      <w:r>
        <w:t xml:space="preserve">Windows Server CAL (User) × 168 User — Organization</w:t>
      </w:r>
      <w:bookmarkEnd w:id="110"/>
    </w:p>
    <w:p>
      <w:pPr>
        <w:keepNext/>
        <w:spacing w:after="80"/>
      </w:pPr>
      <w:r>
        <w:rPr>
          <w:color w:val="5B6475"/>
          <w:sz w:val="17"/>
          <w:szCs w:val="17"/>
        </w:rPr>
        <w:t xml:space="preserve">Requirement REQ-0005  ·  Confidence: Medium</w:t>
      </w:r>
      <w:r>
        <w:rPr>
          <w:color w:val="5B6475"/>
          <w:sz w:val="17"/>
          <w:szCs w:val="17"/>
        </w:rPr>
        <w:t xml:space="preserve">  ·  Primary scenario (used in the gap analysis): User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RULE-WINSERVER-005</w:t>
            </w:r>
            <w:r>
              <w:rPr>
                <w:sz w:val="17"/>
                <w:szCs w:val="17"/>
              </w:rPr>
              <w:t xml:space="preserve"> v1.0 — Windows Server Client Access Licenses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5" w:history="1">
              <w:r>
                <w:rPr>
                  <w:rStyle w:val="Hyperlink"/>
                  <w:sz w:val="17"/>
                  <w:szCs w:val="17"/>
                </w:rPr>
                <w:t xml:space="preserve">Microsoft Product Terms - Windows Server CALs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168 Windows Server User CALs (version 2022 or later) under the User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150, gap </w:t>
            </w:r>
            <w:r>
              <w:rPr>
                <w:b/>
                <w:bCs/>
                <w:color w:val="C62828"/>
                <w:sz w:val="17"/>
                <w:szCs w:val="17"/>
              </w:rPr>
              <w:t xml:space="preserve">18</w:t>
            </w:r>
            <w:r>
              <w:rPr>
                <w:sz w:val="17"/>
                <w:szCs w:val="17"/>
              </w:rPr>
              <w:t xml:space="preserve"> · covered by: Microsoft 365 E3 - per user (subscription) [SPE_E3]: 150</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2022 · capability WS-CAL-USER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Windows Server CALs</w:t>
            </w:r>
          </w:p>
        </w:tc>
        <w:tc>
          <w:tcPr>
            <w:tcW w:w="3315" w:type="dxa"/>
          </w:tcPr>
          <w:p>
            <w:pPr>
              <w:pStyle w:val="TableText"/>
            </w:pPr>
            <w:r>
              <w:rPr>
                <w:sz w:val="16"/>
                <w:szCs w:val="16"/>
              </w:rPr>
              <w:t xml:space="preserve">11 (HV01, HV02, DC01, FS01, SQL01, APP01, RDS01, EXCH01, ERP01, ESX01, ESX02)</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Users requiring access</w:t>
            </w:r>
          </w:p>
        </w:tc>
        <w:tc>
          <w:tcPr>
            <w:tcW w:w="3315" w:type="dxa"/>
            <w:shd w:val="clear" w:color="auto" w:fill="FAFBFC"/>
          </w:tcPr>
          <w:p>
            <w:pPr>
              <w:pStyle w:val="TableText"/>
            </w:pPr>
            <w:r>
              <w:rPr>
                <w:sz w:val="16"/>
                <w:szCs w:val="16"/>
              </w:rPr>
              <w:t xml:space="preserve">168</w:t>
            </w:r>
          </w:p>
        </w:tc>
        <w:tc>
          <w:tcPr>
            <w:tcW w:w="1757" w:type="dxa"/>
            <w:shd w:val="clear" w:color="auto" w:fill="FAFBFC"/>
          </w:tcPr>
          <w:p>
            <w:pPr>
              <w:pStyle w:val="TableText"/>
            </w:pPr>
            <w:r>
              <w:rPr>
                <w:sz w:val="16"/>
                <w:szCs w:val="16"/>
              </w:rPr>
              <w:t xml:space="preserve">Active Directory: enabled users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Customer license inventory contains User CALs only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User count = enabled AD users active within the configured window (or customer input); device count = active AD workstations (or customer input).</w:t>
      </w:r>
    </w:p>
    <w:p>
      <w:pPr>
        <w:pStyle w:val="ListBullet"/>
        <w:numPr>
          <w:ilvl w:val="0"/>
          <w:numId w:val="1"/>
        </w:numPr>
      </w:pPr>
      <w:r>
        <w:rPr>
          <w:sz w:val="17"/>
          <w:szCs w:val="17"/>
        </w:rPr>
        <w:t xml:space="preserve">When the access model cannot be determined from customer evidence both User and Device CAL scenarios are shown and validation is required.</w:t>
      </w:r>
    </w:p>
    <w:p>
      <w:pPr>
        <w:pStyle w:val="ListBullet"/>
        <w:numPr>
          <w:ilvl w:val="0"/>
          <w:numId w:val="1"/>
        </w:numPr>
      </w:pPr>
      <w:r>
        <w:rPr>
          <w:sz w:val="17"/>
          <w:szCs w:val="17"/>
        </w:rPr>
        <w:t xml:space="preserve">Microsoft 365 E3/E5 user subscriptions include Windows Server CAL equivalent rights (verify in the Product Terms for the customer's program).</w:t>
      </w:r>
    </w:p>
    <w:p>
      <w:pPr>
        <w:pStyle w:val="Heading2"/>
      </w:pPr>
      <w:bookmarkStart w:id="111" w:name="_TocMlat00111"/>
      <w:r>
        <w:t xml:space="preserve">Windows Server — Windows Server Datacenter core license</w:t>
      </w:r>
      <w:bookmarkEnd w:id="111"/>
    </w:p>
    <w:p>
      <w:pPr>
        <w:pStyle w:val="Heading3"/>
      </w:pPr>
      <w:bookmarkStart w:id="112" w:name="_TocMlat00112"/>
      <w:r>
        <w:t xml:space="preserve">Windows Server Datacenter core license × 32 Core — HV01</w:t>
      </w:r>
      <w:bookmarkEnd w:id="112"/>
    </w:p>
    <w:p>
      <w:pPr>
        <w:keepNext/>
        <w:spacing w:after="80"/>
      </w:pPr>
      <w:r>
        <w:rPr>
          <w:color w:val="5B6475"/>
          <w:sz w:val="17"/>
          <w:szCs w:val="17"/>
        </w:rPr>
        <w:t xml:space="preserve">Requirement REQ-0001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RULE-WINSERVER-001</w:t>
            </w:r>
            <w:r>
              <w:rPr>
                <w:sz w:val="17"/>
                <w:szCs w:val="17"/>
              </w:rPr>
              <w:t xml:space="preserve"> v1.1 — Windows Server core licensing of physical hosts and virtualization rights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2026-10-02</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6" w:history="1">
              <w:r>
                <w:rPr>
                  <w:rStyle w:val="Hyperlink"/>
                  <w:sz w:val="17"/>
                  <w:szCs w:val="17"/>
                </w:rPr>
                <w:t xml:space="preserve">Microsoft Product Terms - Windows Server (Standard, Datacenter, Essentials)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32 Windows Server Datacenter core licenses for HV01 (32 licensable cores; unlimited Windows Server VMs; 5 counted).</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32</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Datacenter · version 2022 · capability WS-DC-CORE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2022 Standard (build 20348)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Standard</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Physical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16 + 16</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32</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Logical processors</w:t>
            </w:r>
          </w:p>
        </w:tc>
        <w:tc>
          <w:tcPr>
            <w:tcW w:w="3315" w:type="dxa"/>
          </w:tcPr>
          <w:p>
            <w:pPr>
              <w:pStyle w:val="TableText"/>
            </w:pPr>
            <w:r>
              <w:rPr>
                <w:sz w:val="16"/>
                <w:szCs w:val="16"/>
              </w:rPr>
              <w:t xml:space="preserve">64</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Hypervisor</w:t>
            </w:r>
          </w:p>
        </w:tc>
        <w:tc>
          <w:tcPr>
            <w:tcW w:w="3315" w:type="dxa"/>
            <w:shd w:val="clear" w:color="auto" w:fill="FAFBFC"/>
          </w:tcPr>
          <w:p>
            <w:pPr>
              <w:pStyle w:val="TableText"/>
            </w:pPr>
            <w:r>
              <w:rPr>
                <w:sz w:val="16"/>
                <w:szCs w:val="16"/>
              </w:rPr>
              <w:t xml:space="preserve">Hyper-V (7 VMs registered)</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Windows Server VMs counted</w:t>
            </w:r>
          </w:p>
        </w:tc>
        <w:tc>
          <w:tcPr>
            <w:tcW w:w="3315" w:type="dxa"/>
          </w:tcPr>
          <w:p>
            <w:pPr>
              <w:pStyle w:val="TableText"/>
            </w:pPr>
            <w:r>
              <w:rPr>
                <w:sz w:val="16"/>
                <w:szCs w:val="16"/>
              </w:rPr>
              <w:t xml:space="preserve">5 (running)</w:t>
            </w:r>
          </w:p>
        </w:tc>
        <w:tc>
          <w:tcPr>
            <w:tcW w:w="1757" w:type="dxa"/>
          </w:tcPr>
          <w:p>
            <w:pPr>
              <w:pStyle w:val="TableText"/>
            </w:pPr>
            <w:r>
              <w:rPr>
                <w:sz w:val="16"/>
                <w:szCs w:val="16"/>
              </w:rPr>
              <w:t xml:space="preserve">WMI (Hyper-V KVP) / guest inventory</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Powered-off/saved VMs</w:t>
            </w:r>
          </w:p>
        </w:tc>
        <w:tc>
          <w:tcPr>
            <w:tcW w:w="3315" w:type="dxa"/>
            <w:shd w:val="clear" w:color="auto" w:fill="FAFBFC"/>
          </w:tcPr>
          <w:p>
            <w:pPr>
              <w:pStyle w:val="TableText"/>
            </w:pPr>
            <w:r>
              <w:rPr>
                <w:sz w:val="16"/>
                <w:szCs w:val="16"/>
              </w:rPr>
              <w:t xml:space="preserve">1 (not counted)</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Non-Windows-Server guests</w:t>
            </w:r>
          </w:p>
        </w:tc>
        <w:tc>
          <w:tcPr>
            <w:tcW w:w="3315" w:type="dxa"/>
          </w:tcPr>
          <w:p>
            <w:pPr>
              <w:pStyle w:val="TableText"/>
            </w:pPr>
            <w:r>
              <w:rPr>
                <w:sz w:val="16"/>
                <w:szCs w:val="16"/>
              </w:rPr>
              <w:t xml:space="preserve">1</w:t>
            </w:r>
          </w:p>
        </w:tc>
        <w:tc>
          <w:tcPr>
            <w:tcW w:w="1757" w:type="dxa"/>
          </w:tcPr>
          <w:p>
            <w:pPr>
              <w:pStyle w:val="TableText"/>
            </w:pPr>
            <w:r>
              <w:rPr>
                <w:sz w:val="16"/>
                <w:szCs w:val="16"/>
              </w:rPr>
              <w:t xml:space="preserve">WMI (Hyper-V KVP)</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Inventoried guests</w:t>
            </w:r>
          </w:p>
        </w:tc>
        <w:tc>
          <w:tcPr>
            <w:tcW w:w="3315" w:type="dxa"/>
            <w:shd w:val="clear" w:color="auto" w:fill="FAFBFC"/>
          </w:tcPr>
          <w:p>
            <w:pPr>
              <w:pStyle w:val="TableText"/>
            </w:pPr>
            <w:r>
              <w:rPr>
                <w:sz w:val="16"/>
                <w:szCs w:val="16"/>
              </w:rPr>
              <w:t xml:space="preserve">DC01, FS01, SQL01, APP01, RDS01</w:t>
            </w:r>
          </w:p>
        </w:tc>
        <w:tc>
          <w:tcPr>
            <w:tcW w:w="1757" w:type="dxa"/>
            <w:shd w:val="clear" w:color="auto" w:fill="FAFBFC"/>
          </w:tcPr>
          <w:p>
            <w:pPr>
              <w:pStyle w:val="TableText"/>
            </w:pPr>
            <w:r>
              <w:rPr>
                <w:sz w:val="16"/>
                <w:szCs w:val="16"/>
              </w:rPr>
              <w:t xml:space="preserve">Guest inventory</w:t>
            </w:r>
          </w:p>
        </w:tc>
      </w:tr>
      <w:tr>
        <w:trPr>
          <w:cantSplit/>
        </w:trPr>
        <w:tc>
          <w:tcPr>
            <w:tcW w:w="2145" w:type="dxa"/>
          </w:tcPr>
          <w:p>
            <w:pPr>
              <w:pStyle w:val="TableText"/>
            </w:pPr>
            <w:r>
              <w:rPr>
                <w:sz w:val="16"/>
                <w:szCs w:val="16"/>
              </w:rPr>
              <w:t xml:space="preserve">HV01</w:t>
            </w:r>
          </w:p>
        </w:tc>
        <w:tc>
          <w:tcPr>
            <w:tcW w:w="2535" w:type="dxa"/>
          </w:tcPr>
          <w:p>
            <w:pPr>
              <w:pStyle w:val="TableText"/>
            </w:pPr>
            <w:r>
              <w:rPr>
                <w:sz w:val="16"/>
                <w:szCs w:val="16"/>
              </w:rPr>
              <w:t xml:space="preserve">Cluster HVCLU01</w:t>
            </w:r>
          </w:p>
        </w:tc>
        <w:tc>
          <w:tcPr>
            <w:tcW w:w="3315" w:type="dxa"/>
          </w:tcPr>
          <w:p>
            <w:pPr>
              <w:pStyle w:val="TableText"/>
            </w:pPr>
            <w:r>
              <w:rPr>
                <w:sz w:val="16"/>
                <w:szCs w:val="16"/>
              </w:rPr>
              <w:t xml:space="preserve">9 Windows Server VMs can run on this node (VM mobility); Datacenter covers unlimited VMs</w:t>
            </w:r>
          </w:p>
        </w:tc>
        <w:tc>
          <w:tcPr>
            <w:tcW w:w="1757" w:type="dxa"/>
          </w:tcPr>
          <w:p>
            <w:pPr>
              <w:pStyle w:val="TableText"/>
            </w:pPr>
            <w:r>
              <w:rPr>
                <w:sz w:val="16"/>
                <w:szCs w:val="16"/>
              </w:rPr>
              <w:t xml:space="preserve">Windows failover cluster (inventory of the nodes)</w:t>
            </w:r>
          </w:p>
        </w:tc>
      </w:tr>
      <w:tr>
        <w:trPr>
          <w:cantSplit/>
        </w:trPr>
        <w:tc>
          <w:tcPr>
            <w:tcW w:w="2145" w:type="dxa"/>
            <w:shd w:val="clear" w:color="auto" w:fill="FAFBFC"/>
          </w:tcPr>
          <w:p>
            <w:pPr>
              <w:pStyle w:val="TableText"/>
            </w:pPr>
            <w:r>
              <w:rPr>
                <w:sz w:val="16"/>
                <w:szCs w:val="16"/>
              </w:rPr>
              <w:t xml:space="preserve">HV01</w:t>
            </w:r>
          </w:p>
        </w:tc>
        <w:tc>
          <w:tcPr>
            <w:tcW w:w="2535" w:type="dxa"/>
            <w:shd w:val="clear" w:color="auto" w:fill="FAFBFC"/>
          </w:tcPr>
          <w:p>
            <w:pPr>
              <w:pStyle w:val="TableText"/>
            </w:pPr>
            <w:r>
              <w:rPr>
                <w:sz w:val="16"/>
                <w:szCs w:val="16"/>
              </w:rPr>
              <w:t xml:space="preserve">Licensable cores (min 8/processor, 16/server)</w:t>
            </w:r>
          </w:p>
        </w:tc>
        <w:tc>
          <w:tcPr>
            <w:tcW w:w="3315" w:type="dxa"/>
            <w:shd w:val="clear" w:color="auto" w:fill="FAFBFC"/>
          </w:tcPr>
          <w:p>
            <w:pPr>
              <w:pStyle w:val="TableText"/>
            </w:pPr>
            <w:r>
              <w:rPr>
                <w:sz w:val="16"/>
                <w:szCs w:val="16"/>
              </w:rPr>
              <w:t xml:space="preserve">32</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Running Windows Server VMs reported by Hyper-V (or mapped from RVTools / guest inventory) are counted; powered-off VMs are only counted when the option is enabled.</w:t>
      </w:r>
    </w:p>
    <w:p>
      <w:pPr>
        <w:pStyle w:val="ListBullet"/>
        <w:numPr>
          <w:ilvl w:val="0"/>
          <w:numId w:val="1"/>
        </w:numPr>
      </w:pPr>
      <w:r>
        <w:rPr>
          <w:sz w:val="17"/>
          <w:szCs w:val="17"/>
        </w:rPr>
        <w:t xml:space="preserve">VMs with unknown guest OS are treated as Windows Server (conservative).</w:t>
      </w:r>
    </w:p>
    <w:p>
      <w:pPr>
        <w:pStyle w:val="ListBullet"/>
        <w:numPr>
          <w:ilvl w:val="0"/>
          <w:numId w:val="1"/>
        </w:numPr>
      </w:pPr>
      <w:r>
        <w:rPr>
          <w:sz w:val="17"/>
          <w:szCs w:val="17"/>
        </w:rPr>
        <w:t xml:space="preserve">License version must be equal to or later than the highest Windows Server version running on the host (or Software Assurance must be active).</w:t>
      </w:r>
    </w:p>
    <w:p>
      <w:pPr>
        <w:pStyle w:val="ListBullet"/>
        <w:numPr>
          <w:ilvl w:val="0"/>
          <w:numId w:val="1"/>
        </w:numPr>
      </w:pPr>
      <w:r>
        <w:rPr>
          <w:sz w:val="17"/>
          <w:szCs w:val="17"/>
        </w:rPr>
        <w:t xml:space="preserve">Clustered hosts follow RULE-CLUSTER-031 and Settings &gt; Cluster licensing: with VM mobility (default) a Standard node is licensed for all Windows Server VMs of its cluster.</w:t>
      </w:r>
    </w:p>
    <w:p>
      <w:pPr>
        <w:pStyle w:val="Heading3"/>
      </w:pPr>
      <w:bookmarkStart w:id="113" w:name="_TocMlat00113"/>
      <w:r>
        <w:t xml:space="preserve">Windows Server Datacenter core license × 48 Core — HV02</w:t>
      </w:r>
      <w:bookmarkEnd w:id="113"/>
    </w:p>
    <w:p>
      <w:pPr>
        <w:keepNext/>
        <w:spacing w:after="80"/>
      </w:pPr>
      <w:r>
        <w:rPr>
          <w:color w:val="5B6475"/>
          <w:sz w:val="17"/>
          <w:szCs w:val="17"/>
        </w:rPr>
        <w:t xml:space="preserve">Requirement REQ-0002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RULE-WINSERVER-001</w:t>
            </w:r>
            <w:r>
              <w:rPr>
                <w:sz w:val="17"/>
                <w:szCs w:val="17"/>
              </w:rPr>
              <w:t xml:space="preserve"> v1.1 — Windows Server core licensing of physical hosts and virtualization rights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2026-10-02</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7" w:history="1">
              <w:r>
                <w:rPr>
                  <w:rStyle w:val="Hyperlink"/>
                  <w:sz w:val="17"/>
                  <w:szCs w:val="17"/>
                </w:rPr>
                <w:t xml:space="preserve">Microsoft Product Terms - Windows Server (Standard, Datacenter, Essentials)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48 Windows Server Datacenter core licenses for HV02 (48 licensable cores; unlimited Windows Server VMs; 4 counted).</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48, gap </w:t>
            </w:r>
            <w:r>
              <w:rPr>
                <w:sz w:val="17"/>
                <w:szCs w:val="17"/>
              </w:rPr>
              <w:t xml:space="preserve">0</w:t>
            </w:r>
            <w:r>
              <w:rPr>
                <w:sz w:val="17"/>
                <w:szCs w:val="17"/>
              </w:rPr>
              <w:t xml:space="preserve"> · covered by: Windows Server 2022 Datacenter - 16 core pack x3 [Excel]: 48</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Datacenter · version 2022 · capability WS-DC-CORE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Operating system</w:t>
            </w:r>
          </w:p>
        </w:tc>
        <w:tc>
          <w:tcPr>
            <w:tcW w:w="3315" w:type="dxa"/>
          </w:tcPr>
          <w:p>
            <w:pPr>
              <w:pStyle w:val="TableText"/>
            </w:pPr>
            <w:r>
              <w:rPr>
                <w:sz w:val="16"/>
                <w:szCs w:val="16"/>
              </w:rPr>
              <w:t xml:space="preserve">Microsoft Windows Server 2022 Datacenter (build 20348)</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Edition</w:t>
            </w:r>
          </w:p>
        </w:tc>
        <w:tc>
          <w:tcPr>
            <w:tcW w:w="3315" w:type="dxa"/>
            <w:shd w:val="clear" w:color="auto" w:fill="FAFBFC"/>
          </w:tcPr>
          <w:p>
            <w:pPr>
              <w:pStyle w:val="TableText"/>
            </w:pPr>
            <w:r>
              <w:rPr>
                <w:sz w:val="16"/>
                <w:szCs w:val="16"/>
              </w:rPr>
              <w:t xml:space="preserve">Datacenter</w:t>
            </w:r>
          </w:p>
        </w:tc>
        <w:tc>
          <w:tcPr>
            <w:tcW w:w="1757" w:type="dxa"/>
            <w:shd w:val="clear" w:color="auto" w:fill="FAFBFC"/>
          </w:tcPr>
          <w:p>
            <w:pPr>
              <w:pStyle w:val="TableText"/>
            </w:pPr>
            <w:r>
              <w:rPr>
                <w:sz w:val="16"/>
                <w:szCs w:val="16"/>
              </w:rPr>
              <w:t xml:space="preserve">Registry</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Machine type</w:t>
            </w:r>
          </w:p>
        </w:tc>
        <w:tc>
          <w:tcPr>
            <w:tcW w:w="3315" w:type="dxa"/>
          </w:tcPr>
          <w:p>
            <w:pPr>
              <w:pStyle w:val="TableText"/>
            </w:pPr>
            <w:r>
              <w:rPr>
                <w:sz w:val="16"/>
                <w:szCs w:val="16"/>
              </w:rPr>
              <w:t xml:space="preserve">Physical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24 + 24</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48</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Logical processors</w:t>
            </w:r>
          </w:p>
        </w:tc>
        <w:tc>
          <w:tcPr>
            <w:tcW w:w="3315" w:type="dxa"/>
          </w:tcPr>
          <w:p>
            <w:pPr>
              <w:pStyle w:val="TableText"/>
            </w:pPr>
            <w:r>
              <w:rPr>
                <w:sz w:val="16"/>
                <w:szCs w:val="16"/>
              </w:rPr>
              <w:t xml:space="preserve">96</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Hypervisor</w:t>
            </w:r>
          </w:p>
        </w:tc>
        <w:tc>
          <w:tcPr>
            <w:tcW w:w="3315" w:type="dxa"/>
            <w:shd w:val="clear" w:color="auto" w:fill="FAFBFC"/>
          </w:tcPr>
          <w:p>
            <w:pPr>
              <w:pStyle w:val="TableText"/>
            </w:pPr>
            <w:r>
              <w:rPr>
                <w:sz w:val="16"/>
                <w:szCs w:val="16"/>
              </w:rPr>
              <w:t xml:space="preserve">Hyper-V (4 VMs registered)</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Windows Server VMs counted</w:t>
            </w:r>
          </w:p>
        </w:tc>
        <w:tc>
          <w:tcPr>
            <w:tcW w:w="3315" w:type="dxa"/>
          </w:tcPr>
          <w:p>
            <w:pPr>
              <w:pStyle w:val="TableText"/>
            </w:pPr>
            <w:r>
              <w:rPr>
                <w:sz w:val="16"/>
                <w:szCs w:val="16"/>
              </w:rPr>
              <w:t xml:space="preserve">4 (running)</w:t>
            </w:r>
          </w:p>
        </w:tc>
        <w:tc>
          <w:tcPr>
            <w:tcW w:w="1757" w:type="dxa"/>
          </w:tcPr>
          <w:p>
            <w:pPr>
              <w:pStyle w:val="TableText"/>
            </w:pPr>
            <w:r>
              <w:rPr>
                <w:sz w:val="16"/>
                <w:szCs w:val="16"/>
              </w:rPr>
              <w:t xml:space="preserve">WMI (Hyper-V KVP) / guest inventory</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Inventoried guests</w:t>
            </w:r>
          </w:p>
        </w:tc>
        <w:tc>
          <w:tcPr>
            <w:tcW w:w="3315" w:type="dxa"/>
            <w:shd w:val="clear" w:color="auto" w:fill="FAFBFC"/>
          </w:tcPr>
          <w:p>
            <w:pPr>
              <w:pStyle w:val="TableText"/>
            </w:pPr>
            <w:r>
              <w:rPr>
                <w:sz w:val="16"/>
                <w:szCs w:val="16"/>
              </w:rPr>
              <w:t xml:space="preserve">EXCH01</w:t>
            </w:r>
          </w:p>
        </w:tc>
        <w:tc>
          <w:tcPr>
            <w:tcW w:w="1757" w:type="dxa"/>
            <w:shd w:val="clear" w:color="auto" w:fill="FAFBFC"/>
          </w:tcPr>
          <w:p>
            <w:pPr>
              <w:pStyle w:val="TableText"/>
            </w:pPr>
            <w:r>
              <w:rPr>
                <w:sz w:val="16"/>
                <w:szCs w:val="16"/>
              </w:rPr>
              <w:t xml:space="preserve">Guest inventory</w:t>
            </w:r>
          </w:p>
        </w:tc>
      </w:tr>
      <w:tr>
        <w:trPr>
          <w:cantSplit/>
        </w:trPr>
        <w:tc>
          <w:tcPr>
            <w:tcW w:w="2145" w:type="dxa"/>
          </w:tcPr>
          <w:p>
            <w:pPr>
              <w:pStyle w:val="TableText"/>
            </w:pPr>
            <w:r>
              <w:rPr>
                <w:sz w:val="16"/>
                <w:szCs w:val="16"/>
              </w:rPr>
              <w:t xml:space="preserve">HV02</w:t>
            </w:r>
          </w:p>
        </w:tc>
        <w:tc>
          <w:tcPr>
            <w:tcW w:w="2535" w:type="dxa"/>
          </w:tcPr>
          <w:p>
            <w:pPr>
              <w:pStyle w:val="TableText"/>
            </w:pPr>
            <w:r>
              <w:rPr>
                <w:sz w:val="16"/>
                <w:szCs w:val="16"/>
              </w:rPr>
              <w:t xml:space="preserve">Cluster HVCLU01</w:t>
            </w:r>
          </w:p>
        </w:tc>
        <w:tc>
          <w:tcPr>
            <w:tcW w:w="3315" w:type="dxa"/>
          </w:tcPr>
          <w:p>
            <w:pPr>
              <w:pStyle w:val="TableText"/>
            </w:pPr>
            <w:r>
              <w:rPr>
                <w:sz w:val="16"/>
                <w:szCs w:val="16"/>
              </w:rPr>
              <w:t xml:space="preserve">9 Windows Server VMs can run on this node (VM mobility); Datacenter covers unlimited VMs</w:t>
            </w:r>
          </w:p>
        </w:tc>
        <w:tc>
          <w:tcPr>
            <w:tcW w:w="1757" w:type="dxa"/>
          </w:tcPr>
          <w:p>
            <w:pPr>
              <w:pStyle w:val="TableText"/>
            </w:pPr>
            <w:r>
              <w:rPr>
                <w:sz w:val="16"/>
                <w:szCs w:val="16"/>
              </w:rPr>
              <w:t xml:space="preserve">Windows failover cluster (inventory of the nodes)</w:t>
            </w:r>
          </w:p>
        </w:tc>
      </w:tr>
      <w:tr>
        <w:trPr>
          <w:cantSplit/>
        </w:trPr>
        <w:tc>
          <w:tcPr>
            <w:tcW w:w="2145" w:type="dxa"/>
            <w:shd w:val="clear" w:color="auto" w:fill="FAFBFC"/>
          </w:tcPr>
          <w:p>
            <w:pPr>
              <w:pStyle w:val="TableText"/>
            </w:pPr>
            <w:r>
              <w:rPr>
                <w:sz w:val="16"/>
                <w:szCs w:val="16"/>
              </w:rPr>
              <w:t xml:space="preserve">HV02</w:t>
            </w:r>
          </w:p>
        </w:tc>
        <w:tc>
          <w:tcPr>
            <w:tcW w:w="2535" w:type="dxa"/>
            <w:shd w:val="clear" w:color="auto" w:fill="FAFBFC"/>
          </w:tcPr>
          <w:p>
            <w:pPr>
              <w:pStyle w:val="TableText"/>
            </w:pPr>
            <w:r>
              <w:rPr>
                <w:sz w:val="16"/>
                <w:szCs w:val="16"/>
              </w:rPr>
              <w:t xml:space="preserve">Licensable cores (min 8/processor, 16/server)</w:t>
            </w:r>
          </w:p>
        </w:tc>
        <w:tc>
          <w:tcPr>
            <w:tcW w:w="3315" w:type="dxa"/>
            <w:shd w:val="clear" w:color="auto" w:fill="FAFBFC"/>
          </w:tcPr>
          <w:p>
            <w:pPr>
              <w:pStyle w:val="TableText"/>
            </w:pPr>
            <w:r>
              <w:rPr>
                <w:sz w:val="16"/>
                <w:szCs w:val="16"/>
              </w:rPr>
              <w:t xml:space="preserve">48</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Running Windows Server VMs reported by Hyper-V (or mapped from RVTools / guest inventory) are counted; powered-off VMs are only counted when the option is enabled.</w:t>
      </w:r>
    </w:p>
    <w:p>
      <w:pPr>
        <w:pStyle w:val="ListBullet"/>
        <w:numPr>
          <w:ilvl w:val="0"/>
          <w:numId w:val="1"/>
        </w:numPr>
      </w:pPr>
      <w:r>
        <w:rPr>
          <w:sz w:val="17"/>
          <w:szCs w:val="17"/>
        </w:rPr>
        <w:t xml:space="preserve">VMs with unknown guest OS are treated as Windows Server (conservative).</w:t>
      </w:r>
    </w:p>
    <w:p>
      <w:pPr>
        <w:pStyle w:val="ListBullet"/>
        <w:numPr>
          <w:ilvl w:val="0"/>
          <w:numId w:val="1"/>
        </w:numPr>
      </w:pPr>
      <w:r>
        <w:rPr>
          <w:sz w:val="17"/>
          <w:szCs w:val="17"/>
        </w:rPr>
        <w:t xml:space="preserve">License version must be equal to or later than the highest Windows Server version running on the host (or Software Assurance must be active).</w:t>
      </w:r>
    </w:p>
    <w:p>
      <w:pPr>
        <w:pStyle w:val="ListBullet"/>
        <w:numPr>
          <w:ilvl w:val="0"/>
          <w:numId w:val="1"/>
        </w:numPr>
      </w:pPr>
      <w:r>
        <w:rPr>
          <w:sz w:val="17"/>
          <w:szCs w:val="17"/>
        </w:rPr>
        <w:t xml:space="preserve">Clustered hosts follow RULE-CLUSTER-031 and Settings &gt; Cluster licensing: with VM mobility (default) a Standard node is licensed for all Windows Server VMs of its cluster.</w:t>
      </w:r>
    </w:p>
    <w:p>
      <w:pPr>
        <w:pStyle w:val="Heading2"/>
      </w:pPr>
      <w:bookmarkStart w:id="114" w:name="_TocMlat00114"/>
      <w:r>
        <w:t xml:space="preserve">Windows Server — Windows Server Standard core license</w:t>
      </w:r>
      <w:bookmarkEnd w:id="114"/>
    </w:p>
    <w:p>
      <w:pPr>
        <w:pStyle w:val="Heading3"/>
      </w:pPr>
      <w:bookmarkStart w:id="115" w:name="_TocMlat00115"/>
      <w:r>
        <w:t xml:space="preserve">Windows Server Standard core license × 80 Core — ESX01</w:t>
      </w:r>
      <w:bookmarkEnd w:id="115"/>
    </w:p>
    <w:p>
      <w:pPr>
        <w:keepNext/>
        <w:spacing w:after="80"/>
      </w:pPr>
      <w:r>
        <w:rPr>
          <w:color w:val="5B6475"/>
          <w:sz w:val="17"/>
          <w:szCs w:val="17"/>
        </w:rPr>
        <w:t xml:space="preserve">Requirement REQ-0003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RULE-WINSERVER-001</w:t>
            </w:r>
            <w:r>
              <w:rPr>
                <w:sz w:val="17"/>
                <w:szCs w:val="17"/>
              </w:rPr>
              <w:t xml:space="preserve"> v1.1 — Windows Server core licensing of physical hosts and virtualization rights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2026-10-02</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8" w:history="1">
              <w:r>
                <w:rPr>
                  <w:rStyle w:val="Hyperlink"/>
                  <w:sz w:val="17"/>
                  <w:szCs w:val="17"/>
                </w:rPr>
                <w:t xml:space="preserve">Microsoft Product Terms - Windows Server (Standard, Datacenter, Essentials)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80 Windows Server Standard core licenses for ESX01 (2 set(s) x 40 licensable cores to cover 4 Windows Server VM(s) that can run on this node in cluster VMW-CLU01 - VM mobility, 2 placed here).</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80</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2022 · capability WS-STD-CORE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Hypervisor</w:t>
            </w:r>
          </w:p>
        </w:tc>
        <w:tc>
          <w:tcPr>
            <w:tcW w:w="3315" w:type="dxa"/>
          </w:tcPr>
          <w:p>
            <w:pPr>
              <w:pStyle w:val="TableText"/>
            </w:pPr>
            <w:r>
              <w:rPr>
                <w:sz w:val="16"/>
                <w:szCs w:val="16"/>
              </w:rPr>
              <w:t xml:space="preserve">VMware ESXi 8.0.2</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ESX01</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20</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ESX01</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40</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Windows Server VMs counted</w:t>
            </w:r>
          </w:p>
        </w:tc>
        <w:tc>
          <w:tcPr>
            <w:tcW w:w="3315" w:type="dxa"/>
          </w:tcPr>
          <w:p>
            <w:pPr>
              <w:pStyle w:val="TableText"/>
            </w:pPr>
            <w:r>
              <w:rPr>
                <w:sz w:val="16"/>
                <w:szCs w:val="16"/>
              </w:rPr>
              <w:t xml:space="preserve">2</w:t>
            </w:r>
          </w:p>
        </w:tc>
        <w:tc>
          <w:tcPr>
            <w:tcW w:w="1757" w:type="dxa"/>
          </w:tcPr>
          <w:p>
            <w:pPr>
              <w:pStyle w:val="TableText"/>
            </w:pPr>
            <w:r>
              <w:rPr>
                <w:sz w:val="16"/>
                <w:szCs w:val="16"/>
              </w:rPr>
              <w:t xml:space="preserve">vCenter / guest inventory</w:t>
            </w:r>
          </w:p>
        </w:tc>
      </w:tr>
      <w:tr>
        <w:trPr>
          <w:cantSplit/>
        </w:trPr>
        <w:tc>
          <w:tcPr>
            <w:tcW w:w="2145" w:type="dxa"/>
            <w:shd w:val="clear" w:color="auto" w:fill="FAFBFC"/>
          </w:tcPr>
          <w:p>
            <w:pPr>
              <w:pStyle w:val="TableText"/>
            </w:pPr>
            <w:r>
              <w:rPr>
                <w:sz w:val="16"/>
                <w:szCs w:val="16"/>
              </w:rPr>
              <w:t xml:space="preserve">ESX01</w:t>
            </w:r>
          </w:p>
        </w:tc>
        <w:tc>
          <w:tcPr>
            <w:tcW w:w="2535" w:type="dxa"/>
            <w:shd w:val="clear" w:color="auto" w:fill="FAFBFC"/>
          </w:tcPr>
          <w:p>
            <w:pPr>
              <w:pStyle w:val="TableText"/>
            </w:pPr>
            <w:r>
              <w:rPr>
                <w:sz w:val="16"/>
                <w:szCs w:val="16"/>
              </w:rPr>
              <w:t xml:space="preserve">Edition basis</w:t>
            </w:r>
          </w:p>
        </w:tc>
        <w:tc>
          <w:tcPr>
            <w:tcW w:w="3315" w:type="dxa"/>
            <w:shd w:val="clear" w:color="auto" w:fill="FAFBFC"/>
          </w:tcPr>
          <w:p>
            <w:pPr>
              <w:pStyle w:val="TableText"/>
            </w:pPr>
            <w:r>
              <w:rPr>
                <w:sz w:val="16"/>
                <w:szCs w:val="16"/>
              </w:rPr>
              <w:t xml:space="preserve">Derived from guest operating systems</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Collected from</w:t>
            </w:r>
          </w:p>
        </w:tc>
        <w:tc>
          <w:tcPr>
            <w:tcW w:w="3315" w:type="dxa"/>
          </w:tcPr>
          <w:p>
            <w:pPr>
              <w:pStyle w:val="TableText"/>
            </w:pPr>
            <w:r>
              <w:rPr>
                <w:sz w:val="16"/>
                <w:szCs w:val="16"/>
              </w:rPr>
              <w:t xml:space="preserve">vCenter vcenter01.demo.local</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ESX01</w:t>
            </w:r>
          </w:p>
        </w:tc>
        <w:tc>
          <w:tcPr>
            <w:tcW w:w="2535" w:type="dxa"/>
            <w:shd w:val="clear" w:color="auto" w:fill="FAFBFC"/>
          </w:tcPr>
          <w:p>
            <w:pPr>
              <w:pStyle w:val="TableText"/>
            </w:pPr>
            <w:r>
              <w:rPr>
                <w:sz w:val="16"/>
                <w:szCs w:val="16"/>
              </w:rPr>
              <w:t xml:space="preserve">Cluster VMW-CLU01</w:t>
            </w:r>
          </w:p>
        </w:tc>
        <w:tc>
          <w:tcPr>
            <w:tcW w:w="3315" w:type="dxa"/>
            <w:shd w:val="clear" w:color="auto" w:fill="FAFBFC"/>
          </w:tcPr>
          <w:p>
            <w:pPr>
              <w:pStyle w:val="TableText"/>
            </w:pPr>
            <w:r>
              <w:rPr>
                <w:sz w:val="16"/>
                <w:szCs w:val="16"/>
              </w:rPr>
              <w:t xml:space="preserve">4 Windows Server VMs can run on this node (VM mobility)</w:t>
            </w:r>
          </w:p>
        </w:tc>
        <w:tc>
          <w:tcPr>
            <w:tcW w:w="1757" w:type="dxa"/>
            <w:shd w:val="clear" w:color="auto" w:fill="FAFBFC"/>
          </w:tcPr>
          <w:p>
            <w:pPr>
              <w:pStyle w:val="TableText"/>
            </w:pPr>
            <w:r>
              <w:rPr>
                <w:sz w:val="16"/>
                <w:szCs w:val="16"/>
              </w:rPr>
              <w:t xml:space="preserve">VMware vCenter vcenter01</w:t>
            </w:r>
          </w:p>
        </w:tc>
      </w:tr>
      <w:tr>
        <w:trPr>
          <w:cantSplit/>
        </w:trPr>
        <w:tc>
          <w:tcPr>
            <w:tcW w:w="2145" w:type="dxa"/>
          </w:tcPr>
          <w:p>
            <w:pPr>
              <w:pStyle w:val="TableText"/>
            </w:pPr>
            <w:r>
              <w:rPr>
                <w:sz w:val="16"/>
                <w:szCs w:val="16"/>
              </w:rPr>
              <w:t xml:space="preserve">ESX01</w:t>
            </w:r>
          </w:p>
        </w:tc>
        <w:tc>
          <w:tcPr>
            <w:tcW w:w="2535" w:type="dxa"/>
          </w:tcPr>
          <w:p>
            <w:pPr>
              <w:pStyle w:val="TableText"/>
            </w:pPr>
            <w:r>
              <w:rPr>
                <w:sz w:val="16"/>
                <w:szCs w:val="16"/>
              </w:rPr>
              <w:t xml:space="preserve">Licensable cores (min 8/processor, 16/server)</w:t>
            </w:r>
          </w:p>
        </w:tc>
        <w:tc>
          <w:tcPr>
            <w:tcW w:w="3315" w:type="dxa"/>
          </w:tcPr>
          <w:p>
            <w:pPr>
              <w:pStyle w:val="TableText"/>
            </w:pPr>
            <w:r>
              <w:rPr>
                <w:sz w:val="16"/>
                <w:szCs w:val="16"/>
              </w:rPr>
              <w:t xml:space="preserve">40</w:t>
            </w:r>
          </w:p>
        </w:tc>
        <w:tc>
          <w:tcPr>
            <w:tcW w:w="1757" w:type="dxa"/>
          </w:tcPr>
          <w:p>
            <w:pPr>
              <w:pStyle w:val="TableText"/>
            </w:pPr>
            <w:r>
              <w:rPr>
                <w:sz w:val="16"/>
                <w:szCs w:val="16"/>
              </w:rPr>
              <w:t xml:space="preserve">Calculated</w:t>
            </w:r>
          </w:p>
        </w:tc>
      </w:tr>
      <w:tr>
        <w:trPr>
          <w:cantSplit/>
        </w:trPr>
        <w:tc>
          <w:tcPr>
            <w:tcW w:w="2145" w:type="dxa"/>
            <w:shd w:val="clear" w:color="auto" w:fill="FAFBFC"/>
          </w:tcPr>
          <w:p>
            <w:pPr>
              <w:pStyle w:val="TableText"/>
            </w:pPr>
            <w:r>
              <w:rPr>
                <w:sz w:val="16"/>
                <w:szCs w:val="16"/>
              </w:rPr>
              <w:t xml:space="preserve">ESX01</w:t>
            </w:r>
          </w:p>
        </w:tc>
        <w:tc>
          <w:tcPr>
            <w:tcW w:w="2535" w:type="dxa"/>
            <w:shd w:val="clear" w:color="auto" w:fill="FAFBFC"/>
          </w:tcPr>
          <w:p>
            <w:pPr>
              <w:pStyle w:val="TableText"/>
            </w:pPr>
            <w:r>
              <w:rPr>
                <w:sz w:val="16"/>
                <w:szCs w:val="16"/>
              </w:rPr>
              <w:t xml:space="preserve">Standard license sets (2 OSEs per set)</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Running Windows Server VMs reported by Hyper-V (or mapped from RVTools / guest inventory) are counted; powered-off VMs are only counted when the option is enabled.</w:t>
      </w:r>
    </w:p>
    <w:p>
      <w:pPr>
        <w:pStyle w:val="ListBullet"/>
        <w:numPr>
          <w:ilvl w:val="0"/>
          <w:numId w:val="1"/>
        </w:numPr>
      </w:pPr>
      <w:r>
        <w:rPr>
          <w:sz w:val="17"/>
          <w:szCs w:val="17"/>
        </w:rPr>
        <w:t xml:space="preserve">VMs with unknown guest OS are treated as Windows Server (conservative).</w:t>
      </w:r>
    </w:p>
    <w:p>
      <w:pPr>
        <w:pStyle w:val="ListBullet"/>
        <w:numPr>
          <w:ilvl w:val="0"/>
          <w:numId w:val="1"/>
        </w:numPr>
      </w:pPr>
      <w:r>
        <w:rPr>
          <w:sz w:val="17"/>
          <w:szCs w:val="17"/>
        </w:rPr>
        <w:t xml:space="preserve">License version must be equal to or later than the highest Windows Server version running on the host (or Software Assurance must be active).</w:t>
      </w:r>
    </w:p>
    <w:p>
      <w:pPr>
        <w:pStyle w:val="ListBullet"/>
        <w:numPr>
          <w:ilvl w:val="0"/>
          <w:numId w:val="1"/>
        </w:numPr>
      </w:pPr>
      <w:r>
        <w:rPr>
          <w:sz w:val="17"/>
          <w:szCs w:val="17"/>
        </w:rPr>
        <w:t xml:space="preserve">Clustered hosts follow RULE-CLUSTER-031 and Settings &gt; Cluster licensing: with VM mobility (default) a Standard node is licensed for all Windows Server VMs of its cluster.</w:t>
      </w:r>
    </w:p>
    <w:p>
      <w:pPr>
        <w:pStyle w:val="ListBullet"/>
        <w:numPr>
          <w:ilvl w:val="0"/>
          <w:numId w:val="1"/>
        </w:numPr>
      </w:pPr>
      <w:r>
        <w:rPr>
          <w:sz w:val="17"/>
          <w:szCs w:val="17"/>
        </w:rPr>
        <w:t xml:space="preserve">Host data imported from vCenter.</w:t>
      </w:r>
    </w:p>
    <w:p>
      <w:pPr>
        <w:pStyle w:val="ListBullet"/>
        <w:numPr>
          <w:ilvl w:val="0"/>
          <w:numId w:val="1"/>
        </w:numPr>
      </w:pPr>
      <w:r>
        <w:rPr>
          <w:sz w:val="17"/>
          <w:szCs w:val="17"/>
        </w:rPr>
        <w:t xml:space="preserve">Windows Server Standard licenses can be reassigned only once every 90 days; each cluster node is licensed for all Windows Server VMs that can move to it. Set Settings &gt; Cluster licensing to 'current placement' if VM placement is restricted.</w:t>
      </w:r>
    </w:p>
    <w:p>
      <w:pPr>
        <w:pStyle w:val="Heading3"/>
      </w:pPr>
      <w:bookmarkStart w:id="116" w:name="_TocMlat00116"/>
      <w:r>
        <w:t xml:space="preserve">Windows Server Standard core license × 32 Core — ESX02</w:t>
      </w:r>
      <w:bookmarkEnd w:id="116"/>
    </w:p>
    <w:p>
      <w:pPr>
        <w:keepNext/>
        <w:spacing w:after="80"/>
      </w:pPr>
      <w:r>
        <w:rPr>
          <w:color w:val="5B6475"/>
          <w:sz w:val="17"/>
          <w:szCs w:val="17"/>
        </w:rPr>
        <w:t xml:space="preserve">Requirement REQ-0004  ·  Confidence: Medium</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RULE-WINSERVER-001</w:t>
            </w:r>
            <w:r>
              <w:rPr>
                <w:sz w:val="17"/>
                <w:szCs w:val="17"/>
              </w:rPr>
              <w:t xml:space="preserve"> v1.1 — Windows Server core licensing of physical hosts and virtualization rights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2026-10-02</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69" w:history="1">
              <w:r>
                <w:rPr>
                  <w:rStyle w:val="Hyperlink"/>
                  <w:sz w:val="17"/>
                  <w:szCs w:val="17"/>
                </w:rPr>
                <w:t xml:space="preserve">Microsoft Product Terms - Windows Server (Standard, Datacenter, Essentials)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32 Windows Server Standard core licenses for ESX02 (2 set(s) x 16 licensable cores to cover 4 Windows Server VM(s) that can run on this node in cluster VMW-CLU01 - VM mobility, 2 placed here).</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32</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2022 · capability WS-STD-CORE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ESX02</w:t>
            </w:r>
          </w:p>
        </w:tc>
        <w:tc>
          <w:tcPr>
            <w:tcW w:w="2535" w:type="dxa"/>
          </w:tcPr>
          <w:p>
            <w:pPr>
              <w:pStyle w:val="TableText"/>
            </w:pPr>
            <w:r>
              <w:rPr>
                <w:sz w:val="16"/>
                <w:szCs w:val="16"/>
              </w:rPr>
              <w:t xml:space="preserve">Hypervisor</w:t>
            </w:r>
          </w:p>
        </w:tc>
        <w:tc>
          <w:tcPr>
            <w:tcW w:w="3315" w:type="dxa"/>
          </w:tcPr>
          <w:p>
            <w:pPr>
              <w:pStyle w:val="TableText"/>
            </w:pPr>
            <w:r>
              <w:rPr>
                <w:sz w:val="16"/>
                <w:szCs w:val="16"/>
              </w:rPr>
              <w:t xml:space="preserve">VMware ESXi 8.0.2</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Processors (sockets)</w:t>
            </w:r>
          </w:p>
        </w:tc>
        <w:tc>
          <w:tcPr>
            <w:tcW w:w="3315" w:type="dxa"/>
            <w:shd w:val="clear" w:color="auto" w:fill="FAFBFC"/>
          </w:tcPr>
          <w:p>
            <w:pPr>
              <w:pStyle w:val="TableText"/>
            </w:pPr>
            <w:r>
              <w:rPr>
                <w:sz w:val="16"/>
                <w:szCs w:val="16"/>
              </w:rPr>
              <w:t xml:space="preserve">1</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ESX02</w:t>
            </w:r>
          </w:p>
        </w:tc>
        <w:tc>
          <w:tcPr>
            <w:tcW w:w="2535" w:type="dxa"/>
          </w:tcPr>
          <w:p>
            <w:pPr>
              <w:pStyle w:val="TableText"/>
            </w:pPr>
            <w:r>
              <w:rPr>
                <w:sz w:val="16"/>
                <w:szCs w:val="16"/>
              </w:rPr>
              <w:t xml:space="preserve">Cores per processor</w:t>
            </w:r>
          </w:p>
        </w:tc>
        <w:tc>
          <w:tcPr>
            <w:tcW w:w="3315" w:type="dxa"/>
          </w:tcPr>
          <w:p>
            <w:pPr>
              <w:pStyle w:val="TableText"/>
            </w:pPr>
            <w:r>
              <w:rPr>
                <w:sz w:val="16"/>
                <w:szCs w:val="16"/>
              </w:rPr>
              <w:t xml:space="preserve">16</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Physical cores</w:t>
            </w:r>
          </w:p>
        </w:tc>
        <w:tc>
          <w:tcPr>
            <w:tcW w:w="3315" w:type="dxa"/>
            <w:shd w:val="clear" w:color="auto" w:fill="FAFBFC"/>
          </w:tcPr>
          <w:p>
            <w:pPr>
              <w:pStyle w:val="TableText"/>
            </w:pPr>
            <w:r>
              <w:rPr>
                <w:sz w:val="16"/>
                <w:szCs w:val="16"/>
              </w:rPr>
              <w:t xml:space="preserve">16</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ESX02</w:t>
            </w:r>
          </w:p>
        </w:tc>
        <w:tc>
          <w:tcPr>
            <w:tcW w:w="2535" w:type="dxa"/>
          </w:tcPr>
          <w:p>
            <w:pPr>
              <w:pStyle w:val="TableText"/>
            </w:pPr>
            <w:r>
              <w:rPr>
                <w:sz w:val="16"/>
                <w:szCs w:val="16"/>
              </w:rPr>
              <w:t xml:space="preserve">Windows Server VMs counted</w:t>
            </w:r>
          </w:p>
        </w:tc>
        <w:tc>
          <w:tcPr>
            <w:tcW w:w="3315" w:type="dxa"/>
          </w:tcPr>
          <w:p>
            <w:pPr>
              <w:pStyle w:val="TableText"/>
            </w:pPr>
            <w:r>
              <w:rPr>
                <w:sz w:val="16"/>
                <w:szCs w:val="16"/>
              </w:rPr>
              <w:t xml:space="preserve">2</w:t>
            </w:r>
          </w:p>
        </w:tc>
        <w:tc>
          <w:tcPr>
            <w:tcW w:w="1757" w:type="dxa"/>
          </w:tcPr>
          <w:p>
            <w:pPr>
              <w:pStyle w:val="TableText"/>
            </w:pPr>
            <w:r>
              <w:rPr>
                <w:sz w:val="16"/>
                <w:szCs w:val="16"/>
              </w:rPr>
              <w:t xml:space="preserve">vCenter / guest inventory</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Edition basis</w:t>
            </w:r>
          </w:p>
        </w:tc>
        <w:tc>
          <w:tcPr>
            <w:tcW w:w="3315" w:type="dxa"/>
            <w:shd w:val="clear" w:color="auto" w:fill="FAFBFC"/>
          </w:tcPr>
          <w:p>
            <w:pPr>
              <w:pStyle w:val="TableText"/>
            </w:pPr>
            <w:r>
              <w:rPr>
                <w:sz w:val="16"/>
                <w:szCs w:val="16"/>
              </w:rPr>
              <w:t xml:space="preserve">Derived from guest operating systems</w:t>
            </w:r>
          </w:p>
        </w:tc>
        <w:tc>
          <w:tcPr>
            <w:tcW w:w="1757" w:type="dxa"/>
            <w:shd w:val="clear" w:color="auto" w:fill="FAFBFC"/>
          </w:tcPr>
          <w:p>
            <w:pPr>
              <w:pStyle w:val="TableText"/>
            </w:pPr>
            <w:r>
              <w:rPr>
                <w:sz w:val="16"/>
                <w:szCs w:val="16"/>
              </w:rPr>
              <w:t xml:space="preserve">vCenter</w:t>
            </w:r>
          </w:p>
        </w:tc>
      </w:tr>
      <w:tr>
        <w:trPr>
          <w:cantSplit/>
        </w:trPr>
        <w:tc>
          <w:tcPr>
            <w:tcW w:w="2145" w:type="dxa"/>
          </w:tcPr>
          <w:p>
            <w:pPr>
              <w:pStyle w:val="TableText"/>
            </w:pPr>
            <w:r>
              <w:rPr>
                <w:sz w:val="16"/>
                <w:szCs w:val="16"/>
              </w:rPr>
              <w:t xml:space="preserve">ESX02</w:t>
            </w:r>
          </w:p>
        </w:tc>
        <w:tc>
          <w:tcPr>
            <w:tcW w:w="2535" w:type="dxa"/>
          </w:tcPr>
          <w:p>
            <w:pPr>
              <w:pStyle w:val="TableText"/>
            </w:pPr>
            <w:r>
              <w:rPr>
                <w:sz w:val="16"/>
                <w:szCs w:val="16"/>
              </w:rPr>
              <w:t xml:space="preserve">Collected from</w:t>
            </w:r>
          </w:p>
        </w:tc>
        <w:tc>
          <w:tcPr>
            <w:tcW w:w="3315" w:type="dxa"/>
          </w:tcPr>
          <w:p>
            <w:pPr>
              <w:pStyle w:val="TableText"/>
            </w:pPr>
            <w:r>
              <w:rPr>
                <w:sz w:val="16"/>
                <w:szCs w:val="16"/>
              </w:rPr>
              <w:t xml:space="preserve">vCenter vcenter01.demo.local</w:t>
            </w:r>
          </w:p>
        </w:tc>
        <w:tc>
          <w:tcPr>
            <w:tcW w:w="1757" w:type="dxa"/>
          </w:tcPr>
          <w:p>
            <w:pPr>
              <w:pStyle w:val="TableText"/>
            </w:pPr>
            <w:r>
              <w:rPr>
                <w:sz w:val="16"/>
                <w:szCs w:val="16"/>
              </w:rPr>
              <w:t xml:space="preserve">vCenter</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Cluster VMW-CLU01</w:t>
            </w:r>
          </w:p>
        </w:tc>
        <w:tc>
          <w:tcPr>
            <w:tcW w:w="3315" w:type="dxa"/>
            <w:shd w:val="clear" w:color="auto" w:fill="FAFBFC"/>
          </w:tcPr>
          <w:p>
            <w:pPr>
              <w:pStyle w:val="TableText"/>
            </w:pPr>
            <w:r>
              <w:rPr>
                <w:sz w:val="16"/>
                <w:szCs w:val="16"/>
              </w:rPr>
              <w:t xml:space="preserve">4 Windows Server VMs can run on this node (VM mobility)</w:t>
            </w:r>
          </w:p>
        </w:tc>
        <w:tc>
          <w:tcPr>
            <w:tcW w:w="1757" w:type="dxa"/>
            <w:shd w:val="clear" w:color="auto" w:fill="FAFBFC"/>
          </w:tcPr>
          <w:p>
            <w:pPr>
              <w:pStyle w:val="TableText"/>
            </w:pPr>
            <w:r>
              <w:rPr>
                <w:sz w:val="16"/>
                <w:szCs w:val="16"/>
              </w:rPr>
              <w:t xml:space="preserve">VMware vCenter vcenter01</w:t>
            </w:r>
          </w:p>
        </w:tc>
      </w:tr>
      <w:tr>
        <w:trPr>
          <w:cantSplit/>
        </w:trPr>
        <w:tc>
          <w:tcPr>
            <w:tcW w:w="2145" w:type="dxa"/>
          </w:tcPr>
          <w:p>
            <w:pPr>
              <w:pStyle w:val="TableText"/>
            </w:pPr>
            <w:r>
              <w:rPr>
                <w:sz w:val="16"/>
                <w:szCs w:val="16"/>
              </w:rPr>
              <w:t xml:space="preserve">ESX02</w:t>
            </w:r>
          </w:p>
        </w:tc>
        <w:tc>
          <w:tcPr>
            <w:tcW w:w="2535" w:type="dxa"/>
          </w:tcPr>
          <w:p>
            <w:pPr>
              <w:pStyle w:val="TableText"/>
            </w:pPr>
            <w:r>
              <w:rPr>
                <w:sz w:val="16"/>
                <w:szCs w:val="16"/>
              </w:rPr>
              <w:t xml:space="preserve">Licensable cores (min 8/processor, 16/server)</w:t>
            </w:r>
          </w:p>
        </w:tc>
        <w:tc>
          <w:tcPr>
            <w:tcW w:w="3315" w:type="dxa"/>
          </w:tcPr>
          <w:p>
            <w:pPr>
              <w:pStyle w:val="TableText"/>
            </w:pPr>
            <w:r>
              <w:rPr>
                <w:sz w:val="16"/>
                <w:szCs w:val="16"/>
              </w:rPr>
              <w:t xml:space="preserve">16</w:t>
            </w:r>
          </w:p>
        </w:tc>
        <w:tc>
          <w:tcPr>
            <w:tcW w:w="1757" w:type="dxa"/>
          </w:tcPr>
          <w:p>
            <w:pPr>
              <w:pStyle w:val="TableText"/>
            </w:pPr>
            <w:r>
              <w:rPr>
                <w:sz w:val="16"/>
                <w:szCs w:val="16"/>
              </w:rPr>
              <w:t xml:space="preserve">Calculated</w:t>
            </w:r>
          </w:p>
        </w:tc>
      </w:tr>
      <w:tr>
        <w:trPr>
          <w:cantSplit/>
        </w:trPr>
        <w:tc>
          <w:tcPr>
            <w:tcW w:w="2145" w:type="dxa"/>
            <w:shd w:val="clear" w:color="auto" w:fill="FAFBFC"/>
          </w:tcPr>
          <w:p>
            <w:pPr>
              <w:pStyle w:val="TableText"/>
            </w:pPr>
            <w:r>
              <w:rPr>
                <w:sz w:val="16"/>
                <w:szCs w:val="16"/>
              </w:rPr>
              <w:t xml:space="preserve">ESX02</w:t>
            </w:r>
          </w:p>
        </w:tc>
        <w:tc>
          <w:tcPr>
            <w:tcW w:w="2535" w:type="dxa"/>
            <w:shd w:val="clear" w:color="auto" w:fill="FAFBFC"/>
          </w:tcPr>
          <w:p>
            <w:pPr>
              <w:pStyle w:val="TableText"/>
            </w:pPr>
            <w:r>
              <w:rPr>
                <w:sz w:val="16"/>
                <w:szCs w:val="16"/>
              </w:rPr>
              <w:t xml:space="preserve">Standard license sets (2 OSEs per set)</w:t>
            </w:r>
          </w:p>
        </w:tc>
        <w:tc>
          <w:tcPr>
            <w:tcW w:w="3315" w:type="dxa"/>
            <w:shd w:val="clear" w:color="auto" w:fill="FAFBFC"/>
          </w:tcPr>
          <w:p>
            <w:pPr>
              <w:pStyle w:val="TableText"/>
            </w:pPr>
            <w:r>
              <w:rPr>
                <w:sz w:val="16"/>
                <w:szCs w:val="16"/>
              </w:rPr>
              <w:t xml:space="preserve">2</w:t>
            </w:r>
          </w:p>
        </w:tc>
        <w:tc>
          <w:tcPr>
            <w:tcW w:w="1757" w:type="dxa"/>
            <w:shd w:val="clear" w:color="auto" w:fill="FAFBFC"/>
          </w:tcPr>
          <w:p>
            <w:pPr>
              <w:pStyle w:val="TableText"/>
            </w:pPr>
            <w:r>
              <w:rPr>
                <w:sz w:val="16"/>
                <w:szCs w:val="16"/>
              </w:rPr>
              <w:t xml:space="preserve">Calculated</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Running Windows Server VMs reported by Hyper-V (or mapped from RVTools / guest inventory) are counted; powered-off VMs are only counted when the option is enabled.</w:t>
      </w:r>
    </w:p>
    <w:p>
      <w:pPr>
        <w:pStyle w:val="ListBullet"/>
        <w:numPr>
          <w:ilvl w:val="0"/>
          <w:numId w:val="1"/>
        </w:numPr>
      </w:pPr>
      <w:r>
        <w:rPr>
          <w:sz w:val="17"/>
          <w:szCs w:val="17"/>
        </w:rPr>
        <w:t xml:space="preserve">VMs with unknown guest OS are treated as Windows Server (conservative).</w:t>
      </w:r>
    </w:p>
    <w:p>
      <w:pPr>
        <w:pStyle w:val="ListBullet"/>
        <w:numPr>
          <w:ilvl w:val="0"/>
          <w:numId w:val="1"/>
        </w:numPr>
      </w:pPr>
      <w:r>
        <w:rPr>
          <w:sz w:val="17"/>
          <w:szCs w:val="17"/>
        </w:rPr>
        <w:t xml:space="preserve">License version must be equal to or later than the highest Windows Server version running on the host (or Software Assurance must be active).</w:t>
      </w:r>
    </w:p>
    <w:p>
      <w:pPr>
        <w:pStyle w:val="ListBullet"/>
        <w:numPr>
          <w:ilvl w:val="0"/>
          <w:numId w:val="1"/>
        </w:numPr>
      </w:pPr>
      <w:r>
        <w:rPr>
          <w:sz w:val="17"/>
          <w:szCs w:val="17"/>
        </w:rPr>
        <w:t xml:space="preserve">Clustered hosts follow RULE-CLUSTER-031 and Settings &gt; Cluster licensing: with VM mobility (default) a Standard node is licensed for all Windows Server VMs of its cluster.</w:t>
      </w:r>
    </w:p>
    <w:p>
      <w:pPr>
        <w:pStyle w:val="ListBullet"/>
        <w:numPr>
          <w:ilvl w:val="0"/>
          <w:numId w:val="1"/>
        </w:numPr>
      </w:pPr>
      <w:r>
        <w:rPr>
          <w:sz w:val="17"/>
          <w:szCs w:val="17"/>
        </w:rPr>
        <w:t xml:space="preserve">Host data imported from vCenter.</w:t>
      </w:r>
    </w:p>
    <w:p>
      <w:pPr>
        <w:pStyle w:val="ListBullet"/>
        <w:numPr>
          <w:ilvl w:val="0"/>
          <w:numId w:val="1"/>
        </w:numPr>
      </w:pPr>
      <w:r>
        <w:rPr>
          <w:sz w:val="17"/>
          <w:szCs w:val="17"/>
        </w:rPr>
        <w:t xml:space="preserve">Windows Server Standard licenses can be reassigned only once every 90 days; each cluster node is licensed for all Windows Server VMs that can move to it. Set Settings &gt; Cluster licensing to 'current placement' if VM placement is restricted.</w:t>
      </w:r>
    </w:p>
    <w:p>
      <w:pPr>
        <w:pStyle w:val="Heading2"/>
      </w:pPr>
      <w:bookmarkStart w:id="117" w:name="_TocMlat00117"/>
      <w:r>
        <w:t xml:space="preserve">Alternative scenarios</w:t>
      </w:r>
      <w:bookmarkEnd w:id="117"/>
    </w:p>
    <w:p>
      <w:pPr>
        <w:pStyle w:val="Heading3"/>
      </w:pPr>
      <w:bookmarkStart w:id="118" w:name="_TocMlat00118"/>
      <w:r>
        <w:t xml:space="preserve">Windows Server CAL (Device) × 138 Device — Organization</w:t>
      </w:r>
      <w:bookmarkEnd w:id="118"/>
    </w:p>
    <w:p>
      <w:pPr>
        <w:keepNext/>
        <w:spacing w:after="80"/>
      </w:pPr>
      <w:r>
        <w:rPr>
          <w:color w:val="5B6475"/>
          <w:sz w:val="17"/>
          <w:szCs w:val="17"/>
        </w:rPr>
        <w:t xml:space="preserve">Requirement REQ-0006  ·  Confidence: Medium</w:t>
      </w:r>
      <w:r>
        <w:rPr>
          <w:color w:val="5B6475"/>
          <w:sz w:val="17"/>
          <w:szCs w:val="17"/>
        </w:rPr>
        <w:t xml:space="preserve">  ·  Alternative scenario (not used in the gap analysis): Device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RULE-WINSERVER-005</w:t>
            </w:r>
            <w:r>
              <w:rPr>
                <w:sz w:val="17"/>
                <w:szCs w:val="17"/>
              </w:rPr>
              <w:t xml:space="preserve"> v1.0 — Windows Server Client Access Licenses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0" w:history="1">
              <w:r>
                <w:rPr>
                  <w:rStyle w:val="Hyperlink"/>
                  <w:sz w:val="17"/>
                  <w:szCs w:val="17"/>
                </w:rPr>
                <w:t xml:space="preserve">Microsoft Product Terms - Windows Server CALs</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138 Windows Server Device CALs (version 2022 or later) under the Device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138</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2022 · capability WS-CAL-DEVICE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Windows Server CALs</w:t>
            </w:r>
          </w:p>
        </w:tc>
        <w:tc>
          <w:tcPr>
            <w:tcW w:w="3315" w:type="dxa"/>
          </w:tcPr>
          <w:p>
            <w:pPr>
              <w:pStyle w:val="TableText"/>
            </w:pPr>
            <w:r>
              <w:rPr>
                <w:sz w:val="16"/>
                <w:szCs w:val="16"/>
              </w:rPr>
              <w:t xml:space="preserve">11 (HV01, HV02, DC01, FS01, SQL01, APP01, RDS01, EXCH01, ERP01, ESX01, ESX02)</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Devices requiring access</w:t>
            </w:r>
          </w:p>
        </w:tc>
        <w:tc>
          <w:tcPr>
            <w:tcW w:w="3315" w:type="dxa"/>
            <w:shd w:val="clear" w:color="auto" w:fill="FAFBFC"/>
          </w:tcPr>
          <w:p>
            <w:pPr>
              <w:pStyle w:val="TableText"/>
            </w:pPr>
            <w:r>
              <w:rPr>
                <w:sz w:val="16"/>
                <w:szCs w:val="16"/>
              </w:rPr>
              <w:t xml:space="preserve">138</w:t>
            </w:r>
          </w:p>
        </w:tc>
        <w:tc>
          <w:tcPr>
            <w:tcW w:w="1757" w:type="dxa"/>
            <w:shd w:val="clear" w:color="auto" w:fill="FAFBFC"/>
          </w:tcPr>
          <w:p>
            <w:pPr>
              <w:pStyle w:val="TableText"/>
            </w:pPr>
            <w:r>
              <w:rPr>
                <w:sz w:val="16"/>
                <w:szCs w:val="16"/>
              </w:rPr>
              <w:t xml:space="preserve">Active Directory: enabled workstations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Customer license inventory contains User CALs only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User count = enabled AD users active within the configured window (or customer input); device count = active AD workstations (or customer input).</w:t>
      </w:r>
    </w:p>
    <w:p>
      <w:pPr>
        <w:pStyle w:val="ListBullet"/>
        <w:numPr>
          <w:ilvl w:val="0"/>
          <w:numId w:val="1"/>
        </w:numPr>
      </w:pPr>
      <w:r>
        <w:rPr>
          <w:sz w:val="17"/>
          <w:szCs w:val="17"/>
        </w:rPr>
        <w:t xml:space="preserve">When the access model cannot be determined from customer evidence both User and Device CAL scenarios are shown and validation is required.</w:t>
      </w:r>
    </w:p>
    <w:p>
      <w:pPr>
        <w:pStyle w:val="ListBullet"/>
        <w:numPr>
          <w:ilvl w:val="0"/>
          <w:numId w:val="1"/>
        </w:numPr>
      </w:pPr>
      <w:r>
        <w:rPr>
          <w:sz w:val="17"/>
          <w:szCs w:val="17"/>
        </w:rPr>
        <w:t xml:space="preserve">Microsoft 365 E3/E5 user subscriptions include Windows Server CAL equivalent rights (verify in the Product Terms for the customer's program).</w:t>
      </w:r>
    </w:p>
    <w:p>
      <w:pPr>
        <w:pStyle w:val="Heading3"/>
      </w:pPr>
      <w:bookmarkStart w:id="119" w:name="_TocMlat00119"/>
      <w:r>
        <w:t xml:space="preserve">Remote Desktop Services CAL (Device) × 138 Device — Organization</w:t>
      </w:r>
      <w:bookmarkEnd w:id="119"/>
    </w:p>
    <w:p>
      <w:pPr>
        <w:keepNext/>
        <w:spacing w:after="80"/>
      </w:pPr>
      <w:r>
        <w:rPr>
          <w:color w:val="5B6475"/>
          <w:sz w:val="17"/>
          <w:szCs w:val="17"/>
        </w:rPr>
        <w:t xml:space="preserve">Requirement REQ-0008  ·  Confidence: Low</w:t>
      </w:r>
      <w:r>
        <w:rPr>
          <w:color w:val="5B6475"/>
          <w:sz w:val="17"/>
          <w:szCs w:val="17"/>
        </w:rPr>
        <w:t xml:space="preserve">  ·  Alternative scenario (not used in the gap analysis): Device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RULE-RDS-006</w:t>
            </w:r>
            <w:r>
              <w:rPr>
                <w:sz w:val="17"/>
                <w:szCs w:val="17"/>
              </w:rPr>
              <w:t xml:space="preserve"> v1.0 — Remote Desktop Services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1" w:history="1">
              <w:r>
                <w:rPr>
                  <w:rStyle w:val="Hyperlink"/>
                  <w:sz w:val="17"/>
                  <w:szCs w:val="17"/>
                </w:rPr>
                <w:t xml:space="preserve">Microsoft Learn - License your RDS deployment with client access licenses (CALs)</w:t>
              </w:r>
            </w:hyperlink>
            <w:r>
              <w:rPr>
                <w:color w:val="5B6475"/>
                <w:sz w:val="15"/>
                <w:szCs w:val="15"/>
              </w:rPr>
              <w:t xml:space="preserve"> (https://learn.microsoft.com/windows-server/remote/remote-desktop-services/rds-client-access-license)</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138 RDS Device CALs (version 2022 or later) under the Device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138</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2022 · capability RDS-CAL-DEVICE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RDS CALs</w:t>
            </w:r>
          </w:p>
        </w:tc>
        <w:tc>
          <w:tcPr>
            <w:tcW w:w="3315" w:type="dxa"/>
          </w:tcPr>
          <w:p>
            <w:pPr>
              <w:pStyle w:val="TableText"/>
            </w:pPr>
            <w:r>
              <w:rPr>
                <w:sz w:val="16"/>
                <w:szCs w:val="16"/>
              </w:rPr>
              <w:t xml:space="preserve">1 (RDS01)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Devices requiring access</w:t>
            </w:r>
          </w:p>
        </w:tc>
        <w:tc>
          <w:tcPr>
            <w:tcW w:w="3315" w:type="dxa"/>
            <w:shd w:val="clear" w:color="auto" w:fill="FAFBFC"/>
          </w:tcPr>
          <w:p>
            <w:pPr>
              <w:pStyle w:val="TableText"/>
            </w:pPr>
            <w:r>
              <w:rPr>
                <w:sz w:val="16"/>
                <w:szCs w:val="16"/>
              </w:rPr>
              <w:t xml:space="preserve">138</w:t>
            </w:r>
          </w:p>
        </w:tc>
        <w:tc>
          <w:tcPr>
            <w:tcW w:w="1757" w:type="dxa"/>
            <w:shd w:val="clear" w:color="auto" w:fill="FAFBFC"/>
          </w:tcPr>
          <w:p>
            <w:pPr>
              <w:pStyle w:val="TableText"/>
            </w:pPr>
            <w:r>
              <w:rPr>
                <w:sz w:val="16"/>
                <w:szCs w:val="16"/>
              </w:rPr>
              <w:t xml:space="preserve">Active Directory: enabled workstations with a logon in the last 90 days (all devices assumed to access RDS)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Session Host licensing mode is Per User on 1 host(s)</w:t>
            </w:r>
          </w:p>
        </w:tc>
        <w:tc>
          <w:tcPr>
            <w:tcW w:w="1757" w:type="dxa"/>
          </w:tcPr>
          <w:p>
            <w:pPr>
              <w:pStyle w:val="TableText"/>
            </w:pPr>
            <w:r>
              <w:rPr>
                <w:sz w:val="16"/>
                <w:szCs w:val="16"/>
              </w:rPr>
              <w:t xml:space="preserve">License inventory / settings</w:t>
            </w:r>
          </w:p>
        </w:tc>
      </w:tr>
      <w:tr>
        <w:trPr>
          <w:cantSplit/>
        </w:trPr>
        <w:tc>
          <w:tcPr>
            <w:tcW w:w="2145" w:type="dxa"/>
            <w:shd w:val="clear" w:color="auto" w:fill="FAFBFC"/>
          </w:tcPr>
          <w:p>
            <w:pPr>
              <w:pStyle w:val="TableText"/>
            </w:pPr>
            <w:r>
              <w:rPr>
                <w:sz w:val="16"/>
                <w:szCs w:val="16"/>
              </w:rPr>
              <w:t xml:space="preserve">RDS01</w:t>
            </w:r>
          </w:p>
        </w:tc>
        <w:tc>
          <w:tcPr>
            <w:tcW w:w="2535" w:type="dxa"/>
            <w:shd w:val="clear" w:color="auto" w:fill="FAFBFC"/>
          </w:tcPr>
          <w:p>
            <w:pPr>
              <w:pStyle w:val="TableText"/>
            </w:pPr>
            <w:r>
              <w:rPr>
                <w:sz w:val="16"/>
                <w:szCs w:val="16"/>
              </w:rPr>
              <w:t xml:space="preserve">RDS licensing mode</w:t>
            </w:r>
          </w:p>
        </w:tc>
        <w:tc>
          <w:tcPr>
            <w:tcW w:w="3315" w:type="dxa"/>
            <w:shd w:val="clear" w:color="auto" w:fill="FAFBFC"/>
          </w:tcPr>
          <w:p>
            <w:pPr>
              <w:pStyle w:val="TableText"/>
            </w:pPr>
            <w:r>
              <w:rPr>
                <w:sz w:val="16"/>
                <w:szCs w:val="16"/>
              </w:rPr>
              <w:t xml:space="preserve">Per User</w:t>
            </w:r>
          </w:p>
        </w:tc>
        <w:tc>
          <w:tcPr>
            <w:tcW w:w="1757" w:type="dxa"/>
            <w:shd w:val="clear" w:color="auto" w:fill="FAFBFC"/>
          </w:tcPr>
          <w:p>
            <w:pPr>
              <w:pStyle w:val="TableText"/>
            </w:pPr>
            <w:r>
              <w:rPr>
                <w:sz w:val="16"/>
                <w:szCs w:val="16"/>
              </w:rPr>
              <w:t xml:space="preserve">WMI (Win32_TerminalServiceSetting)</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Configured license servers</w:t>
            </w:r>
          </w:p>
        </w:tc>
        <w:tc>
          <w:tcPr>
            <w:tcW w:w="3315" w:type="dxa"/>
          </w:tcPr>
          <w:p>
            <w:pPr>
              <w:pStyle w:val="TableText"/>
            </w:pPr>
            <w:r>
              <w:rPr>
                <w:sz w:val="16"/>
                <w:szCs w:val="16"/>
              </w:rPr>
              <w:t xml:space="preserve">DC01.demo.local</w:t>
            </w:r>
          </w:p>
        </w:tc>
        <w:tc>
          <w:tcPr>
            <w:tcW w:w="1757" w:type="dxa"/>
          </w:tcPr>
          <w:p>
            <w:pPr>
              <w:pStyle w:val="TableText"/>
            </w:pPr>
            <w:r>
              <w:rPr>
                <w:sz w:val="16"/>
                <w:szCs w:val="16"/>
              </w:rPr>
              <w:t xml:space="preserve">WMI</w:t>
            </w:r>
          </w:p>
        </w:tc>
      </w:tr>
      <w:tr>
        <w:trPr>
          <w:cantSplit/>
        </w:trPr>
        <w:tc>
          <w:tcPr>
            <w:tcW w:w="2145" w:type="dxa"/>
            <w:shd w:val="clear" w:color="auto" w:fill="FAFBFC"/>
          </w:tcPr>
          <w:p>
            <w:pPr>
              <w:pStyle w:val="TableText"/>
            </w:pPr>
            <w:r>
              <w:rPr>
                <w:sz w:val="16"/>
                <w:szCs w:val="16"/>
              </w:rPr>
              <w:t xml:space="preserve">RDS01</w:t>
            </w:r>
          </w:p>
        </w:tc>
        <w:tc>
          <w:tcPr>
            <w:tcW w:w="2535" w:type="dxa"/>
            <w:shd w:val="clear" w:color="auto" w:fill="FAFBFC"/>
          </w:tcPr>
          <w:p>
            <w:pPr>
              <w:pStyle w:val="TableText"/>
            </w:pPr>
            <w:r>
              <w:rPr>
                <w:sz w:val="16"/>
                <w:szCs w:val="16"/>
              </w:rPr>
              <w:t xml:space="preserve">Active remote sessions at collection</w:t>
            </w:r>
          </w:p>
        </w:tc>
        <w:tc>
          <w:tcPr>
            <w:tcW w:w="3315" w:type="dxa"/>
            <w:shd w:val="clear" w:color="auto" w:fill="FAFBFC"/>
          </w:tcPr>
          <w:p>
            <w:pPr>
              <w:pStyle w:val="TableText"/>
            </w:pPr>
            <w:r>
              <w:rPr>
                <w:sz w:val="16"/>
                <w:szCs w:val="16"/>
              </w:rPr>
              <w:t xml:space="preserve">23</w:t>
            </w:r>
          </w:p>
        </w:tc>
        <w:tc>
          <w:tcPr>
            <w:tcW w:w="1757" w:type="dxa"/>
            <w:shd w:val="clear" w:color="auto" w:fill="FAFBFC"/>
          </w:tcPr>
          <w:p>
            <w:pPr>
              <w:pStyle w:val="TableText"/>
            </w:pPr>
            <w:r>
              <w:rPr>
                <w:sz w:val="16"/>
                <w:szCs w:val="16"/>
              </w:rPr>
              <w:t xml:space="preserve">WMI</w:t>
            </w:r>
          </w:p>
        </w:tc>
      </w:tr>
      <w:tr>
        <w:trPr>
          <w:cantSplit/>
        </w:trPr>
        <w:tc>
          <w:tcPr>
            <w:tcW w:w="2145" w:type="dxa"/>
          </w:tcPr>
          <w:p>
            <w:pPr>
              <w:pStyle w:val="TableText"/>
            </w:pPr>
            <w:r>
              <w:rPr>
                <w:sz w:val="16"/>
                <w:szCs w:val="16"/>
              </w:rPr>
              <w:t xml:space="preserve">RDS01</w:t>
            </w:r>
          </w:p>
        </w:tc>
        <w:tc>
          <w:tcPr>
            <w:tcW w:w="2535" w:type="dxa"/>
          </w:tcPr>
          <w:p>
            <w:pPr>
              <w:pStyle w:val="TableText"/>
            </w:pPr>
            <w:r>
              <w:rPr>
                <w:sz w:val="16"/>
                <w:szCs w:val="16"/>
              </w:rPr>
              <w:t xml:space="preserve">Distinct user profiles</w:t>
            </w:r>
          </w:p>
        </w:tc>
        <w:tc>
          <w:tcPr>
            <w:tcW w:w="3315" w:type="dxa"/>
          </w:tcPr>
          <w:p>
            <w:pPr>
              <w:pStyle w:val="TableText"/>
            </w:pPr>
            <w:r>
              <w:rPr>
                <w:sz w:val="16"/>
                <w:szCs w:val="16"/>
              </w:rPr>
              <w:t xml:space="preserve">42</w:t>
            </w:r>
          </w:p>
        </w:tc>
        <w:tc>
          <w:tcPr>
            <w:tcW w:w="1757" w:type="dxa"/>
          </w:tcPr>
          <w:p>
            <w:pPr>
              <w:pStyle w:val="TableText"/>
            </w:pPr>
            <w:r>
              <w:rPr>
                <w:sz w:val="16"/>
                <w:szCs w:val="16"/>
              </w:rPr>
              <w:t xml:space="preserve">WMI</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RDS users = distinct domain user profiles on Session Hosts (or customer input); RDS devices = issued per-device CALs or active workstations (or customer input).</w:t>
      </w:r>
    </w:p>
    <w:p>
      <w:pPr>
        <w:pStyle w:val="ListBullet"/>
        <w:numPr>
          <w:ilvl w:val="0"/>
          <w:numId w:val="1"/>
        </w:numPr>
      </w:pPr>
      <w:r>
        <w:rPr>
          <w:sz w:val="17"/>
          <w:szCs w:val="17"/>
        </w:rPr>
        <w:t xml:space="preserve">The licensing mode configured on the Session Hosts is used as evidence of the access model.</w:t>
      </w:r>
    </w:p>
    <w:p>
      <w:pPr>
        <w:pStyle w:val="Heading3"/>
      </w:pPr>
      <w:bookmarkStart w:id="120" w:name="_TocMlat00120"/>
      <w:r>
        <w:t xml:space="preserve">SQL Server Standard server license (Server + CAL) × 2 Server — Organization</w:t>
      </w:r>
      <w:bookmarkEnd w:id="120"/>
    </w:p>
    <w:p>
      <w:pPr>
        <w:keepNext/>
        <w:spacing w:after="80"/>
      </w:pPr>
      <w:r>
        <w:rPr>
          <w:color w:val="5B6475"/>
          <w:sz w:val="17"/>
          <w:szCs w:val="17"/>
        </w:rPr>
        <w:t xml:space="preserve">Requirement REQ-0012  ·  Confidence: Medium</w:t>
      </w:r>
      <w:r>
        <w:rPr>
          <w:color w:val="5B6475"/>
          <w:sz w:val="17"/>
          <w:szCs w:val="17"/>
        </w:rPr>
        <w:t xml:space="preserve">  ·  Alternative scenario (not used in the gap analysis): Scenario 2: Server + CAL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RULE-SQL-008</w:t>
            </w:r>
            <w:r>
              <w:rPr>
                <w:sz w:val="17"/>
                <w:szCs w:val="17"/>
              </w:rPr>
              <w:t xml:space="preserve"> v1.0 — SQL Server Standard Server + CAL licensing scenario</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2" w:history="1">
              <w:r>
                <w:rPr>
                  <w:rStyle w:val="Hyperlink"/>
                  <w:sz w:val="17"/>
                  <w:szCs w:val="17"/>
                </w:rPr>
                <w:t xml:space="preserve">Microsoft Product Terms - SQL Server</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Scenario 2 (Server + CAL): 2 SQL Server Standard server licenses plus SQL CALs for every user/device accessing them.</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2</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Standard · version 2019 · capability SQL-STD-SERVER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SQL Server Standard OSEs</w:t>
            </w:r>
          </w:p>
        </w:tc>
        <w:tc>
          <w:tcPr>
            <w:tcW w:w="3315" w:type="dxa"/>
          </w:tcPr>
          <w:p>
            <w:pPr>
              <w:pStyle w:val="TableText"/>
            </w:pPr>
            <w:r>
              <w:rPr>
                <w:sz w:val="16"/>
                <w:szCs w:val="16"/>
              </w:rPr>
              <w:t xml:space="preserve">2 (APP01, ERP01)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SQL Server Standard server licenses owned</w:t>
            </w:r>
          </w:p>
        </w:tc>
        <w:tc>
          <w:tcPr>
            <w:tcW w:w="3315" w:type="dxa"/>
            <w:shd w:val="clear" w:color="auto" w:fill="FAFBFC"/>
          </w:tcPr>
          <w:p>
            <w:pPr>
              <w:pStyle w:val="TableText"/>
            </w:pPr>
            <w:r>
              <w:rPr>
                <w:sz w:val="16"/>
                <w:szCs w:val="16"/>
              </w:rPr>
              <w:t xml:space="preserve">0</w:t>
            </w:r>
          </w:p>
        </w:tc>
        <w:tc>
          <w:tcPr>
            <w:tcW w:w="1757" w:type="dxa"/>
            <w:shd w:val="clear" w:color="auto" w:fill="FAFBFC"/>
          </w:tcPr>
          <w:p>
            <w:pPr>
              <w:pStyle w:val="TableText"/>
            </w:pPr>
            <w:r>
              <w:rPr>
                <w:sz w:val="16"/>
                <w:szCs w:val="16"/>
              </w:rPr>
              <w:t xml:space="preserve">License inventory</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Scenario only: becomes the primary model when the customer owns SQL Server Standard server licenses.</w:t>
      </w:r>
    </w:p>
    <w:p>
      <w:pPr>
        <w:pStyle w:val="Heading3"/>
      </w:pPr>
      <w:bookmarkStart w:id="121" w:name="_TocMlat00121"/>
      <w:r>
        <w:t xml:space="preserve">SQL Server CAL (User) × 168 User — Organization</w:t>
      </w:r>
      <w:bookmarkEnd w:id="121"/>
    </w:p>
    <w:p>
      <w:pPr>
        <w:keepNext/>
        <w:spacing w:after="80"/>
      </w:pPr>
      <w:r>
        <w:rPr>
          <w:color w:val="5B6475"/>
          <w:sz w:val="17"/>
          <w:szCs w:val="17"/>
        </w:rPr>
        <w:t xml:space="preserve">Requirement REQ-0013  ·  Confidence: Medium</w:t>
      </w:r>
      <w:r>
        <w:rPr>
          <w:color w:val="5B6475"/>
          <w:sz w:val="17"/>
          <w:szCs w:val="17"/>
        </w:rPr>
        <w:t xml:space="preserve">  ·  Alternative scenario (not used in the gap analysis): User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RULE-SQL-008</w:t>
            </w:r>
            <w:r>
              <w:rPr>
                <w:sz w:val="17"/>
                <w:szCs w:val="17"/>
              </w:rPr>
              <w:t xml:space="preserve"> v1.0 — SQL Server Standard Server + CAL licensing scenario</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3" w:history="1">
              <w:r>
                <w:rPr>
                  <w:rStyle w:val="Hyperlink"/>
                  <w:sz w:val="17"/>
                  <w:szCs w:val="17"/>
                </w:rPr>
                <w:t xml:space="preserve">Microsoft Product Terms - SQL Server</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168 SQL Server User CALs (version 2019 or later) under the User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168</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2019 · capability SQL-CAL-USER</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SQL Server CALs</w:t>
            </w:r>
          </w:p>
        </w:tc>
        <w:tc>
          <w:tcPr>
            <w:tcW w:w="3315" w:type="dxa"/>
          </w:tcPr>
          <w:p>
            <w:pPr>
              <w:pStyle w:val="TableText"/>
            </w:pPr>
            <w:r>
              <w:rPr>
                <w:sz w:val="16"/>
                <w:szCs w:val="16"/>
              </w:rPr>
              <w:t xml:space="preserve">2 (APP01, ERP01)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Users requiring access</w:t>
            </w:r>
          </w:p>
        </w:tc>
        <w:tc>
          <w:tcPr>
            <w:tcW w:w="3315" w:type="dxa"/>
            <w:shd w:val="clear" w:color="auto" w:fill="FAFBFC"/>
          </w:tcPr>
          <w:p>
            <w:pPr>
              <w:pStyle w:val="TableText"/>
            </w:pPr>
            <w:r>
              <w:rPr>
                <w:sz w:val="16"/>
                <w:szCs w:val="16"/>
              </w:rPr>
              <w:t xml:space="preserve">168</w:t>
            </w:r>
          </w:p>
        </w:tc>
        <w:tc>
          <w:tcPr>
            <w:tcW w:w="1757" w:type="dxa"/>
            <w:shd w:val="clear" w:color="auto" w:fill="FAFBFC"/>
          </w:tcPr>
          <w:p>
            <w:pPr>
              <w:pStyle w:val="TableText"/>
            </w:pPr>
            <w:r>
              <w:rPr>
                <w:sz w:val="16"/>
                <w:szCs w:val="16"/>
              </w:rPr>
              <w:t xml:space="preserve">Active Directory: enabled users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No CAL evidence in the license inventory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Scenario only: becomes the primary model when the customer owns SQL Server Standard server licenses.</w:t>
      </w:r>
    </w:p>
    <w:p>
      <w:pPr>
        <w:pStyle w:val="Heading3"/>
      </w:pPr>
      <w:bookmarkStart w:id="122" w:name="_TocMlat00122"/>
      <w:r>
        <w:t xml:space="preserve">SQL Server CAL (Device) × 138 Device — Organization</w:t>
      </w:r>
      <w:bookmarkEnd w:id="122"/>
    </w:p>
    <w:p>
      <w:pPr>
        <w:keepNext/>
        <w:spacing w:after="80"/>
      </w:pPr>
      <w:r>
        <w:rPr>
          <w:color w:val="5B6475"/>
          <w:sz w:val="17"/>
          <w:szCs w:val="17"/>
        </w:rPr>
        <w:t xml:space="preserve">Requirement REQ-0014  ·  Confidence: Medium</w:t>
      </w:r>
      <w:r>
        <w:rPr>
          <w:color w:val="5B6475"/>
          <w:sz w:val="17"/>
          <w:szCs w:val="17"/>
        </w:rPr>
        <w:t xml:space="preserve">  ·  Alternative scenario (not used in the gap analysis): Device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RULE-SQL-008</w:t>
            </w:r>
            <w:r>
              <w:rPr>
                <w:sz w:val="17"/>
                <w:szCs w:val="17"/>
              </w:rPr>
              <w:t xml:space="preserve"> v1.0 — SQL Server Standard Server + CAL licensing scenario</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4" w:history="1">
              <w:r>
                <w:rPr>
                  <w:rStyle w:val="Hyperlink"/>
                  <w:sz w:val="17"/>
                  <w:szCs w:val="17"/>
                </w:rPr>
                <w:t xml:space="preserve">Microsoft Product Terms - SQL Server</w:t>
              </w:r>
            </w:hyperlink>
            <w:r>
              <w:rPr>
                <w:color w:val="5B6475"/>
                <w:sz w:val="15"/>
                <w:szCs w:val="15"/>
              </w:rPr>
              <w:t xml:space="preserve"> (https://www.microsoft.com/licensing/docs/view/SQL-Server)</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138 SQL Server Device CALs (version 2019 or later) under the Device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138</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2019 · capability SQL-CAL-DEVICE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SQL Server CALs</w:t>
            </w:r>
          </w:p>
        </w:tc>
        <w:tc>
          <w:tcPr>
            <w:tcW w:w="3315" w:type="dxa"/>
          </w:tcPr>
          <w:p>
            <w:pPr>
              <w:pStyle w:val="TableText"/>
            </w:pPr>
            <w:r>
              <w:rPr>
                <w:sz w:val="16"/>
                <w:szCs w:val="16"/>
              </w:rPr>
              <w:t xml:space="preserve">2 (APP01, ERP01)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Devices requiring access</w:t>
            </w:r>
          </w:p>
        </w:tc>
        <w:tc>
          <w:tcPr>
            <w:tcW w:w="3315" w:type="dxa"/>
            <w:shd w:val="clear" w:color="auto" w:fill="FAFBFC"/>
          </w:tcPr>
          <w:p>
            <w:pPr>
              <w:pStyle w:val="TableText"/>
            </w:pPr>
            <w:r>
              <w:rPr>
                <w:sz w:val="16"/>
                <w:szCs w:val="16"/>
              </w:rPr>
              <w:t xml:space="preserve">138</w:t>
            </w:r>
          </w:p>
        </w:tc>
        <w:tc>
          <w:tcPr>
            <w:tcW w:w="1757" w:type="dxa"/>
            <w:shd w:val="clear" w:color="auto" w:fill="FAFBFC"/>
          </w:tcPr>
          <w:p>
            <w:pPr>
              <w:pStyle w:val="TableText"/>
            </w:pPr>
            <w:r>
              <w:rPr>
                <w:sz w:val="16"/>
                <w:szCs w:val="16"/>
              </w:rPr>
              <w:t xml:space="preserve">Active Directory: enabled workstations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No CAL evidence in the license inventory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Scenario only: becomes the primary model when the customer owns SQL Server Standard server licenses.</w:t>
      </w:r>
    </w:p>
    <w:p>
      <w:pPr>
        <w:pStyle w:val="Heading3"/>
      </w:pPr>
      <w:bookmarkStart w:id="123" w:name="_TocMlat00123"/>
      <w:r>
        <w:t xml:space="preserve">Exchange Server Standard CAL (Device) × 138 Device — Organization</w:t>
      </w:r>
      <w:bookmarkEnd w:id="123"/>
    </w:p>
    <w:p>
      <w:pPr>
        <w:keepNext/>
        <w:spacing w:after="80"/>
      </w:pPr>
      <w:r>
        <w:rPr>
          <w:color w:val="5B6475"/>
          <w:sz w:val="17"/>
          <w:szCs w:val="17"/>
        </w:rPr>
        <w:t xml:space="preserve">Requirement REQ-0025  ·  Confidence: Low</w:t>
      </w:r>
      <w:r>
        <w:rPr>
          <w:color w:val="5B6475"/>
          <w:sz w:val="17"/>
          <w:szCs w:val="17"/>
        </w:rPr>
        <w:t xml:space="preserve">  ·  Alternative scenario (not used in the gap analysis): Device CAL model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950"/>
        <w:gridCol w:w="7802"/>
      </w:tblGrid>
      <w:tr>
        <w:trPr>
          <w:cantSplit/>
        </w:trPr>
        <w:tc>
          <w:tcPr>
            <w:tcW w:w="1950" w:type="dxa"/>
          </w:tcPr>
          <w:p>
            <w:pPr>
              <w:pStyle w:val="TableText"/>
            </w:pPr>
            <w:r>
              <w:rPr>
                <w:color w:val="5B6475"/>
                <w:sz w:val="17"/>
                <w:szCs w:val="17"/>
              </w:rPr>
              <w:t xml:space="preserve">Rule</w:t>
            </w:r>
          </w:p>
        </w:tc>
        <w:tc>
          <w:tcPr>
            <w:tcW w:w="7802" w:type="dxa"/>
          </w:tcPr>
          <w:p>
            <w:pPr>
              <w:pStyle w:val="TableText"/>
            </w:pPr>
            <w:r>
              <w:rPr>
                <w:b/>
                <w:bCs/>
                <w:sz w:val="17"/>
                <w:szCs w:val="17"/>
              </w:rPr>
              <w:t xml:space="preserve">RULE-EXCH-018</w:t>
            </w:r>
            <w:r>
              <w:rPr>
                <w:sz w:val="17"/>
                <w:szCs w:val="17"/>
              </w:rPr>
              <w:t xml:space="preserve"> v1.0 — Exchange Server (server license + CALs)</w:t>
            </w:r>
          </w:p>
        </w:tc>
      </w:tr>
      <w:tr>
        <w:trPr>
          <w:cantSplit/>
        </w:trPr>
        <w:tc>
          <w:tcPr>
            <w:tcW w:w="1950" w:type="dxa"/>
          </w:tcPr>
          <w:p>
            <w:pPr>
              <w:pStyle w:val="TableText"/>
            </w:pPr>
            <w:r>
              <w:rPr>
                <w:color w:val="5B6475"/>
                <w:sz w:val="17"/>
                <w:szCs w:val="17"/>
              </w:rPr>
              <w:t xml:space="preserve">Last reviewed</w:t>
            </w:r>
          </w:p>
        </w:tc>
        <w:tc>
          <w:tcPr>
            <w:tcW w:w="7802" w:type="dxa"/>
          </w:tcPr>
          <w:p>
            <w:pPr>
              <w:pStyle w:val="TableText"/>
            </w:pPr>
            <w:r>
              <w:rPr>
                <w:sz w:val="17"/>
                <w:szCs w:val="17"/>
              </w:rPr>
              <w:t xml:space="preserve">2026-10-01</w:t>
            </w:r>
          </w:p>
        </w:tc>
      </w:tr>
      <w:tr>
        <w:trPr>
          <w:cantSplit/>
        </w:trPr>
        <w:tc>
          <w:tcPr>
            <w:tcW w:w="1950" w:type="dxa"/>
          </w:tcPr>
          <w:p>
            <w:pPr>
              <w:pStyle w:val="TableText"/>
            </w:pPr>
            <w:r>
              <w:rPr>
                <w:color w:val="5B6475"/>
                <w:sz w:val="17"/>
                <w:szCs w:val="17"/>
              </w:rPr>
              <w:t xml:space="preserve">Source</w:t>
            </w:r>
          </w:p>
        </w:tc>
        <w:tc>
          <w:tcPr>
            <w:tcW w:w="7802" w:type="dxa"/>
          </w:tcPr>
          <w:p>
            <w:pPr>
              <w:pStyle w:val="TableText"/>
            </w:pPr>
            <w:hyperlink r:id="rId175" w:history="1">
              <w:r>
                <w:rPr>
                  <w:rStyle w:val="Hyperlink"/>
                  <w:sz w:val="17"/>
                  <w:szCs w:val="17"/>
                </w:rPr>
                <w:t xml:space="preserve">Microsoft Product Terms - Exchange Server</w:t>
              </w:r>
            </w:hyperlink>
            <w:r>
              <w:rPr>
                <w:color w:val="5B6475"/>
                <w:sz w:val="15"/>
                <w:szCs w:val="15"/>
              </w:rPr>
              <w:t xml:space="preserve"> (https://www.microsoft.com/licensing/terms/)</w:t>
            </w:r>
          </w:p>
        </w:tc>
      </w:tr>
      <w:tr>
        <w:trPr>
          <w:cantSplit/>
        </w:trPr>
        <w:tc>
          <w:tcPr>
            <w:tcW w:w="1950" w:type="dxa"/>
          </w:tcPr>
          <w:p>
            <w:pPr>
              <w:pStyle w:val="TableText"/>
            </w:pPr>
            <w:r>
              <w:rPr>
                <w:color w:val="5B6475"/>
                <w:sz w:val="17"/>
                <w:szCs w:val="17"/>
              </w:rPr>
              <w:t xml:space="preserve">Licensing interpretation</w:t>
            </w:r>
          </w:p>
        </w:tc>
        <w:tc>
          <w:tcPr>
            <w:tcW w:w="7802" w:type="dxa"/>
          </w:tcPr>
          <w:p>
            <w:pPr>
              <w:pStyle w:val="TableText"/>
            </w:pPr>
            <w:r>
              <w:rPr>
                <w:sz w:val="17"/>
                <w:szCs w:val="17"/>
              </w:rPr>
              <w:t xml:space="preserve">Potential requirement: 138 Exchange Server Device CALs (version 2019 or later) under the Device CAL model.</w:t>
            </w:r>
          </w:p>
        </w:tc>
      </w:tr>
      <w:tr>
        <w:trPr>
          <w:cantSplit/>
        </w:trPr>
        <w:tc>
          <w:tcPr>
            <w:tcW w:w="1950" w:type="dxa"/>
          </w:tcPr>
          <w:p>
            <w:pPr>
              <w:pStyle w:val="TableText"/>
            </w:pPr>
            <w:r>
              <w:rPr>
                <w:color w:val="5B6475"/>
                <w:sz w:val="17"/>
                <w:szCs w:val="17"/>
              </w:rPr>
              <w:t xml:space="preserve">Allocation</w:t>
            </w:r>
          </w:p>
        </w:tc>
        <w:tc>
          <w:tcPr>
            <w:tcW w:w="7802" w:type="dxa"/>
          </w:tcPr>
          <w:p>
            <w:pPr>
              <w:pStyle w:val="TableText"/>
            </w:pPr>
            <w:r>
              <w:rPr>
                <w:sz w:val="17"/>
                <w:szCs w:val="17"/>
              </w:rPr>
              <w:t xml:space="preserve">covered 0, gap </w:t>
            </w:r>
            <w:r>
              <w:rPr>
                <w:b/>
                <w:bCs/>
                <w:color w:val="C62828"/>
                <w:sz w:val="17"/>
                <w:szCs w:val="17"/>
              </w:rPr>
              <w:t xml:space="preserve">138</w:t>
            </w:r>
            <w:r>
              <w:rPr>
                <w:sz w:val="17"/>
                <w:szCs w:val="17"/>
              </w:rPr>
              <w:t xml:space="preserve"> · covered by: Scenario only - not included in the gap analysis (0 held)</w:t>
            </w:r>
          </w:p>
        </w:tc>
      </w:tr>
      <w:tr>
        <w:trPr>
          <w:cantSplit/>
        </w:trPr>
        <w:tc>
          <w:tcPr>
            <w:tcW w:w="1950" w:type="dxa"/>
          </w:tcPr>
          <w:p>
            <w:pPr>
              <w:pStyle w:val="TableText"/>
            </w:pPr>
            <w:r>
              <w:rPr>
                <w:color w:val="5B6475"/>
                <w:sz w:val="17"/>
                <w:szCs w:val="17"/>
              </w:rPr>
              <w:t xml:space="preserve">Details</w:t>
            </w:r>
          </w:p>
        </w:tc>
        <w:tc>
          <w:tcPr>
            <w:tcW w:w="7802" w:type="dxa"/>
          </w:tcPr>
          <w:p>
            <w:pPr>
              <w:pStyle w:val="TableText"/>
            </w:pPr>
            <w:r>
              <w:rPr>
                <w:sz w:val="17"/>
                <w:szCs w:val="17"/>
              </w:rPr>
              <w:t xml:space="preserve">edition CAL · version 2019 · capability EXCH-CAL-DEVICE</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145"/>
        <w:gridCol w:w="2535"/>
        <w:gridCol w:w="3315"/>
        <w:gridCol w:w="1757"/>
      </w:tblGrid>
      <w:tr>
        <w:trPr>
          <w:cantSplit/>
          <w:tblHeader/>
        </w:trPr>
        <w:tc>
          <w:tcPr>
            <w:tcW w:w="2145" w:type="dxa"/>
            <w:shd w:val="clear" w:color="auto" w:fill="E9EDF3"/>
            <w:vAlign w:val="bottom"/>
          </w:tcPr>
          <w:p>
            <w:pPr>
              <w:pStyle w:val="TableText"/>
              <w:keepNext/>
            </w:pPr>
            <w:r>
              <w:rPr>
                <w:b/>
                <w:bCs/>
                <w:color w:val="1F3A5F"/>
                <w:sz w:val="16"/>
                <w:szCs w:val="16"/>
              </w:rPr>
              <w:t xml:space="preserve">Target</w:t>
            </w:r>
          </w:p>
        </w:tc>
        <w:tc>
          <w:tcPr>
            <w:tcW w:w="2535" w:type="dxa"/>
            <w:shd w:val="clear" w:color="auto" w:fill="E9EDF3"/>
            <w:vAlign w:val="bottom"/>
          </w:tcPr>
          <w:p>
            <w:pPr>
              <w:pStyle w:val="TableText"/>
              <w:keepNext/>
            </w:pPr>
            <w:r>
              <w:rPr>
                <w:b/>
                <w:bCs/>
                <w:color w:val="1F3A5F"/>
                <w:sz w:val="16"/>
                <w:szCs w:val="16"/>
              </w:rPr>
              <w:t xml:space="preserve">Fact</w:t>
            </w:r>
          </w:p>
        </w:tc>
        <w:tc>
          <w:tcPr>
            <w:tcW w:w="3315" w:type="dxa"/>
            <w:shd w:val="clear" w:color="auto" w:fill="E9EDF3"/>
            <w:vAlign w:val="bottom"/>
          </w:tcPr>
          <w:p>
            <w:pPr>
              <w:pStyle w:val="TableText"/>
              <w:keepNext/>
            </w:pPr>
            <w:r>
              <w:rPr>
                <w:b/>
                <w:bCs/>
                <w:color w:val="1F3A5F"/>
                <w:sz w:val="16"/>
                <w:szCs w:val="16"/>
              </w:rPr>
              <w:t xml:space="preserve">Value</w:t>
            </w:r>
          </w:p>
        </w:tc>
        <w:tc>
          <w:tcPr>
            <w:tcW w:w="1757" w:type="dxa"/>
            <w:shd w:val="clear" w:color="auto" w:fill="E9EDF3"/>
            <w:vAlign w:val="bottom"/>
          </w:tcPr>
          <w:p>
            <w:pPr>
              <w:pStyle w:val="TableText"/>
              <w:keepNext/>
            </w:pPr>
            <w:r>
              <w:rPr>
                <w:b/>
                <w:bCs/>
                <w:color w:val="1F3A5F"/>
                <w:sz w:val="16"/>
                <w:szCs w:val="16"/>
              </w:rPr>
              <w:t xml:space="preserve">Source</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Servers requiring Exchange Server CALs</w:t>
            </w:r>
          </w:p>
        </w:tc>
        <w:tc>
          <w:tcPr>
            <w:tcW w:w="3315" w:type="dxa"/>
          </w:tcPr>
          <w:p>
            <w:pPr>
              <w:pStyle w:val="TableText"/>
            </w:pPr>
            <w:r>
              <w:rPr>
                <w:sz w:val="16"/>
                <w:szCs w:val="16"/>
              </w:rPr>
              <w:t xml:space="preserve">1 (EXCH01)</w:t>
            </w:r>
          </w:p>
        </w:tc>
        <w:tc>
          <w:tcPr>
            <w:tcW w:w="1757" w:type="dxa"/>
          </w:tcPr>
          <w:p>
            <w:pPr>
              <w:pStyle w:val="TableText"/>
            </w:pPr>
            <w:r>
              <w:rPr>
                <w:sz w:val="16"/>
                <w:szCs w:val="16"/>
              </w:rPr>
              <w:t xml:space="preserve">Inventory</w:t>
            </w:r>
          </w:p>
        </w:tc>
      </w:tr>
      <w:tr>
        <w:trPr>
          <w:cantSplit/>
        </w:trPr>
        <w:tc>
          <w:tcPr>
            <w:tcW w:w="2145" w:type="dxa"/>
            <w:shd w:val="clear" w:color="auto" w:fill="FAFBFC"/>
          </w:tcPr>
          <w:p>
            <w:pPr>
              <w:pStyle w:val="TableText"/>
            </w:pPr>
            <w:r>
              <w:rPr>
                <w:sz w:val="16"/>
                <w:szCs w:val="16"/>
              </w:rPr>
              <w:t xml:space="preserve">Organization</w:t>
            </w:r>
          </w:p>
        </w:tc>
        <w:tc>
          <w:tcPr>
            <w:tcW w:w="2535" w:type="dxa"/>
            <w:shd w:val="clear" w:color="auto" w:fill="FAFBFC"/>
          </w:tcPr>
          <w:p>
            <w:pPr>
              <w:pStyle w:val="TableText"/>
            </w:pPr>
            <w:r>
              <w:rPr>
                <w:sz w:val="16"/>
                <w:szCs w:val="16"/>
              </w:rPr>
              <w:t xml:space="preserve">Devices requiring access</w:t>
            </w:r>
          </w:p>
        </w:tc>
        <w:tc>
          <w:tcPr>
            <w:tcW w:w="3315" w:type="dxa"/>
            <w:shd w:val="clear" w:color="auto" w:fill="FAFBFC"/>
          </w:tcPr>
          <w:p>
            <w:pPr>
              <w:pStyle w:val="TableText"/>
            </w:pPr>
            <w:r>
              <w:rPr>
                <w:sz w:val="16"/>
                <w:szCs w:val="16"/>
              </w:rPr>
              <w:t xml:space="preserve">138</w:t>
            </w:r>
          </w:p>
        </w:tc>
        <w:tc>
          <w:tcPr>
            <w:tcW w:w="1757" w:type="dxa"/>
            <w:shd w:val="clear" w:color="auto" w:fill="FAFBFC"/>
          </w:tcPr>
          <w:p>
            <w:pPr>
              <w:pStyle w:val="TableText"/>
            </w:pPr>
            <w:r>
              <w:rPr>
                <w:sz w:val="16"/>
                <w:szCs w:val="16"/>
              </w:rPr>
              <w:t xml:space="preserve">Active Directory: enabled workstations with a logon in the last 90 days</w:t>
            </w:r>
          </w:p>
        </w:tc>
      </w:tr>
      <w:tr>
        <w:trPr>
          <w:cantSplit/>
        </w:trPr>
        <w:tc>
          <w:tcPr>
            <w:tcW w:w="2145" w:type="dxa"/>
          </w:tcPr>
          <w:p>
            <w:pPr>
              <w:pStyle w:val="TableText"/>
            </w:pPr>
            <w:r>
              <w:rPr>
                <w:sz w:val="16"/>
                <w:szCs w:val="16"/>
              </w:rPr>
              <w:t xml:space="preserve">Organization</w:t>
            </w:r>
          </w:p>
        </w:tc>
        <w:tc>
          <w:tcPr>
            <w:tcW w:w="2535" w:type="dxa"/>
          </w:tcPr>
          <w:p>
            <w:pPr>
              <w:pStyle w:val="TableText"/>
            </w:pPr>
            <w:r>
              <w:rPr>
                <w:sz w:val="16"/>
                <w:szCs w:val="16"/>
              </w:rPr>
              <w:t xml:space="preserve">Access model evidence</w:t>
            </w:r>
          </w:p>
        </w:tc>
        <w:tc>
          <w:tcPr>
            <w:tcW w:w="3315" w:type="dxa"/>
          </w:tcPr>
          <w:p>
            <w:pPr>
              <w:pStyle w:val="TableText"/>
            </w:pPr>
            <w:r>
              <w:rPr>
                <w:sz w:val="16"/>
                <w:szCs w:val="16"/>
              </w:rPr>
              <w:t xml:space="preserve">Customer license inventory contains User CALs only</w:t>
            </w:r>
          </w:p>
        </w:tc>
        <w:tc>
          <w:tcPr>
            <w:tcW w:w="1757" w:type="dxa"/>
          </w:tcPr>
          <w:p>
            <w:pPr>
              <w:pStyle w:val="TableText"/>
            </w:pPr>
            <w:r>
              <w:rPr>
                <w:sz w:val="16"/>
                <w:szCs w:val="16"/>
              </w:rPr>
              <w:t xml:space="preserve">License inventory / settings</w:t>
            </w:r>
          </w:p>
        </w:tc>
      </w:tr>
    </w:tbl>
    <w:p>
      <w:pPr>
        <w:spacing w:before="0" w:after="0" w:line="240" w:lineRule="auto"/>
        <w:rPr>
          <w:sz w:val="12"/>
          <w:szCs w:val="12"/>
        </w:rPr>
      </w:pPr>
    </w:p>
    <w:p>
      <w:pPr>
        <w:keepNext/>
        <w:spacing w:after="40"/>
      </w:pPr>
      <w:r>
        <w:rPr>
          <w:b/>
          <w:bCs/>
          <w:sz w:val="17"/>
          <w:szCs w:val="17"/>
        </w:rPr>
        <w:t xml:space="preserve">Assumptions</w:t>
      </w:r>
    </w:p>
    <w:p>
      <w:pPr>
        <w:pStyle w:val="ListBullet"/>
        <w:numPr>
          <w:ilvl w:val="0"/>
          <w:numId w:val="1"/>
        </w:numPr>
      </w:pPr>
      <w:r>
        <w:rPr>
          <w:sz w:val="17"/>
          <w:szCs w:val="17"/>
        </w:rPr>
        <w:t xml:space="preserve">Edition cannot be determined from the server; Standard is assumed - validate (Enterprise is needed above 5 databases).</w:t>
      </w:r>
    </w:p>
    <w:p>
      <w:pPr>
        <w:pStyle w:val="ListBullet"/>
        <w:numPr>
          <w:ilvl w:val="0"/>
          <w:numId w:val="1"/>
        </w:numPr>
      </w:pPr>
      <w:r>
        <w:rPr>
          <w:sz w:val="17"/>
          <w:szCs w:val="17"/>
        </w:rPr>
        <w:t xml:space="preserve">Exchange Server Subscription Edition requires active SA or subscription.</w:t>
      </w:r>
    </w:p>
    <w:p>
      <w:pPr>
        <w:pStyle w:val="Heading1"/>
        <w:pageBreakBefore/>
      </w:pPr>
      <w:bookmarkStart w:id="124" w:name="_TocMlat00124"/>
      <w:r>
        <w:t xml:space="preserve">Data collection coverage</w:t>
      </w:r>
      <w:bookmarkEnd w:id="124"/>
    </w:p>
    <w:p>
      <w:r>
        <w:rPr>
          <w:rFonts w:ascii="Segoe UI Symbol" w:hAnsi="Segoe UI Symbol" w:cs="Segoe UI Symbol"/>
          <w:b/>
          <w:bCs/>
          <w:color w:val="2E7D32"/>
        </w:rPr>
        <w:t xml:space="preserve">✓</w:t>
      </w:r>
      <w:r>
        <w:rPr>
          <w:b/>
          <w:bCs/>
        </w:rPr>
        <w:t xml:space="preserve"> 212</w:t>
      </w:r>
      <w:r>
        <w:t xml:space="preserve"> collected     </w:t>
      </w:r>
      <w:r>
        <w:rPr>
          <w:rFonts w:ascii="Segoe UI Symbol" w:hAnsi="Segoe UI Symbol" w:cs="Segoe UI Symbol"/>
          <w:b/>
          <w:bCs/>
          <w:color w:val="B7791F"/>
        </w:rPr>
        <w:t xml:space="preserve">⚠</w:t>
      </w:r>
      <w:r>
        <w:rPr>
          <w:b/>
          <w:bCs/>
        </w:rPr>
        <w:t xml:space="preserve"> 4</w:t>
      </w:r>
      <w:r>
        <w:t xml:space="preserve"> partial / permission denied     </w:t>
      </w:r>
      <w:r>
        <w:rPr>
          <w:rFonts w:ascii="Segoe UI Symbol" w:hAnsi="Segoe UI Symbol" w:cs="Segoe UI Symbol"/>
          <w:b/>
          <w:bCs/>
          <w:color w:val="C62828"/>
        </w:rPr>
        <w:t xml:space="preserve">✕</w:t>
      </w:r>
      <w:r>
        <w:rPr>
          <w:b/>
          <w:bCs/>
        </w:rPr>
        <w:t xml:space="preserve"> 2</w:t>
      </w:r>
      <w:r>
        <w:t xml:space="preserve"> not accessible / failed     </w:t>
      </w:r>
      <w:r>
        <w:rPr>
          <w:rFonts w:ascii="Segoe UI Symbol" w:hAnsi="Segoe UI Symbol" w:cs="Segoe UI Symbol"/>
          <w:b/>
          <w:bCs/>
          <w:color w:val="9AA3B2"/>
        </w:rPr>
        <w:t xml:space="preserve">–</w:t>
      </w:r>
      <w:r>
        <w:rPr>
          <w:b/>
          <w:bCs/>
        </w:rPr>
        <w:t xml:space="preserve"> 0</w:t>
      </w:r>
      <w:r>
        <w:t xml:space="preserve"> not applicable / not in scope</w:t>
      </w:r>
    </w:p>
    <w:p>
      <w:pPr>
        <w:pStyle w:val="Small"/>
      </w:pPr>
      <w:r>
        <w:t xml:space="preserve">30 targets, 27 modules. The matrix shows the worst status per target and module.</w:t>
      </w:r>
    </w:p>
    <w:tbl>
      <w:tblPr>
        <w:tblStyle w:val="MlatTable"/>
        <w:tblW w:w="9752" w:type="dxa"/>
        <w:tblInd w:w="0" w:type="dxa"/>
        <w:tblBorders>
          <w:top w:val="single" w:sz="4" w:space="0" w:color="D9DEE7"/>
          <w:left w:val="single" w:sz="4" w:space="0" w:color="D9DEE7"/>
          <w:bottom w:val="single" w:sz="4" w:space="0" w:color="D9DEE7"/>
          <w:right w:val="single" w:sz="4" w:space="0" w:color="D9DEE7"/>
          <w:insideH w:val="single" w:sz="4" w:space="0" w:color="D9DEE7"/>
          <w:insideV w:val="single" w:sz="4" w:space="0" w:color="D9DEE7"/>
        </w:tblBorders>
        <w:tblLayout w:type="fixed"/>
        <w:tblCellMar>
          <w:top w:w="35" w:type="dxa"/>
          <w:left w:w="80" w:type="dxa"/>
          <w:bottom w:w="35" w:type="dxa"/>
          <w:right w:w="80" w:type="dxa"/>
        </w:tblCellMar>
        <w:tblLook w:val="04A0" w:firstRow="1" w:lastRow="0" w:firstColumn="0" w:lastColumn="0" w:noHBand="0" w:noVBand="1"/>
      </w:tblPr>
      <w:tblGrid>
        <w:gridCol w:w="2535"/>
        <w:gridCol w:w="1030"/>
        <w:gridCol w:w="1030"/>
        <w:gridCol w:w="1030"/>
        <w:gridCol w:w="1030"/>
        <w:gridCol w:w="1030"/>
        <w:gridCol w:w="1030"/>
        <w:gridCol w:w="1037"/>
      </w:tblGrid>
      <w:tr>
        <w:trPr>
          <w:cantSplit/>
          <w:tblHeader/>
        </w:trPr>
        <w:tc>
          <w:tcPr>
            <w:tcW w:w="2535" w:type="dxa"/>
            <w:shd w:val="clear" w:color="auto" w:fill="1F3A5F"/>
            <w:vAlign w:val="bottom"/>
          </w:tcPr>
          <w:p>
            <w:pPr>
              <w:pStyle w:val="TableText"/>
              <w:keepNext/>
            </w:pPr>
            <w:r>
              <w:rPr>
                <w:b/>
                <w:bCs/>
                <w:color w:val="FFFFFF"/>
                <w:sz w:val="15"/>
                <w:szCs w:val="15"/>
              </w:rPr>
              <w:t xml:space="preserve">Target</w:t>
            </w:r>
          </w:p>
        </w:tc>
        <w:tc>
          <w:tcPr>
            <w:tcW w:w="1030" w:type="dxa"/>
            <w:shd w:val="clear" w:color="auto" w:fill="1F3A5F"/>
            <w:vAlign w:val="bottom"/>
          </w:tcPr>
          <w:p>
            <w:pPr>
              <w:pStyle w:val="TableText"/>
              <w:keepNext/>
            </w:pPr>
            <w:r>
              <w:rPr>
                <w:b/>
                <w:bCs/>
                <w:color w:val="FFFFFF"/>
                <w:sz w:val="15"/>
                <w:szCs w:val="15"/>
              </w:rPr>
              <w:t xml:space="preserve">Local computer</w:t>
            </w:r>
          </w:p>
        </w:tc>
        <w:tc>
          <w:tcPr>
            <w:tcW w:w="1030" w:type="dxa"/>
            <w:shd w:val="clear" w:color="auto" w:fill="1F3A5F"/>
            <w:vAlign w:val="bottom"/>
          </w:tcPr>
          <w:p>
            <w:pPr>
              <w:pStyle w:val="TableText"/>
              <w:keepNext/>
            </w:pPr>
            <w:r>
              <w:rPr>
                <w:b/>
                <w:bCs/>
                <w:color w:val="FFFFFF"/>
                <w:sz w:val="15"/>
                <w:szCs w:val="15"/>
              </w:rPr>
              <w:t xml:space="preserve">Active Directory</w:t>
            </w:r>
          </w:p>
        </w:tc>
        <w:tc>
          <w:tcPr>
            <w:tcW w:w="1030" w:type="dxa"/>
            <w:shd w:val="clear" w:color="auto" w:fill="1F3A5F"/>
            <w:vAlign w:val="bottom"/>
          </w:tcPr>
          <w:p>
            <w:pPr>
              <w:pStyle w:val="TableText"/>
              <w:keepNext/>
            </w:pPr>
            <w:r>
              <w:rPr>
                <w:b/>
                <w:bCs/>
                <w:color w:val="FFFFFF"/>
                <w:sz w:val="15"/>
                <w:szCs w:val="15"/>
              </w:rPr>
              <w:t xml:space="preserve">Windows computers (remote scan)</w:t>
            </w:r>
          </w:p>
        </w:tc>
        <w:tc>
          <w:tcPr>
            <w:tcW w:w="1030" w:type="dxa"/>
            <w:shd w:val="clear" w:color="auto" w:fill="1F3A5F"/>
            <w:vAlign w:val="bottom"/>
          </w:tcPr>
          <w:p>
            <w:pPr>
              <w:pStyle w:val="TableText"/>
              <w:keepNext/>
            </w:pPr>
            <w:r>
              <w:rPr>
                <w:b/>
                <w:bCs/>
                <w:color w:val="FFFFFF"/>
                <w:sz w:val="15"/>
                <w:szCs w:val="15"/>
              </w:rPr>
              <w:t xml:space="preserve">Virtual machines (in-guest)</w:t>
            </w:r>
          </w:p>
        </w:tc>
        <w:tc>
          <w:tcPr>
            <w:tcW w:w="1030" w:type="dxa"/>
            <w:shd w:val="clear" w:color="auto" w:fill="1F3A5F"/>
            <w:vAlign w:val="bottom"/>
          </w:tcPr>
          <w:p>
            <w:pPr>
              <w:pStyle w:val="TableText"/>
              <w:keepNext/>
            </w:pPr>
            <w:r>
              <w:rPr>
                <w:b/>
                <w:bCs/>
                <w:color w:val="FFFFFF"/>
                <w:sz w:val="15"/>
                <w:szCs w:val="15"/>
              </w:rPr>
              <w:t xml:space="preserve">Microsoft 365</w:t>
            </w:r>
          </w:p>
        </w:tc>
        <w:tc>
          <w:tcPr>
            <w:tcW w:w="1030" w:type="dxa"/>
            <w:shd w:val="clear" w:color="auto" w:fill="1F3A5F"/>
            <w:vAlign w:val="bottom"/>
          </w:tcPr>
          <w:p>
            <w:pPr>
              <w:pStyle w:val="TableText"/>
              <w:keepNext/>
            </w:pPr>
            <w:r>
              <w:rPr>
                <w:b/>
                <w:bCs/>
                <w:color w:val="FFFFFF"/>
                <w:sz w:val="15"/>
                <w:szCs w:val="15"/>
              </w:rPr>
              <w:t xml:space="preserve">License inventory import</w:t>
            </w:r>
          </w:p>
        </w:tc>
        <w:tc>
          <w:tcPr>
            <w:tcW w:w="1037" w:type="dxa"/>
            <w:shd w:val="clear" w:color="auto" w:fill="1F3A5F"/>
            <w:vAlign w:val="bottom"/>
          </w:tcPr>
          <w:p>
            <w:pPr>
              <w:pStyle w:val="TableText"/>
              <w:keepNext/>
            </w:pPr>
            <w:r>
              <w:rPr>
                <w:b/>
                <w:bCs/>
                <w:color w:val="FFFFFF"/>
                <w:sz w:val="15"/>
                <w:szCs w:val="15"/>
              </w:rPr>
              <w:t xml:space="preserve">VMware vCenter</w:t>
            </w:r>
          </w:p>
        </w:tc>
      </w:tr>
      <w:tr>
        <w:trPr>
          <w:cantSplit/>
        </w:trPr>
        <w:tc>
          <w:tcPr>
            <w:tcW w:w="2535" w:type="dxa"/>
          </w:tcPr>
          <w:p>
            <w:pPr>
              <w:pStyle w:val="TableText"/>
            </w:pPr>
            <w:r>
              <w:rPr>
                <w:b/>
                <w:bCs/>
                <w:sz w:val="15"/>
                <w:szCs w:val="15"/>
              </w:rPr>
              <w:t xml:space="preserve">APP01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APP02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FF2CC"/>
          </w:tcPr>
          <w:p>
            <w:pPr>
              <w:pStyle w:val="TableText"/>
              <w:jc w:val="center"/>
            </w:pPr>
            <w:r>
              <w:rPr>
                <w:rFonts w:ascii="Segoe UI Symbol" w:hAnsi="Segoe UI Symbol" w:cs="Segoe UI Symbol"/>
                <w:b/>
                <w:bCs/>
                <w:color w:val="B7791F"/>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AZWEB01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DC01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 Company (demo tenant)</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FF2CC"/>
          </w:tcPr>
          <w:p>
            <w:pPr>
              <w:pStyle w:val="TableText"/>
              <w:jc w:val="center"/>
            </w:pPr>
            <w:r>
              <w:rPr>
                <w:rFonts w:ascii="Segoe UI Symbol" w:hAnsi="Segoe UI Symbol" w:cs="Segoe UI Symbol"/>
                <w:b/>
                <w:bCs/>
                <w:color w:val="B7791F"/>
                <w:sz w:val="15"/>
                <w:szCs w:val="15"/>
              </w:rPr>
              <w:t xml:space="preserve">⚠</w:t>
            </w: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DEMO-WORKSTATION</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demo.local</w:t>
            </w: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ERP01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EXCH01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FS01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HV01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HV02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LicenseInventory.xlsx</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PC-003</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PC-004</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PC-005</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PC-006</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PC-007</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PC-008</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PC-009</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PC-010</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PRINT01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CE4E4"/>
          </w:tcPr>
          <w:p>
            <w:pPr>
              <w:pStyle w:val="TableText"/>
              <w:jc w:val="center"/>
            </w:pPr>
            <w:r>
              <w:rPr>
                <w:rFonts w:ascii="Segoe UI Symbol" w:hAnsi="Segoe UI Symbol" w:cs="Segoe UI Symbol"/>
                <w:b/>
                <w:bCs/>
                <w:color w:val="C62828"/>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RDS01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SQL01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vcenter01.demo.local</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WEBVM01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CE4E4"/>
          </w:tcPr>
          <w:p>
            <w:pPr>
              <w:pStyle w:val="TableText"/>
              <w:jc w:val="center"/>
            </w:pPr>
            <w:r>
              <w:rPr>
                <w:rFonts w:ascii="Segoe UI Symbol" w:hAnsi="Segoe UI Symbol" w:cs="Segoe UI Symbol"/>
                <w:b/>
                <w:bCs/>
                <w:color w:val="C62828"/>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bl>
    <w:p>
      <w:pPr>
        <w:spacing w:before="0" w:after="0" w:line="240" w:lineRule="auto"/>
        <w:rPr>
          <w:sz w:val="12"/>
          <w:szCs w:val="12"/>
        </w:rPr>
      </w:pPr>
    </w:p>
    <w:tbl>
      <w:tblPr>
        <w:tblStyle w:val="MlatTable"/>
        <w:tblW w:w="9752" w:type="dxa"/>
        <w:tblInd w:w="0" w:type="dxa"/>
        <w:tblBorders>
          <w:top w:val="single" w:sz="4" w:space="0" w:color="D9DEE7"/>
          <w:left w:val="single" w:sz="4" w:space="0" w:color="D9DEE7"/>
          <w:bottom w:val="single" w:sz="4" w:space="0" w:color="D9DEE7"/>
          <w:right w:val="single" w:sz="4" w:space="0" w:color="D9DEE7"/>
          <w:insideH w:val="single" w:sz="4" w:space="0" w:color="D9DEE7"/>
          <w:insideV w:val="single" w:sz="4" w:space="0" w:color="D9DEE7"/>
        </w:tblBorders>
        <w:tblLayout w:type="fixed"/>
        <w:tblCellMar>
          <w:top w:w="35" w:type="dxa"/>
          <w:left w:w="80" w:type="dxa"/>
          <w:bottom w:w="35" w:type="dxa"/>
          <w:right w:w="80" w:type="dxa"/>
        </w:tblCellMar>
        <w:tblLook w:val="04A0" w:firstRow="1" w:lastRow="0" w:firstColumn="0" w:lastColumn="0" w:noHBand="0" w:noVBand="1"/>
      </w:tblPr>
      <w:tblGrid>
        <w:gridCol w:w="2535"/>
        <w:gridCol w:w="1030"/>
        <w:gridCol w:w="1030"/>
        <w:gridCol w:w="1030"/>
        <w:gridCol w:w="1030"/>
        <w:gridCol w:w="1030"/>
        <w:gridCol w:w="1030"/>
        <w:gridCol w:w="1037"/>
      </w:tblGrid>
      <w:tr>
        <w:trPr>
          <w:cantSplit/>
          <w:tblHeader/>
        </w:trPr>
        <w:tc>
          <w:tcPr>
            <w:tcW w:w="2535" w:type="dxa"/>
            <w:shd w:val="clear" w:color="auto" w:fill="1F3A5F"/>
            <w:vAlign w:val="bottom"/>
          </w:tcPr>
          <w:p>
            <w:pPr>
              <w:pStyle w:val="TableText"/>
              <w:keepNext/>
            </w:pPr>
            <w:r>
              <w:rPr>
                <w:b/>
                <w:bCs/>
                <w:color w:val="FFFFFF"/>
                <w:sz w:val="15"/>
                <w:szCs w:val="15"/>
              </w:rPr>
              <w:t xml:space="preserve">Target</w:t>
            </w:r>
          </w:p>
        </w:tc>
        <w:tc>
          <w:tcPr>
            <w:tcW w:w="1030" w:type="dxa"/>
            <w:shd w:val="clear" w:color="auto" w:fill="1F3A5F"/>
            <w:vAlign w:val="bottom"/>
          </w:tcPr>
          <w:p>
            <w:pPr>
              <w:pStyle w:val="TableText"/>
              <w:keepNext/>
            </w:pPr>
            <w:r>
              <w:rPr>
                <w:b/>
                <w:bCs/>
                <w:color w:val="FFFFFF"/>
                <w:sz w:val="15"/>
                <w:szCs w:val="15"/>
              </w:rPr>
              <w:t xml:space="preserve">System</w:t>
            </w:r>
          </w:p>
        </w:tc>
        <w:tc>
          <w:tcPr>
            <w:tcW w:w="1030" w:type="dxa"/>
            <w:shd w:val="clear" w:color="auto" w:fill="1F3A5F"/>
            <w:vAlign w:val="bottom"/>
          </w:tcPr>
          <w:p>
            <w:pPr>
              <w:pStyle w:val="TableText"/>
              <w:keepNext/>
            </w:pPr>
            <w:r>
              <w:rPr>
                <w:b/>
                <w:bCs/>
                <w:color w:val="FFFFFF"/>
                <w:sz w:val="15"/>
                <w:szCs w:val="15"/>
              </w:rPr>
              <w:t xml:space="preserve">Processors</w:t>
            </w:r>
          </w:p>
        </w:tc>
        <w:tc>
          <w:tcPr>
            <w:tcW w:w="1030" w:type="dxa"/>
            <w:shd w:val="clear" w:color="auto" w:fill="1F3A5F"/>
            <w:vAlign w:val="bottom"/>
          </w:tcPr>
          <w:p>
            <w:pPr>
              <w:pStyle w:val="TableText"/>
              <w:keepNext/>
            </w:pPr>
            <w:r>
              <w:rPr>
                <w:b/>
                <w:bCs/>
                <w:color w:val="FFFFFF"/>
                <w:sz w:val="15"/>
                <w:szCs w:val="15"/>
              </w:rPr>
              <w:t xml:space="preserve">Operating system</w:t>
            </w:r>
          </w:p>
        </w:tc>
        <w:tc>
          <w:tcPr>
            <w:tcW w:w="1030" w:type="dxa"/>
            <w:shd w:val="clear" w:color="auto" w:fill="1F3A5F"/>
            <w:vAlign w:val="bottom"/>
          </w:tcPr>
          <w:p>
            <w:pPr>
              <w:pStyle w:val="TableText"/>
              <w:keepNext/>
            </w:pPr>
            <w:r>
              <w:rPr>
                <w:b/>
                <w:bCs/>
                <w:color w:val="FFFFFF"/>
                <w:sz w:val="15"/>
                <w:szCs w:val="15"/>
              </w:rPr>
              <w:t xml:space="preserve">Windows activation</w:t>
            </w:r>
          </w:p>
        </w:tc>
        <w:tc>
          <w:tcPr>
            <w:tcW w:w="1030" w:type="dxa"/>
            <w:shd w:val="clear" w:color="auto" w:fill="1F3A5F"/>
            <w:vAlign w:val="bottom"/>
          </w:tcPr>
          <w:p>
            <w:pPr>
              <w:pStyle w:val="TableText"/>
              <w:keepNext/>
            </w:pPr>
            <w:r>
              <w:rPr>
                <w:b/>
                <w:bCs/>
                <w:color w:val="FFFFFF"/>
                <w:sz w:val="15"/>
                <w:szCs w:val="15"/>
              </w:rPr>
              <w:t xml:space="preserve">Installed software</w:t>
            </w:r>
          </w:p>
        </w:tc>
        <w:tc>
          <w:tcPr>
            <w:tcW w:w="1030" w:type="dxa"/>
            <w:shd w:val="clear" w:color="auto" w:fill="1F3A5F"/>
            <w:vAlign w:val="bottom"/>
          </w:tcPr>
          <w:p>
            <w:pPr>
              <w:pStyle w:val="TableText"/>
              <w:keepNext/>
            </w:pPr>
            <w:r>
              <w:rPr>
                <w:b/>
                <w:bCs/>
                <w:color w:val="FFFFFF"/>
                <w:sz w:val="15"/>
                <w:szCs w:val="15"/>
              </w:rPr>
              <w:t xml:space="preserve">SQL Server</w:t>
            </w:r>
          </w:p>
        </w:tc>
        <w:tc>
          <w:tcPr>
            <w:tcW w:w="1037" w:type="dxa"/>
            <w:shd w:val="clear" w:color="auto" w:fill="1F3A5F"/>
            <w:vAlign w:val="bottom"/>
          </w:tcPr>
          <w:p>
            <w:pPr>
              <w:pStyle w:val="TableText"/>
              <w:keepNext/>
            </w:pPr>
            <w:r>
              <w:rPr>
                <w:b/>
                <w:bCs/>
                <w:color w:val="FFFFFF"/>
                <w:sz w:val="15"/>
                <w:szCs w:val="15"/>
              </w:rPr>
              <w:t xml:space="preserve">Hyper-V</w:t>
            </w:r>
          </w:p>
        </w:tc>
      </w:tr>
      <w:tr>
        <w:trPr>
          <w:cantSplit/>
        </w:trPr>
        <w:tc>
          <w:tcPr>
            <w:tcW w:w="2535" w:type="dxa"/>
          </w:tcPr>
          <w:p>
            <w:pPr>
              <w:pStyle w:val="TableText"/>
            </w:pPr>
            <w:r>
              <w:rPr>
                <w:b/>
                <w:bCs/>
                <w:sz w:val="15"/>
                <w:szCs w:val="15"/>
              </w:rPr>
              <w:t xml:space="preserve">APP01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APP02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AZWEB01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DC01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Demo Company (demo tenant)</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DEMO-WORKSTATION</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demo.local</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ERP01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EXCH01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FS01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FF2CC"/>
          </w:tcPr>
          <w:p>
            <w:pPr>
              <w:pStyle w:val="TableText"/>
              <w:jc w:val="center"/>
            </w:pPr>
            <w:r>
              <w:rPr>
                <w:rFonts w:ascii="Segoe UI Symbol" w:hAnsi="Segoe UI Symbol" w:cs="Segoe UI Symbol"/>
                <w:b/>
                <w:bCs/>
                <w:color w:val="B7791F"/>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HV01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HV02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LicenseInventory.xlsx</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PC-003</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PC-004</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PC-005</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PC-006</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PC-007</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PC-008</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PC-009</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PC-010</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PC-011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PC-012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PRINT01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RDS01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SQL01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vcenter01.demo.local</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WEBVM01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bl>
    <w:p>
      <w:pPr>
        <w:spacing w:before="0" w:after="0" w:line="240" w:lineRule="auto"/>
        <w:rPr>
          <w:sz w:val="12"/>
          <w:szCs w:val="12"/>
        </w:rPr>
      </w:pPr>
    </w:p>
    <w:tbl>
      <w:tblPr>
        <w:tblStyle w:val="MlatTable"/>
        <w:tblW w:w="9752" w:type="dxa"/>
        <w:tblInd w:w="0" w:type="dxa"/>
        <w:tblBorders>
          <w:top w:val="single" w:sz="4" w:space="0" w:color="D9DEE7"/>
          <w:left w:val="single" w:sz="4" w:space="0" w:color="D9DEE7"/>
          <w:bottom w:val="single" w:sz="4" w:space="0" w:color="D9DEE7"/>
          <w:right w:val="single" w:sz="4" w:space="0" w:color="D9DEE7"/>
          <w:insideH w:val="single" w:sz="4" w:space="0" w:color="D9DEE7"/>
          <w:insideV w:val="single" w:sz="4" w:space="0" w:color="D9DEE7"/>
        </w:tblBorders>
        <w:tblLayout w:type="fixed"/>
        <w:tblCellMar>
          <w:top w:w="35" w:type="dxa"/>
          <w:left w:w="80" w:type="dxa"/>
          <w:bottom w:w="35" w:type="dxa"/>
          <w:right w:w="80" w:type="dxa"/>
        </w:tblCellMar>
        <w:tblLook w:val="04A0" w:firstRow="1" w:lastRow="0" w:firstColumn="0" w:lastColumn="0" w:noHBand="0" w:noVBand="1"/>
      </w:tblPr>
      <w:tblGrid>
        <w:gridCol w:w="2535"/>
        <w:gridCol w:w="1030"/>
        <w:gridCol w:w="1030"/>
        <w:gridCol w:w="1030"/>
        <w:gridCol w:w="1030"/>
        <w:gridCol w:w="1030"/>
        <w:gridCol w:w="1030"/>
        <w:gridCol w:w="1037"/>
      </w:tblGrid>
      <w:tr>
        <w:trPr>
          <w:cantSplit/>
          <w:tblHeader/>
        </w:trPr>
        <w:tc>
          <w:tcPr>
            <w:tcW w:w="2535" w:type="dxa"/>
            <w:shd w:val="clear" w:color="auto" w:fill="1F3A5F"/>
            <w:vAlign w:val="bottom"/>
          </w:tcPr>
          <w:p>
            <w:pPr>
              <w:pStyle w:val="TableText"/>
              <w:keepNext/>
            </w:pPr>
            <w:r>
              <w:rPr>
                <w:b/>
                <w:bCs/>
                <w:color w:val="FFFFFF"/>
                <w:sz w:val="15"/>
                <w:szCs w:val="15"/>
              </w:rPr>
              <w:t xml:space="preserve">Target</w:t>
            </w:r>
          </w:p>
        </w:tc>
        <w:tc>
          <w:tcPr>
            <w:tcW w:w="1030" w:type="dxa"/>
            <w:shd w:val="clear" w:color="auto" w:fill="1F3A5F"/>
            <w:vAlign w:val="bottom"/>
          </w:tcPr>
          <w:p>
            <w:pPr>
              <w:pStyle w:val="TableText"/>
              <w:keepNext/>
            </w:pPr>
            <w:r>
              <w:rPr>
                <w:b/>
                <w:bCs/>
                <w:color w:val="FFFFFF"/>
                <w:sz w:val="15"/>
                <w:szCs w:val="15"/>
              </w:rPr>
              <w:t xml:space="preserve">Remote Desktop Services</w:t>
            </w:r>
          </w:p>
        </w:tc>
        <w:tc>
          <w:tcPr>
            <w:tcW w:w="1030" w:type="dxa"/>
            <w:shd w:val="clear" w:color="auto" w:fill="1F3A5F"/>
            <w:vAlign w:val="bottom"/>
          </w:tcPr>
          <w:p>
            <w:pPr>
              <w:pStyle w:val="TableText"/>
              <w:keepNext/>
            </w:pPr>
            <w:r>
              <w:rPr>
                <w:b/>
                <w:bCs/>
                <w:color w:val="FFFFFF"/>
                <w:sz w:val="15"/>
                <w:szCs w:val="15"/>
              </w:rPr>
              <w:t xml:space="preserve">Microsoft Office</w:t>
            </w:r>
          </w:p>
        </w:tc>
        <w:tc>
          <w:tcPr>
            <w:tcW w:w="1030" w:type="dxa"/>
            <w:shd w:val="clear" w:color="auto" w:fill="1F3A5F"/>
            <w:vAlign w:val="bottom"/>
          </w:tcPr>
          <w:p>
            <w:pPr>
              <w:pStyle w:val="TableText"/>
              <w:keepNext/>
            </w:pPr>
            <w:r>
              <w:rPr>
                <w:b/>
                <w:bCs/>
                <w:color w:val="FFFFFF"/>
                <w:sz w:val="15"/>
                <w:szCs w:val="15"/>
              </w:rPr>
              <w:t xml:space="preserve">Active Directory - Users</w:t>
            </w:r>
          </w:p>
        </w:tc>
        <w:tc>
          <w:tcPr>
            <w:tcW w:w="1030" w:type="dxa"/>
            <w:shd w:val="clear" w:color="auto" w:fill="1F3A5F"/>
            <w:vAlign w:val="bottom"/>
          </w:tcPr>
          <w:p>
            <w:pPr>
              <w:pStyle w:val="TableText"/>
              <w:keepNext/>
            </w:pPr>
            <w:r>
              <w:rPr>
                <w:b/>
                <w:bCs/>
                <w:color w:val="FFFFFF"/>
                <w:sz w:val="15"/>
                <w:szCs w:val="15"/>
              </w:rPr>
              <w:t xml:space="preserve">Microsoft 365 - Licenses</w:t>
            </w:r>
          </w:p>
        </w:tc>
        <w:tc>
          <w:tcPr>
            <w:tcW w:w="1030" w:type="dxa"/>
            <w:shd w:val="clear" w:color="auto" w:fill="1F3A5F"/>
            <w:vAlign w:val="bottom"/>
          </w:tcPr>
          <w:p>
            <w:pPr>
              <w:pStyle w:val="TableText"/>
              <w:keepNext/>
            </w:pPr>
            <w:r>
              <w:rPr>
                <w:b/>
                <w:bCs/>
                <w:color w:val="FFFFFF"/>
                <w:sz w:val="15"/>
                <w:szCs w:val="15"/>
              </w:rPr>
              <w:t xml:space="preserve">Microsoft 365 - Users</w:t>
            </w:r>
          </w:p>
        </w:tc>
        <w:tc>
          <w:tcPr>
            <w:tcW w:w="1030" w:type="dxa"/>
            <w:shd w:val="clear" w:color="auto" w:fill="1F3A5F"/>
            <w:vAlign w:val="bottom"/>
          </w:tcPr>
          <w:p>
            <w:pPr>
              <w:pStyle w:val="TableText"/>
              <w:keepNext/>
            </w:pPr>
            <w:r>
              <w:rPr>
                <w:b/>
                <w:bCs/>
                <w:color w:val="FFFFFF"/>
                <w:sz w:val="15"/>
                <w:szCs w:val="15"/>
              </w:rPr>
              <w:t xml:space="preserve">Intune</w:t>
            </w:r>
          </w:p>
        </w:tc>
        <w:tc>
          <w:tcPr>
            <w:tcW w:w="1037" w:type="dxa"/>
            <w:shd w:val="clear" w:color="auto" w:fill="1F3A5F"/>
            <w:vAlign w:val="bottom"/>
          </w:tcPr>
          <w:p>
            <w:pPr>
              <w:pStyle w:val="TableText"/>
              <w:keepNext/>
            </w:pPr>
            <w:r>
              <w:rPr>
                <w:b/>
                <w:bCs/>
                <w:color w:val="FFFFFF"/>
                <w:sz w:val="15"/>
                <w:szCs w:val="15"/>
              </w:rPr>
              <w:t xml:space="preserve">Entra ID - Conditional Access</w:t>
            </w:r>
          </w:p>
        </w:tc>
      </w:tr>
      <w:tr>
        <w:trPr>
          <w:cantSplit/>
        </w:trPr>
        <w:tc>
          <w:tcPr>
            <w:tcW w:w="2535" w:type="dxa"/>
          </w:tcPr>
          <w:p>
            <w:pPr>
              <w:pStyle w:val="TableText"/>
            </w:pPr>
            <w:r>
              <w:rPr>
                <w:b/>
                <w:bCs/>
                <w:sz w:val="15"/>
                <w:szCs w:val="15"/>
              </w:rPr>
              <w:t xml:space="preserve">APP01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APP02</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AZWEB01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DC01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 Company (demo tenant)</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7"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535" w:type="dxa"/>
          </w:tcPr>
          <w:p>
            <w:pPr>
              <w:pStyle w:val="TableText"/>
            </w:pPr>
            <w:r>
              <w:rPr>
                <w:b/>
                <w:bCs/>
                <w:sz w:val="15"/>
                <w:szCs w:val="15"/>
              </w:rPr>
              <w:t xml:space="preserve">DEMO-WORKSTATION</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demo.local</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ERP01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EXCH01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FS01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HV01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HV02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LicenseInventory.xlsx</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PC-003</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PC-004</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PC-005</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PC-006</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PC-007</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PC-008</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PC-009</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PC-010</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PC-012</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PRINT01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RDS01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SQL01</w:t>
            </w:r>
          </w:p>
        </w:tc>
        <w:tc>
          <w:tcPr>
            <w:tcW w:w="103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vcenter01.demo.local</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r>
        <w:trPr>
          <w:cantSplit/>
        </w:trPr>
        <w:tc>
          <w:tcPr>
            <w:tcW w:w="2535" w:type="dxa"/>
          </w:tcPr>
          <w:p>
            <w:pPr>
              <w:pStyle w:val="TableText"/>
            </w:pPr>
            <w:r>
              <w:rPr>
                <w:b/>
                <w:bCs/>
                <w:sz w:val="15"/>
                <w:szCs w:val="15"/>
              </w:rPr>
              <w:t xml:space="preserve">WEBVM01</w:t>
            </w: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0" w:type="dxa"/>
            <w:shd w:val="clear" w:color="auto" w:fill="FAFBFC"/>
          </w:tcPr>
          <w:p>
            <w:pPr>
              <w:pStyle w:val="TableText"/>
            </w:pPr>
          </w:p>
        </w:tc>
        <w:tc>
          <w:tcPr>
            <w:tcW w:w="1037" w:type="dxa"/>
            <w:shd w:val="clear" w:color="auto" w:fill="FAFBFC"/>
          </w:tcPr>
          <w:p>
            <w:pPr>
              <w:pStyle w:val="TableText"/>
            </w:pPr>
          </w:p>
        </w:tc>
      </w:tr>
    </w:tbl>
    <w:p>
      <w:pPr>
        <w:spacing w:before="0" w:after="0" w:line="240" w:lineRule="auto"/>
        <w:rPr>
          <w:sz w:val="12"/>
          <w:szCs w:val="12"/>
        </w:rPr>
      </w:pPr>
    </w:p>
    <w:tbl>
      <w:tblPr>
        <w:tblStyle w:val="MlatTable"/>
        <w:tblW w:w="8722" w:type="dxa"/>
        <w:tblInd w:w="0" w:type="dxa"/>
        <w:tblBorders>
          <w:top w:val="single" w:sz="4" w:space="0" w:color="D9DEE7"/>
          <w:left w:val="single" w:sz="4" w:space="0" w:color="D9DEE7"/>
          <w:bottom w:val="single" w:sz="4" w:space="0" w:color="D9DEE7"/>
          <w:right w:val="single" w:sz="4" w:space="0" w:color="D9DEE7"/>
          <w:insideH w:val="single" w:sz="4" w:space="0" w:color="D9DEE7"/>
          <w:insideV w:val="single" w:sz="4" w:space="0" w:color="D9DEE7"/>
        </w:tblBorders>
        <w:tblLayout w:type="fixed"/>
        <w:tblCellMar>
          <w:top w:w="35" w:type="dxa"/>
          <w:left w:w="80" w:type="dxa"/>
          <w:bottom w:w="35" w:type="dxa"/>
          <w:right w:w="80" w:type="dxa"/>
        </w:tblCellMar>
        <w:tblLook w:val="04A0" w:firstRow="1" w:lastRow="0" w:firstColumn="0" w:lastColumn="0" w:noHBand="0" w:noVBand="1"/>
      </w:tblPr>
      <w:tblGrid>
        <w:gridCol w:w="2481"/>
        <w:gridCol w:w="1000"/>
        <w:gridCol w:w="1018"/>
        <w:gridCol w:w="1015"/>
        <w:gridCol w:w="1013"/>
        <w:gridCol w:w="1179"/>
        <w:gridCol w:w="1016"/>
      </w:tblGrid>
      <w:tr>
        <w:trPr>
          <w:cantSplit/>
          <w:tblHeader/>
        </w:trPr>
        <w:tc>
          <w:tcPr>
            <w:tcW w:w="2481" w:type="dxa"/>
            <w:shd w:val="clear" w:color="auto" w:fill="1F3A5F"/>
            <w:vAlign w:val="bottom"/>
          </w:tcPr>
          <w:p>
            <w:pPr>
              <w:pStyle w:val="TableText"/>
              <w:keepNext/>
            </w:pPr>
            <w:r>
              <w:rPr>
                <w:b/>
                <w:bCs/>
                <w:color w:val="FFFFFF"/>
                <w:sz w:val="15"/>
                <w:szCs w:val="15"/>
              </w:rPr>
              <w:t xml:space="preserve">Target</w:t>
            </w:r>
          </w:p>
        </w:tc>
        <w:tc>
          <w:tcPr>
            <w:tcW w:w="1000" w:type="dxa"/>
            <w:shd w:val="clear" w:color="auto" w:fill="1F3A5F"/>
            <w:vAlign w:val="bottom"/>
          </w:tcPr>
          <w:p>
            <w:pPr>
              <w:pStyle w:val="TableText"/>
              <w:keepNext/>
            </w:pPr>
            <w:r>
              <w:rPr>
                <w:b/>
                <w:bCs/>
                <w:color w:val="FFFFFF"/>
                <w:sz w:val="15"/>
                <w:szCs w:val="15"/>
              </w:rPr>
              <w:t xml:space="preserve">Entra ID - PIM</w:t>
            </w:r>
          </w:p>
        </w:tc>
        <w:tc>
          <w:tcPr>
            <w:tcW w:w="1018" w:type="dxa"/>
            <w:shd w:val="clear" w:color="auto" w:fill="1F3A5F"/>
            <w:vAlign w:val="bottom"/>
          </w:tcPr>
          <w:p>
            <w:pPr>
              <w:pStyle w:val="TableText"/>
              <w:keepNext/>
            </w:pPr>
            <w:r>
              <w:rPr>
                <w:b/>
                <w:bCs/>
                <w:color w:val="FFFFFF"/>
                <w:sz w:val="15"/>
                <w:szCs w:val="15"/>
              </w:rPr>
              <w:t xml:space="preserve">Defender - Alerts</w:t>
            </w:r>
          </w:p>
        </w:tc>
        <w:tc>
          <w:tcPr>
            <w:tcW w:w="1015" w:type="dxa"/>
            <w:shd w:val="clear" w:color="auto" w:fill="1F3A5F"/>
            <w:vAlign w:val="bottom"/>
          </w:tcPr>
          <w:p>
            <w:pPr>
              <w:pStyle w:val="TableText"/>
              <w:keepNext/>
            </w:pPr>
            <w:r>
              <w:rPr>
                <w:b/>
                <w:bCs/>
                <w:color w:val="FFFFFF"/>
                <w:sz w:val="15"/>
                <w:szCs w:val="15"/>
              </w:rPr>
              <w:t xml:space="preserve">Purview - Labels</w:t>
            </w:r>
          </w:p>
        </w:tc>
        <w:tc>
          <w:tcPr>
            <w:tcW w:w="1013" w:type="dxa"/>
            <w:shd w:val="clear" w:color="auto" w:fill="1F3A5F"/>
            <w:vAlign w:val="bottom"/>
          </w:tcPr>
          <w:p>
            <w:pPr>
              <w:pStyle w:val="TableText"/>
              <w:keepNext/>
            </w:pPr>
            <w:r>
              <w:rPr>
                <w:b/>
                <w:bCs/>
                <w:color w:val="FFFFFF"/>
                <w:sz w:val="15"/>
                <w:szCs w:val="15"/>
              </w:rPr>
              <w:t xml:space="preserve">Entra ID - Access reviews</w:t>
            </w:r>
          </w:p>
        </w:tc>
        <w:tc>
          <w:tcPr>
            <w:tcW w:w="1179" w:type="dxa"/>
            <w:shd w:val="clear" w:color="auto" w:fill="1F3A5F"/>
            <w:vAlign w:val="bottom"/>
          </w:tcPr>
          <w:p>
            <w:pPr>
              <w:pStyle w:val="TableText"/>
              <w:keepNext/>
            </w:pPr>
            <w:r>
              <w:rPr>
                <w:b/>
                <w:bCs/>
                <w:color w:val="FFFFFF"/>
                <w:sz w:val="15"/>
                <w:szCs w:val="15"/>
              </w:rPr>
              <w:t xml:space="preserve">Microsoft 365 admin center - Subscriptions</w:t>
            </w:r>
          </w:p>
        </w:tc>
        <w:tc>
          <w:tcPr>
            <w:tcW w:w="1016" w:type="dxa"/>
            <w:shd w:val="clear" w:color="auto" w:fill="1F3A5F"/>
            <w:vAlign w:val="bottom"/>
          </w:tcPr>
          <w:p>
            <w:pPr>
              <w:pStyle w:val="TableText"/>
              <w:keepNext/>
            </w:pPr>
            <w:r>
              <w:rPr>
                <w:b/>
                <w:bCs/>
                <w:color w:val="FFFFFF"/>
                <w:sz w:val="15"/>
                <w:szCs w:val="15"/>
              </w:rPr>
              <w:t xml:space="preserve">Azure billing - Products</w:t>
            </w:r>
          </w:p>
        </w:tc>
      </w:tr>
      <w:tr>
        <w:trPr>
          <w:cantSplit/>
        </w:trPr>
        <w:tc>
          <w:tcPr>
            <w:tcW w:w="2481" w:type="dxa"/>
          </w:tcPr>
          <w:p>
            <w:pPr>
              <w:pStyle w:val="TableText"/>
            </w:pPr>
            <w:r>
              <w:rPr>
                <w:b/>
                <w:bCs/>
                <w:sz w:val="15"/>
                <w:szCs w:val="15"/>
              </w:rPr>
              <w:t xml:space="preserve">APP01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APP02</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AZWEB01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DC01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Demo Company (demo tenant)</w:t>
            </w:r>
          </w:p>
        </w:tc>
        <w:tc>
          <w:tcPr>
            <w:tcW w:w="1000"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18"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15"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13" w:type="dxa"/>
            <w:shd w:val="clear" w:color="auto" w:fill="FFF2CC"/>
          </w:tcPr>
          <w:p>
            <w:pPr>
              <w:pStyle w:val="TableText"/>
              <w:jc w:val="center"/>
            </w:pPr>
            <w:r>
              <w:rPr>
                <w:rFonts w:ascii="Segoe UI Symbol" w:hAnsi="Segoe UI Symbol" w:cs="Segoe UI Symbol"/>
                <w:b/>
                <w:bCs/>
                <w:color w:val="B7791F"/>
                <w:sz w:val="15"/>
                <w:szCs w:val="15"/>
              </w:rPr>
              <w:t xml:space="preserve">⚠</w:t>
            </w:r>
          </w:p>
        </w:tc>
        <w:tc>
          <w:tcPr>
            <w:tcW w:w="1179" w:type="dxa"/>
            <w:shd w:val="clear" w:color="auto" w:fill="E3F2E5"/>
          </w:tcPr>
          <w:p>
            <w:pPr>
              <w:pStyle w:val="TableText"/>
              <w:jc w:val="center"/>
            </w:pPr>
            <w:r>
              <w:rPr>
                <w:rFonts w:ascii="Segoe UI Symbol" w:hAnsi="Segoe UI Symbol" w:cs="Segoe UI Symbol"/>
                <w:b/>
                <w:bCs/>
                <w:color w:val="2E7D32"/>
                <w:sz w:val="15"/>
                <w:szCs w:val="15"/>
              </w:rPr>
              <w:t xml:space="preserve">✓</w:t>
            </w:r>
          </w:p>
        </w:tc>
        <w:tc>
          <w:tcPr>
            <w:tcW w:w="1016" w:type="dxa"/>
            <w:shd w:val="clear" w:color="auto" w:fill="E3F2E5"/>
          </w:tcPr>
          <w:p>
            <w:pPr>
              <w:pStyle w:val="TableText"/>
              <w:jc w:val="center"/>
            </w:pPr>
            <w:r>
              <w:rPr>
                <w:rFonts w:ascii="Segoe UI Symbol" w:hAnsi="Segoe UI Symbol" w:cs="Segoe UI Symbol"/>
                <w:b/>
                <w:bCs/>
                <w:color w:val="2E7D32"/>
                <w:sz w:val="15"/>
                <w:szCs w:val="15"/>
              </w:rPr>
              <w:t xml:space="preserve">✓</w:t>
            </w:r>
          </w:p>
        </w:tc>
      </w:tr>
      <w:tr>
        <w:trPr>
          <w:cantSplit/>
        </w:trPr>
        <w:tc>
          <w:tcPr>
            <w:tcW w:w="2481" w:type="dxa"/>
          </w:tcPr>
          <w:p>
            <w:pPr>
              <w:pStyle w:val="TableText"/>
            </w:pPr>
            <w:r>
              <w:rPr>
                <w:b/>
                <w:bCs/>
                <w:sz w:val="15"/>
                <w:szCs w:val="15"/>
              </w:rPr>
              <w:t xml:space="preserve">DEMO-WORKSTATION</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demo.local</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ERP01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EXCH01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FS01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HV01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HV02</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LicenseInventory.xlsx</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PC-002</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PC-003</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PC-004</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PC-005</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PC-006</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PC-007</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PC-008</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PC-009</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PC-010</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PC-011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PC-012</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PRINT01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RDS01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SQL01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vcenter01.demo.local</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r>
        <w:trPr>
          <w:cantSplit/>
        </w:trPr>
        <w:tc>
          <w:tcPr>
            <w:tcW w:w="2481" w:type="dxa"/>
          </w:tcPr>
          <w:p>
            <w:pPr>
              <w:pStyle w:val="TableText"/>
            </w:pPr>
            <w:r>
              <w:rPr>
                <w:b/>
                <w:bCs/>
                <w:sz w:val="15"/>
                <w:szCs w:val="15"/>
              </w:rPr>
              <w:t xml:space="preserve">WEBVM01</w:t>
            </w:r>
          </w:p>
        </w:tc>
        <w:tc>
          <w:tcPr>
            <w:tcW w:w="1000" w:type="dxa"/>
            <w:shd w:val="clear" w:color="auto" w:fill="FAFBFC"/>
          </w:tcPr>
          <w:p>
            <w:pPr>
              <w:pStyle w:val="TableText"/>
            </w:pPr>
          </w:p>
        </w:tc>
        <w:tc>
          <w:tcPr>
            <w:tcW w:w="1018" w:type="dxa"/>
            <w:shd w:val="clear" w:color="auto" w:fill="FAFBFC"/>
          </w:tcPr>
          <w:p>
            <w:pPr>
              <w:pStyle w:val="TableText"/>
            </w:pPr>
          </w:p>
        </w:tc>
        <w:tc>
          <w:tcPr>
            <w:tcW w:w="1015" w:type="dxa"/>
            <w:shd w:val="clear" w:color="auto" w:fill="FAFBFC"/>
          </w:tcPr>
          <w:p>
            <w:pPr>
              <w:pStyle w:val="TableText"/>
            </w:pPr>
          </w:p>
        </w:tc>
        <w:tc>
          <w:tcPr>
            <w:tcW w:w="1013" w:type="dxa"/>
            <w:shd w:val="clear" w:color="auto" w:fill="FAFBFC"/>
          </w:tcPr>
          <w:p>
            <w:pPr>
              <w:pStyle w:val="TableText"/>
            </w:pPr>
          </w:p>
        </w:tc>
        <w:tc>
          <w:tcPr>
            <w:tcW w:w="1179" w:type="dxa"/>
            <w:shd w:val="clear" w:color="auto" w:fill="FAFBFC"/>
          </w:tcPr>
          <w:p>
            <w:pPr>
              <w:pStyle w:val="TableText"/>
            </w:pPr>
          </w:p>
        </w:tc>
        <w:tc>
          <w:tcPr>
            <w:tcW w:w="1016" w:type="dxa"/>
            <w:shd w:val="clear" w:color="auto" w:fill="FAFBFC"/>
          </w:tcPr>
          <w:p>
            <w:pPr>
              <w:pStyle w:val="TableText"/>
            </w:pPr>
          </w:p>
        </w:tc>
      </w:tr>
    </w:tbl>
    <w:p>
      <w:pPr>
        <w:spacing w:before="0" w:after="0" w:line="240" w:lineRule="auto"/>
        <w:rPr>
          <w:sz w:val="12"/>
          <w:szCs w:val="12"/>
        </w:rPr>
      </w:pPr>
    </w:p>
    <w:p>
      <w:pPr>
        <w:pStyle w:val="Heading2"/>
      </w:pPr>
      <w:bookmarkStart w:id="125" w:name="_TocMlat00125"/>
      <w:r>
        <w:t xml:space="preserve">Collection messages</w:t>
      </w:r>
      <w:bookmarkEnd w:id="125"/>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560"/>
        <w:gridCol w:w="1560"/>
        <w:gridCol w:w="1755"/>
        <w:gridCol w:w="3510"/>
        <w:gridCol w:w="1367"/>
      </w:tblGrid>
      <w:tr>
        <w:trPr>
          <w:cantSplit/>
          <w:tblHeader/>
        </w:trPr>
        <w:tc>
          <w:tcPr>
            <w:tcW w:w="1560" w:type="dxa"/>
            <w:shd w:val="clear" w:color="auto" w:fill="1F3A5F"/>
            <w:vAlign w:val="bottom"/>
          </w:tcPr>
          <w:p>
            <w:pPr>
              <w:pStyle w:val="TableText"/>
              <w:keepNext/>
            </w:pPr>
            <w:r>
              <w:rPr>
                <w:b/>
                <w:bCs/>
                <w:color w:val="FFFFFF"/>
                <w:sz w:val="16"/>
                <w:szCs w:val="16"/>
              </w:rPr>
              <w:t xml:space="preserve">Target</w:t>
            </w:r>
          </w:p>
        </w:tc>
        <w:tc>
          <w:tcPr>
            <w:tcW w:w="1560" w:type="dxa"/>
            <w:shd w:val="clear" w:color="auto" w:fill="1F3A5F"/>
            <w:vAlign w:val="bottom"/>
          </w:tcPr>
          <w:p>
            <w:pPr>
              <w:pStyle w:val="TableText"/>
              <w:keepNext/>
            </w:pPr>
            <w:r>
              <w:rPr>
                <w:b/>
                <w:bCs/>
                <w:color w:val="FFFFFF"/>
                <w:sz w:val="16"/>
                <w:szCs w:val="16"/>
              </w:rPr>
              <w:t xml:space="preserve">Module</w:t>
            </w:r>
          </w:p>
        </w:tc>
        <w:tc>
          <w:tcPr>
            <w:tcW w:w="1755" w:type="dxa"/>
            <w:shd w:val="clear" w:color="auto" w:fill="1F3A5F"/>
            <w:vAlign w:val="bottom"/>
          </w:tcPr>
          <w:p>
            <w:pPr>
              <w:pStyle w:val="TableText"/>
              <w:keepNext/>
            </w:pPr>
            <w:r>
              <w:rPr>
                <w:b/>
                <w:bCs/>
                <w:color w:val="FFFFFF"/>
                <w:sz w:val="16"/>
                <w:szCs w:val="16"/>
              </w:rPr>
              <w:t xml:space="preserve">Status</w:t>
            </w:r>
          </w:p>
        </w:tc>
        <w:tc>
          <w:tcPr>
            <w:tcW w:w="3510" w:type="dxa"/>
            <w:shd w:val="clear" w:color="auto" w:fill="1F3A5F"/>
            <w:vAlign w:val="bottom"/>
          </w:tcPr>
          <w:p>
            <w:pPr>
              <w:pStyle w:val="TableText"/>
              <w:keepNext/>
            </w:pPr>
            <w:r>
              <w:rPr>
                <w:b/>
                <w:bCs/>
                <w:color w:val="FFFFFF"/>
                <w:sz w:val="16"/>
                <w:szCs w:val="16"/>
              </w:rPr>
              <w:t xml:space="preserve">Message</w:t>
            </w:r>
          </w:p>
        </w:tc>
        <w:tc>
          <w:tcPr>
            <w:tcW w:w="1367" w:type="dxa"/>
            <w:shd w:val="clear" w:color="auto" w:fill="1F3A5F"/>
            <w:vAlign w:val="bottom"/>
          </w:tcPr>
          <w:p>
            <w:pPr>
              <w:pStyle w:val="TableText"/>
              <w:keepNext/>
            </w:pPr>
            <w:r>
              <w:rPr>
                <w:b/>
                <w:bCs/>
                <w:color w:val="FFFFFF"/>
                <w:sz w:val="16"/>
                <w:szCs w:val="16"/>
              </w:rPr>
              <w:t xml:space="preserve">Time (UTC)</w:t>
            </w:r>
          </w:p>
        </w:tc>
      </w:tr>
      <w:tr>
        <w:trPr>
          <w:cantSplit/>
        </w:trPr>
        <w:tc>
          <w:tcPr>
            <w:tcW w:w="1560" w:type="dxa"/>
          </w:tcPr>
          <w:p>
            <w:pPr>
              <w:pStyle w:val="TableText"/>
            </w:pPr>
            <w:r>
              <w:rPr>
                <w:sz w:val="16"/>
                <w:szCs w:val="16"/>
              </w:rPr>
              <w:t xml:space="preserve">PRINT01</w:t>
            </w:r>
          </w:p>
        </w:tc>
        <w:tc>
          <w:tcPr>
            <w:tcW w:w="1560" w:type="dxa"/>
          </w:tcPr>
          <w:p>
            <w:pPr>
              <w:pStyle w:val="TableText"/>
            </w:pPr>
            <w:r>
              <w:rPr>
                <w:sz w:val="16"/>
                <w:szCs w:val="16"/>
              </w:rPr>
              <w:t xml:space="preserve">Windows computers (remote scan)</w:t>
            </w:r>
          </w:p>
        </w:tc>
        <w:tc>
          <w:tcPr>
            <w:tcW w:w="1755" w:type="dxa"/>
            <w:shd w:val="clear" w:color="auto" w:fill="FCE4E4"/>
          </w:tcPr>
          <w:p>
            <w:pPr>
              <w:pStyle w:val="TableText"/>
            </w:pPr>
            <w:r>
              <w:rPr>
                <w:rFonts w:ascii="Segoe UI Symbol" w:hAnsi="Segoe UI Symbol" w:cs="Segoe UI Symbol"/>
                <w:b/>
                <w:bCs/>
                <w:color w:val="C62828"/>
                <w:sz w:val="16"/>
                <w:szCs w:val="16"/>
              </w:rPr>
              <w:t xml:space="preserve">✕</w:t>
            </w:r>
            <w:r>
              <w:rPr>
                <w:b/>
                <w:bCs/>
                <w:color w:val="C62828"/>
                <w:sz w:val="16"/>
                <w:szCs w:val="16"/>
              </w:rPr>
              <w:t xml:space="preserve"> Not accessible</w:t>
            </w:r>
          </w:p>
        </w:tc>
        <w:tc>
          <w:tcPr>
            <w:tcW w:w="3510" w:type="dxa"/>
          </w:tcPr>
          <w:p>
            <w:pPr>
              <w:pStyle w:val="TableText"/>
            </w:pPr>
            <w:r>
              <w:rPr>
                <w:sz w:val="16"/>
                <w:szCs w:val="16"/>
              </w:rPr>
              <w:t xml:space="preserve">PRINT01 (10.10.20.31) did not respond on TCP 135, 5985 or 5986. Check name resolution, the firewall and that the computer is online.</w:t>
            </w:r>
          </w:p>
        </w:tc>
        <w:tc>
          <w:tcPr>
            <w:tcW w:w="1367" w:type="dxa"/>
          </w:tcPr>
          <w:p>
            <w:pPr>
              <w:pStyle w:val="TableText"/>
            </w:pPr>
            <w:r>
              <w:rPr>
                <w:sz w:val="16"/>
                <w:szCs w:val="16"/>
              </w:rPr>
              <w:t xml:space="preserve">2026-10-02 01:33 UTC</w:t>
            </w:r>
          </w:p>
        </w:tc>
      </w:tr>
      <w:tr>
        <w:trPr>
          <w:cantSplit/>
        </w:trPr>
        <w:tc>
          <w:tcPr>
            <w:tcW w:w="1560" w:type="dxa"/>
            <w:shd w:val="clear" w:color="auto" w:fill="F7F9FB"/>
          </w:tcPr>
          <w:p>
            <w:pPr>
              <w:pStyle w:val="TableText"/>
            </w:pPr>
            <w:r>
              <w:rPr>
                <w:sz w:val="16"/>
                <w:szCs w:val="16"/>
              </w:rPr>
              <w:t xml:space="preserve">WEBVM01</w:t>
            </w:r>
          </w:p>
        </w:tc>
        <w:tc>
          <w:tcPr>
            <w:tcW w:w="1560" w:type="dxa"/>
            <w:shd w:val="clear" w:color="auto" w:fill="F7F9FB"/>
          </w:tcPr>
          <w:p>
            <w:pPr>
              <w:pStyle w:val="TableText"/>
            </w:pPr>
            <w:r>
              <w:rPr>
                <w:sz w:val="16"/>
                <w:szCs w:val="16"/>
              </w:rPr>
              <w:t xml:space="preserve">Virtual machines (in-guest)</w:t>
            </w:r>
          </w:p>
        </w:tc>
        <w:tc>
          <w:tcPr>
            <w:tcW w:w="1755" w:type="dxa"/>
            <w:shd w:val="clear" w:color="auto" w:fill="FCE4E4"/>
          </w:tcPr>
          <w:p>
            <w:pPr>
              <w:pStyle w:val="TableText"/>
            </w:pPr>
            <w:r>
              <w:rPr>
                <w:rFonts w:ascii="Segoe UI Symbol" w:hAnsi="Segoe UI Symbol" w:cs="Segoe UI Symbol"/>
                <w:b/>
                <w:bCs/>
                <w:color w:val="C62828"/>
                <w:sz w:val="16"/>
                <w:szCs w:val="16"/>
              </w:rPr>
              <w:t xml:space="preserve">✕</w:t>
            </w:r>
            <w:r>
              <w:rPr>
                <w:b/>
                <w:bCs/>
                <w:color w:val="C62828"/>
                <w:sz w:val="16"/>
                <w:szCs w:val="16"/>
              </w:rPr>
              <w:t xml:space="preserve"> Not accessible</w:t>
            </w:r>
          </w:p>
        </w:tc>
        <w:tc>
          <w:tcPr>
            <w:tcW w:w="3510" w:type="dxa"/>
            <w:shd w:val="clear" w:color="auto" w:fill="F7F9FB"/>
          </w:tcPr>
          <w:p>
            <w:pPr>
              <w:pStyle w:val="TableText"/>
            </w:pPr>
            <w:r>
              <w:rPr>
                <w:sz w:val="16"/>
                <w:szCs w:val="16"/>
              </w:rPr>
              <w:t xml:space="preserve">WEBVM01 (10.10.20.41) did not respond on TCP 135, 5985 or 5986 (DMZ firewall).</w:t>
            </w:r>
          </w:p>
        </w:tc>
        <w:tc>
          <w:tcPr>
            <w:tcW w:w="1367" w:type="dxa"/>
            <w:shd w:val="clear" w:color="auto" w:fill="F7F9FB"/>
          </w:tcPr>
          <w:p>
            <w:pPr>
              <w:pStyle w:val="TableText"/>
            </w:pPr>
            <w:r>
              <w:rPr>
                <w:sz w:val="16"/>
                <w:szCs w:val="16"/>
              </w:rPr>
              <w:t xml:space="preserve">2026-10-02 01:33 UTC</w:t>
            </w:r>
          </w:p>
        </w:tc>
      </w:tr>
      <w:tr>
        <w:trPr>
          <w:cantSplit/>
        </w:trPr>
        <w:tc>
          <w:tcPr>
            <w:tcW w:w="1560" w:type="dxa"/>
          </w:tcPr>
          <w:p>
            <w:pPr>
              <w:pStyle w:val="TableText"/>
            </w:pPr>
            <w:r>
              <w:rPr>
                <w:sz w:val="16"/>
                <w:szCs w:val="16"/>
              </w:rPr>
              <w:t xml:space="preserve">APP02</w:t>
            </w:r>
          </w:p>
        </w:tc>
        <w:tc>
          <w:tcPr>
            <w:tcW w:w="1560" w:type="dxa"/>
          </w:tcPr>
          <w:p>
            <w:pPr>
              <w:pStyle w:val="TableText"/>
            </w:pPr>
            <w:r>
              <w:rPr>
                <w:sz w:val="16"/>
                <w:szCs w:val="16"/>
              </w:rPr>
              <w:t xml:space="preserve">Virtual machines (in-guest)</w:t>
            </w:r>
          </w:p>
        </w:tc>
        <w:tc>
          <w:tcPr>
            <w:tcW w:w="1755" w:type="dxa"/>
            <w:shd w:val="clear" w:color="auto" w:fill="FFF2CC"/>
          </w:tcPr>
          <w:p>
            <w:pPr>
              <w:pStyle w:val="TableText"/>
            </w:pPr>
            <w:r>
              <w:rPr>
                <w:rFonts w:ascii="Segoe UI Symbol" w:hAnsi="Segoe UI Symbol" w:cs="Segoe UI Symbol"/>
                <w:b/>
                <w:bCs/>
                <w:color w:val="B7791F"/>
                <w:sz w:val="16"/>
                <w:szCs w:val="16"/>
              </w:rPr>
              <w:t xml:space="preserve">⚠</w:t>
            </w:r>
            <w:r>
              <w:rPr>
                <w:b/>
                <w:bCs/>
                <w:color w:val="B7791F"/>
                <w:sz w:val="16"/>
                <w:szCs w:val="16"/>
              </w:rPr>
              <w:t xml:space="preserve"> Permission denied</w:t>
            </w:r>
          </w:p>
        </w:tc>
        <w:tc>
          <w:tcPr>
            <w:tcW w:w="3510" w:type="dxa"/>
          </w:tcPr>
          <w:p>
            <w:pPr>
              <w:pStyle w:val="TableText"/>
            </w:pPr>
            <w:r>
              <w:rPr>
                <w:sz w:val="16"/>
                <w:szCs w:val="16"/>
              </w:rPr>
              <w:t xml:space="preserve">APP02 (10.10.20.23): access denied for the credential sets 'Domain admin (DEMO)' and 'DMZ local admin'.</w:t>
            </w:r>
          </w:p>
        </w:tc>
        <w:tc>
          <w:tcPr>
            <w:tcW w:w="1367" w:type="dxa"/>
          </w:tcPr>
          <w:p>
            <w:pPr>
              <w:pStyle w:val="TableText"/>
            </w:pPr>
            <w:r>
              <w:rPr>
                <w:sz w:val="16"/>
                <w:szCs w:val="16"/>
              </w:rPr>
              <w:t xml:space="preserve">2026-10-02 01:33 UTC</w:t>
            </w:r>
          </w:p>
        </w:tc>
      </w:tr>
      <w:tr>
        <w:trPr>
          <w:cantSplit/>
        </w:trPr>
        <w:tc>
          <w:tcPr>
            <w:tcW w:w="1560" w:type="dxa"/>
            <w:shd w:val="clear" w:color="auto" w:fill="F7F9FB"/>
          </w:tcPr>
          <w:p>
            <w:pPr>
              <w:pStyle w:val="TableText"/>
            </w:pPr>
            <w:r>
              <w:rPr>
                <w:sz w:val="16"/>
                <w:szCs w:val="16"/>
              </w:rPr>
              <w:t xml:space="preserve">Demo Company (demo tenant)</w:t>
            </w:r>
          </w:p>
        </w:tc>
        <w:tc>
          <w:tcPr>
            <w:tcW w:w="1560" w:type="dxa"/>
            <w:shd w:val="clear" w:color="auto" w:fill="F7F9FB"/>
          </w:tcPr>
          <w:p>
            <w:pPr>
              <w:pStyle w:val="TableText"/>
            </w:pPr>
            <w:r>
              <w:rPr>
                <w:sz w:val="16"/>
                <w:szCs w:val="16"/>
              </w:rPr>
              <w:t xml:space="preserve">Entra ID - Access reviews</w:t>
            </w:r>
          </w:p>
        </w:tc>
        <w:tc>
          <w:tcPr>
            <w:tcW w:w="1755" w:type="dxa"/>
            <w:shd w:val="clear" w:color="auto" w:fill="FFF2CC"/>
          </w:tcPr>
          <w:p>
            <w:pPr>
              <w:pStyle w:val="TableText"/>
            </w:pPr>
            <w:r>
              <w:rPr>
                <w:rFonts w:ascii="Segoe UI Symbol" w:hAnsi="Segoe UI Symbol" w:cs="Segoe UI Symbol"/>
                <w:b/>
                <w:bCs/>
                <w:color w:val="B7791F"/>
                <w:sz w:val="16"/>
                <w:szCs w:val="16"/>
              </w:rPr>
              <w:t xml:space="preserve">⚠</w:t>
            </w:r>
            <w:r>
              <w:rPr>
                <w:b/>
                <w:bCs/>
                <w:color w:val="B7791F"/>
                <w:sz w:val="16"/>
                <w:szCs w:val="16"/>
              </w:rPr>
              <w:t xml:space="preserve"> Permission denied</w:t>
            </w:r>
          </w:p>
        </w:tc>
        <w:tc>
          <w:tcPr>
            <w:tcW w:w="3510" w:type="dxa"/>
            <w:shd w:val="clear" w:color="auto" w:fill="F7F9FB"/>
          </w:tcPr>
          <w:p>
            <w:pPr>
              <w:pStyle w:val="TableText"/>
            </w:pPr>
            <w:r>
              <w:rPr>
                <w:sz w:val="16"/>
                <w:szCs w:val="16"/>
              </w:rPr>
              <w:t xml:space="preserve">Access reviews could not be read because the AccessReview.Read.All permission was not granted.</w:t>
            </w:r>
          </w:p>
        </w:tc>
        <w:tc>
          <w:tcPr>
            <w:tcW w:w="1367" w:type="dxa"/>
            <w:shd w:val="clear" w:color="auto" w:fill="F7F9FB"/>
          </w:tcPr>
          <w:p>
            <w:pPr>
              <w:pStyle w:val="TableText"/>
            </w:pPr>
            <w:r>
              <w:rPr>
                <w:sz w:val="16"/>
                <w:szCs w:val="16"/>
              </w:rPr>
              <w:t xml:space="preserve">2026-10-02 01:33 UTC</w:t>
            </w:r>
          </w:p>
        </w:tc>
      </w:tr>
      <w:tr>
        <w:trPr>
          <w:cantSplit/>
        </w:trPr>
        <w:tc>
          <w:tcPr>
            <w:tcW w:w="1560" w:type="dxa"/>
          </w:tcPr>
          <w:p>
            <w:pPr>
              <w:pStyle w:val="TableText"/>
            </w:pPr>
            <w:r>
              <w:rPr>
                <w:sz w:val="16"/>
                <w:szCs w:val="16"/>
              </w:rPr>
              <w:t xml:space="preserve">Demo Company (demo tenant)</w:t>
            </w:r>
          </w:p>
        </w:tc>
        <w:tc>
          <w:tcPr>
            <w:tcW w:w="1560" w:type="dxa"/>
          </w:tcPr>
          <w:p>
            <w:pPr>
              <w:pStyle w:val="TableText"/>
            </w:pPr>
            <w:r>
              <w:rPr>
                <w:sz w:val="16"/>
                <w:szCs w:val="16"/>
              </w:rPr>
              <w:t xml:space="preserve">Microsoft 365</w:t>
            </w:r>
          </w:p>
        </w:tc>
        <w:tc>
          <w:tcPr>
            <w:tcW w:w="1755" w:type="dxa"/>
            <w:shd w:val="clear" w:color="auto" w:fill="FFF2CC"/>
          </w:tcPr>
          <w:p>
            <w:pPr>
              <w:pStyle w:val="TableText"/>
            </w:pPr>
            <w:r>
              <w:rPr>
                <w:rFonts w:ascii="Segoe UI Symbol" w:hAnsi="Segoe UI Symbol" w:cs="Segoe UI Symbol"/>
                <w:b/>
                <w:bCs/>
                <w:color w:val="B7791F"/>
                <w:sz w:val="16"/>
                <w:szCs w:val="16"/>
              </w:rPr>
              <w:t xml:space="preserve">⚠</w:t>
            </w:r>
            <w:r>
              <w:rPr>
                <w:b/>
                <w:bCs/>
                <w:color w:val="B7791F"/>
                <w:sz w:val="16"/>
                <w:szCs w:val="16"/>
              </w:rPr>
              <w:t xml:space="preserve"> Partial</w:t>
            </w:r>
          </w:p>
        </w:tc>
        <w:tc>
          <w:tcPr>
            <w:tcW w:w="3510" w:type="dxa"/>
          </w:tcPr>
          <w:p>
            <w:pPr>
              <w:pStyle w:val="TableText"/>
            </w:pPr>
            <w:r>
              <w:rPr>
                <w:sz w:val="16"/>
                <w:szCs w:val="16"/>
              </w:rPr>
              <w:t xml:space="preserve">Some Microsoft 365 areas could not be collected (see Microsoft 365 coverage).</w:t>
            </w:r>
          </w:p>
        </w:tc>
        <w:tc>
          <w:tcPr>
            <w:tcW w:w="1367" w:type="dxa"/>
          </w:tcPr>
          <w:p>
            <w:pPr>
              <w:pStyle w:val="TableText"/>
            </w:pPr>
            <w:r>
              <w:rPr>
                <w:sz w:val="16"/>
                <w:szCs w:val="16"/>
              </w:rPr>
              <w:t xml:space="preserve">2026-10-02 01:33 UTC</w:t>
            </w:r>
          </w:p>
        </w:tc>
      </w:tr>
      <w:tr>
        <w:trPr>
          <w:cantSplit/>
        </w:trPr>
        <w:tc>
          <w:tcPr>
            <w:tcW w:w="1560" w:type="dxa"/>
            <w:shd w:val="clear" w:color="auto" w:fill="F7F9FB"/>
          </w:tcPr>
          <w:p>
            <w:pPr>
              <w:pStyle w:val="TableText"/>
            </w:pPr>
            <w:r>
              <w:rPr>
                <w:sz w:val="16"/>
                <w:szCs w:val="16"/>
              </w:rPr>
              <w:t xml:space="preserve">FS01</w:t>
            </w:r>
          </w:p>
        </w:tc>
        <w:tc>
          <w:tcPr>
            <w:tcW w:w="1560" w:type="dxa"/>
            <w:shd w:val="clear" w:color="auto" w:fill="F7F9FB"/>
          </w:tcPr>
          <w:p>
            <w:pPr>
              <w:pStyle w:val="TableText"/>
            </w:pPr>
            <w:r>
              <w:rPr>
                <w:sz w:val="16"/>
                <w:szCs w:val="16"/>
              </w:rPr>
              <w:t xml:space="preserve">Windows activation</w:t>
            </w:r>
          </w:p>
        </w:tc>
        <w:tc>
          <w:tcPr>
            <w:tcW w:w="1755" w:type="dxa"/>
            <w:shd w:val="clear" w:color="auto" w:fill="FFF2CC"/>
          </w:tcPr>
          <w:p>
            <w:pPr>
              <w:pStyle w:val="TableText"/>
            </w:pPr>
            <w:r>
              <w:rPr>
                <w:rFonts w:ascii="Segoe UI Symbol" w:hAnsi="Segoe UI Symbol" w:cs="Segoe UI Symbol"/>
                <w:b/>
                <w:bCs/>
                <w:color w:val="B7791F"/>
                <w:sz w:val="16"/>
                <w:szCs w:val="16"/>
              </w:rPr>
              <w:t xml:space="preserve">⚠</w:t>
            </w:r>
            <w:r>
              <w:rPr>
                <w:b/>
                <w:bCs/>
                <w:color w:val="B7791F"/>
                <w:sz w:val="16"/>
                <w:szCs w:val="16"/>
              </w:rPr>
              <w:t xml:space="preserve"> Partial</w:t>
            </w:r>
          </w:p>
        </w:tc>
        <w:tc>
          <w:tcPr>
            <w:tcW w:w="3510" w:type="dxa"/>
            <w:shd w:val="clear" w:color="auto" w:fill="F7F9FB"/>
          </w:tcPr>
          <w:p>
            <w:pPr>
              <w:pStyle w:val="TableText"/>
            </w:pPr>
            <w:r>
              <w:rPr>
                <w:sz w:val="16"/>
                <w:szCs w:val="16"/>
              </w:rPr>
              <w:t xml:space="preserve">No Windows license record with an installed product key was returned.</w:t>
            </w:r>
          </w:p>
        </w:tc>
        <w:tc>
          <w:tcPr>
            <w:tcW w:w="1367" w:type="dxa"/>
            <w:shd w:val="clear" w:color="auto" w:fill="F7F9FB"/>
          </w:tcPr>
          <w:p>
            <w:pPr>
              <w:pStyle w:val="TableText"/>
            </w:pPr>
            <w:r>
              <w:rPr>
                <w:sz w:val="16"/>
                <w:szCs w:val="16"/>
              </w:rPr>
              <w:t xml:space="preserve">2026-10-02 01:33 UTC</w:t>
            </w:r>
          </w:p>
        </w:tc>
      </w:tr>
    </w:tbl>
    <w:p>
      <w:pPr>
        <w:spacing w:before="0" w:after="0" w:line="240" w:lineRule="auto"/>
        <w:rPr>
          <w:sz w:val="12"/>
          <w:szCs w:val="12"/>
        </w:rPr>
      </w:pPr>
    </w:p>
    <w:p>
      <w:pPr>
        <w:pStyle w:val="Heading1"/>
        <w:pageBreakBefore/>
      </w:pPr>
      <w:bookmarkStart w:id="126" w:name="_TocMlat00126"/>
      <w:r>
        <w:t xml:space="preserve">Inventory summary (appendix)</w:t>
      </w:r>
      <w:bookmarkEnd w:id="126"/>
    </w:p>
    <w:p>
      <w:pPr>
        <w:spacing w:after="160"/>
      </w:pPr>
      <w:r>
        <w:rPr>
          <w:color w:val="5B6475"/>
        </w:rPr>
        <w:t xml:space="preserve">Discovered facts as collected. These appendices contain no licensing interpretation. The complete per-machine inventory is in the Machines, Microsoft Software and Virtual Hosts &amp; VMs sheets of AssessmentReport.xlsx.</w:t>
      </w:r>
    </w:p>
    <w:p>
      <w:pPr>
        <w:pStyle w:val="Heading2"/>
      </w:pPr>
      <w:bookmarkStart w:id="127" w:name="_TocMlat00127"/>
      <w:r>
        <w:t xml:space="preserve">Servers</w:t>
      </w:r>
      <w:bookmarkEnd w:id="127"/>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48"/>
        <w:gridCol w:w="1061"/>
        <w:gridCol w:w="2141"/>
        <w:gridCol w:w="1422"/>
        <w:gridCol w:w="1462"/>
        <w:gridCol w:w="860"/>
        <w:gridCol w:w="678"/>
        <w:gridCol w:w="880"/>
      </w:tblGrid>
      <w:tr>
        <w:trPr>
          <w:cantSplit/>
          <w:tblHeader/>
        </w:trPr>
        <w:tc>
          <w:tcPr>
            <w:tcW w:w="1248" w:type="dxa"/>
            <w:shd w:val="clear" w:color="auto" w:fill="1F3A5F"/>
            <w:vAlign w:val="bottom"/>
          </w:tcPr>
          <w:p>
            <w:pPr>
              <w:pStyle w:val="TableText"/>
              <w:keepNext/>
            </w:pPr>
            <w:r>
              <w:rPr>
                <w:b/>
                <w:bCs/>
                <w:color w:val="FFFFFF"/>
                <w:sz w:val="17"/>
                <w:szCs w:val="17"/>
              </w:rPr>
              <w:t xml:space="preserve">Server</w:t>
            </w:r>
          </w:p>
        </w:tc>
        <w:tc>
          <w:tcPr>
            <w:tcW w:w="1061" w:type="dxa"/>
            <w:shd w:val="clear" w:color="auto" w:fill="1F3A5F"/>
            <w:vAlign w:val="bottom"/>
          </w:tcPr>
          <w:p>
            <w:pPr>
              <w:pStyle w:val="TableText"/>
              <w:keepNext/>
            </w:pPr>
            <w:r>
              <w:rPr>
                <w:b/>
                <w:bCs/>
                <w:color w:val="FFFFFF"/>
                <w:sz w:val="17"/>
                <w:szCs w:val="17"/>
              </w:rPr>
              <w:t xml:space="preserve">Role</w:t>
            </w:r>
          </w:p>
        </w:tc>
        <w:tc>
          <w:tcPr>
            <w:tcW w:w="2141" w:type="dxa"/>
            <w:shd w:val="clear" w:color="auto" w:fill="1F3A5F"/>
            <w:vAlign w:val="bottom"/>
          </w:tcPr>
          <w:p>
            <w:pPr>
              <w:pStyle w:val="TableText"/>
              <w:keepNext/>
            </w:pPr>
            <w:r>
              <w:rPr>
                <w:b/>
                <w:bCs/>
                <w:color w:val="FFFFFF"/>
                <w:sz w:val="17"/>
                <w:szCs w:val="17"/>
              </w:rPr>
              <w:t xml:space="preserve">Operating system</w:t>
            </w:r>
          </w:p>
        </w:tc>
        <w:tc>
          <w:tcPr>
            <w:tcW w:w="1422" w:type="dxa"/>
            <w:shd w:val="clear" w:color="auto" w:fill="1F3A5F"/>
            <w:vAlign w:val="bottom"/>
          </w:tcPr>
          <w:p>
            <w:pPr>
              <w:pStyle w:val="TableText"/>
              <w:keepNext/>
            </w:pPr>
            <w:r>
              <w:rPr>
                <w:b/>
                <w:bCs/>
                <w:color w:val="FFFFFF"/>
                <w:sz w:val="17"/>
                <w:szCs w:val="17"/>
              </w:rPr>
              <w:t xml:space="preserve">Type</w:t>
            </w:r>
          </w:p>
        </w:tc>
        <w:tc>
          <w:tcPr>
            <w:tcW w:w="1462" w:type="dxa"/>
            <w:shd w:val="clear" w:color="auto" w:fill="1F3A5F"/>
            <w:vAlign w:val="bottom"/>
          </w:tcPr>
          <w:p>
            <w:pPr>
              <w:pStyle w:val="TableText"/>
              <w:keepNext/>
            </w:pPr>
            <w:r>
              <w:rPr>
                <w:b/>
                <w:bCs/>
                <w:color w:val="FFFFFF"/>
                <w:sz w:val="17"/>
                <w:szCs w:val="17"/>
              </w:rPr>
              <w:t xml:space="preserve">Host</w:t>
            </w:r>
          </w:p>
        </w:tc>
        <w:tc>
          <w:tcPr>
            <w:tcW w:w="860" w:type="dxa"/>
            <w:shd w:val="clear" w:color="auto" w:fill="1F3A5F"/>
            <w:vAlign w:val="bottom"/>
          </w:tcPr>
          <w:p>
            <w:pPr>
              <w:pStyle w:val="TableText"/>
              <w:keepNext/>
              <w:jc w:val="right"/>
            </w:pPr>
            <w:r>
              <w:rPr>
                <w:b/>
                <w:bCs/>
                <w:color w:val="FFFFFF"/>
                <w:sz w:val="17"/>
                <w:szCs w:val="17"/>
              </w:rPr>
              <w:t xml:space="preserve">Sockets</w:t>
            </w:r>
          </w:p>
        </w:tc>
        <w:tc>
          <w:tcPr>
            <w:tcW w:w="678" w:type="dxa"/>
            <w:shd w:val="clear" w:color="auto" w:fill="1F3A5F"/>
            <w:vAlign w:val="bottom"/>
          </w:tcPr>
          <w:p>
            <w:pPr>
              <w:pStyle w:val="TableText"/>
              <w:keepNext/>
              <w:jc w:val="right"/>
            </w:pPr>
            <w:r>
              <w:rPr>
                <w:b/>
                <w:bCs/>
                <w:color w:val="FFFFFF"/>
                <w:sz w:val="17"/>
                <w:szCs w:val="17"/>
              </w:rPr>
              <w:t xml:space="preserve">Cores</w:t>
            </w:r>
          </w:p>
        </w:tc>
        <w:tc>
          <w:tcPr>
            <w:tcW w:w="880" w:type="dxa"/>
            <w:shd w:val="clear" w:color="auto" w:fill="1F3A5F"/>
            <w:vAlign w:val="bottom"/>
          </w:tcPr>
          <w:p>
            <w:pPr>
              <w:pStyle w:val="TableText"/>
              <w:keepNext/>
              <w:jc w:val="right"/>
            </w:pPr>
            <w:r>
              <w:rPr>
                <w:b/>
                <w:bCs/>
                <w:color w:val="FFFFFF"/>
                <w:sz w:val="17"/>
                <w:szCs w:val="17"/>
              </w:rPr>
              <w:t xml:space="preserve">Memory GB</w:t>
            </w:r>
          </w:p>
        </w:tc>
      </w:tr>
      <w:tr>
        <w:trPr>
          <w:cantSplit/>
        </w:trPr>
        <w:tc>
          <w:tcPr>
            <w:tcW w:w="1248" w:type="dxa"/>
          </w:tcPr>
          <w:p>
            <w:pPr>
              <w:pStyle w:val="TableText"/>
            </w:pPr>
            <w:r>
              <w:rPr>
                <w:b/>
                <w:bCs/>
                <w:sz w:val="17"/>
                <w:szCs w:val="17"/>
              </w:rPr>
              <w:t xml:space="preserve">APP01</w:t>
            </w:r>
          </w:p>
        </w:tc>
        <w:tc>
          <w:tcPr>
            <w:tcW w:w="1061" w:type="dxa"/>
          </w:tcPr>
          <w:p>
            <w:pPr>
              <w:pStyle w:val="TableText"/>
            </w:pPr>
            <w:r>
              <w:rPr>
                <w:sz w:val="17"/>
                <w:szCs w:val="17"/>
              </w:rPr>
              <w:t xml:space="preserve">Server</w:t>
            </w:r>
          </w:p>
        </w:tc>
        <w:tc>
          <w:tcPr>
            <w:tcW w:w="2141" w:type="dxa"/>
          </w:tcPr>
          <w:p>
            <w:pPr>
              <w:pStyle w:val="TableText"/>
            </w:pPr>
            <w:r>
              <w:rPr>
                <w:sz w:val="17"/>
                <w:szCs w:val="17"/>
              </w:rPr>
              <w:t xml:space="preserve">Windows Server 2022 Standard</w:t>
            </w:r>
          </w:p>
        </w:tc>
        <w:tc>
          <w:tcPr>
            <w:tcW w:w="1422" w:type="dxa"/>
          </w:tcPr>
          <w:p>
            <w:pPr>
              <w:pStyle w:val="TableText"/>
            </w:pPr>
            <w:r>
              <w:rPr>
                <w:sz w:val="17"/>
                <w:szCs w:val="17"/>
              </w:rPr>
              <w:t xml:space="preserve">Virtual (Hyper-V)</w:t>
            </w:r>
          </w:p>
        </w:tc>
        <w:tc>
          <w:tcPr>
            <w:tcW w:w="1462" w:type="dxa"/>
          </w:tcPr>
          <w:p>
            <w:pPr>
              <w:pStyle w:val="TableText"/>
            </w:pPr>
            <w:r>
              <w:rPr>
                <w:sz w:val="17"/>
                <w:szCs w:val="17"/>
              </w:rPr>
              <w:t xml:space="preserve">HV01.demo.local</w:t>
            </w:r>
          </w:p>
        </w:tc>
        <w:tc>
          <w:tcPr>
            <w:tcW w:w="860" w:type="dxa"/>
          </w:tcPr>
          <w:p>
            <w:pPr>
              <w:pStyle w:val="TableText"/>
              <w:jc w:val="right"/>
            </w:pPr>
            <w:r>
              <w:rPr>
                <w:sz w:val="17"/>
                <w:szCs w:val="17"/>
              </w:rPr>
              <w:t xml:space="preserve">1</w:t>
            </w:r>
          </w:p>
        </w:tc>
        <w:tc>
          <w:tcPr>
            <w:tcW w:w="678" w:type="dxa"/>
          </w:tcPr>
          <w:p>
            <w:pPr>
              <w:pStyle w:val="TableText"/>
              <w:jc w:val="right"/>
            </w:pPr>
            <w:r>
              <w:rPr>
                <w:sz w:val="17"/>
                <w:szCs w:val="17"/>
              </w:rPr>
              <w:t xml:space="preserve">4</w:t>
            </w:r>
          </w:p>
        </w:tc>
        <w:tc>
          <w:tcPr>
            <w:tcW w:w="880" w:type="dxa"/>
          </w:tcPr>
          <w:p>
            <w:pPr>
              <w:pStyle w:val="TableText"/>
              <w:jc w:val="right"/>
            </w:pPr>
            <w:r>
              <w:rPr>
                <w:sz w:val="17"/>
                <w:szCs w:val="17"/>
              </w:rPr>
              <w:t xml:space="preserve">16</w:t>
            </w:r>
          </w:p>
        </w:tc>
      </w:tr>
      <w:tr>
        <w:trPr>
          <w:cantSplit/>
        </w:trPr>
        <w:tc>
          <w:tcPr>
            <w:tcW w:w="1248" w:type="dxa"/>
            <w:shd w:val="clear" w:color="auto" w:fill="F7F9FB"/>
          </w:tcPr>
          <w:p>
            <w:pPr>
              <w:pStyle w:val="TableText"/>
            </w:pPr>
            <w:r>
              <w:rPr>
                <w:b/>
                <w:bCs/>
                <w:sz w:val="17"/>
                <w:szCs w:val="17"/>
              </w:rPr>
              <w:t xml:space="preserve">AZWEB01</w:t>
            </w:r>
          </w:p>
        </w:tc>
        <w:tc>
          <w:tcPr>
            <w:tcW w:w="1061" w:type="dxa"/>
            <w:shd w:val="clear" w:color="auto" w:fill="F7F9FB"/>
          </w:tcPr>
          <w:p>
            <w:pPr>
              <w:pStyle w:val="TableText"/>
            </w:pPr>
            <w:r>
              <w:rPr>
                <w:sz w:val="17"/>
                <w:szCs w:val="17"/>
              </w:rPr>
              <w:t xml:space="preserve">Server</w:t>
            </w:r>
          </w:p>
        </w:tc>
        <w:tc>
          <w:tcPr>
            <w:tcW w:w="2141" w:type="dxa"/>
            <w:shd w:val="clear" w:color="auto" w:fill="F7F9FB"/>
          </w:tcPr>
          <w:p>
            <w:pPr>
              <w:pStyle w:val="TableText"/>
            </w:pPr>
            <w:r>
              <w:rPr>
                <w:sz w:val="17"/>
                <w:szCs w:val="17"/>
              </w:rPr>
              <w:t xml:space="preserve">Windows Server 2022 Datacenter</w:t>
            </w:r>
          </w:p>
        </w:tc>
        <w:tc>
          <w:tcPr>
            <w:tcW w:w="1422" w:type="dxa"/>
            <w:shd w:val="clear" w:color="auto" w:fill="F7F9FB"/>
          </w:tcPr>
          <w:p>
            <w:pPr>
              <w:pStyle w:val="TableText"/>
            </w:pPr>
            <w:r>
              <w:rPr>
                <w:sz w:val="17"/>
                <w:szCs w:val="17"/>
              </w:rPr>
              <w:t xml:space="preserve">Cloud VM (Azure)</w:t>
            </w:r>
          </w:p>
        </w:tc>
        <w:tc>
          <w:tcPr>
            <w:tcW w:w="1462" w:type="dxa"/>
            <w:shd w:val="clear" w:color="auto" w:fill="F7F9FB"/>
          </w:tcPr>
          <w:p>
            <w:pPr>
              <w:pStyle w:val="TableText"/>
            </w:pPr>
          </w:p>
        </w:tc>
        <w:tc>
          <w:tcPr>
            <w:tcW w:w="860" w:type="dxa"/>
            <w:shd w:val="clear" w:color="auto" w:fill="F7F9FB"/>
          </w:tcPr>
          <w:p>
            <w:pPr>
              <w:pStyle w:val="TableText"/>
              <w:jc w:val="right"/>
            </w:pPr>
            <w:r>
              <w:rPr>
                <w:sz w:val="17"/>
                <w:szCs w:val="17"/>
              </w:rPr>
              <w:t xml:space="preserve">1</w:t>
            </w:r>
          </w:p>
        </w:tc>
        <w:tc>
          <w:tcPr>
            <w:tcW w:w="678" w:type="dxa"/>
            <w:shd w:val="clear" w:color="auto" w:fill="F7F9FB"/>
          </w:tcPr>
          <w:p>
            <w:pPr>
              <w:pStyle w:val="TableText"/>
              <w:jc w:val="right"/>
            </w:pPr>
            <w:r>
              <w:rPr>
                <w:sz w:val="17"/>
                <w:szCs w:val="17"/>
              </w:rPr>
              <w:t xml:space="preserve">2</w:t>
            </w:r>
          </w:p>
        </w:tc>
        <w:tc>
          <w:tcPr>
            <w:tcW w:w="880" w:type="dxa"/>
            <w:shd w:val="clear" w:color="auto" w:fill="F7F9FB"/>
          </w:tcPr>
          <w:p>
            <w:pPr>
              <w:pStyle w:val="TableText"/>
              <w:jc w:val="right"/>
            </w:pPr>
            <w:r>
              <w:rPr>
                <w:sz w:val="17"/>
                <w:szCs w:val="17"/>
              </w:rPr>
              <w:t xml:space="preserve">8</w:t>
            </w:r>
          </w:p>
        </w:tc>
      </w:tr>
      <w:tr>
        <w:trPr>
          <w:cantSplit/>
        </w:trPr>
        <w:tc>
          <w:tcPr>
            <w:tcW w:w="1248" w:type="dxa"/>
          </w:tcPr>
          <w:p>
            <w:pPr>
              <w:pStyle w:val="TableText"/>
            </w:pPr>
            <w:r>
              <w:rPr>
                <w:b/>
                <w:bCs/>
                <w:sz w:val="17"/>
                <w:szCs w:val="17"/>
              </w:rPr>
              <w:t xml:space="preserve">DC01</w:t>
            </w:r>
          </w:p>
        </w:tc>
        <w:tc>
          <w:tcPr>
            <w:tcW w:w="1061" w:type="dxa"/>
          </w:tcPr>
          <w:p>
            <w:pPr>
              <w:pStyle w:val="TableText"/>
            </w:pPr>
            <w:r>
              <w:rPr>
                <w:sz w:val="17"/>
                <w:szCs w:val="17"/>
              </w:rPr>
              <w:t xml:space="preserve">Domain Controller</w:t>
            </w:r>
          </w:p>
        </w:tc>
        <w:tc>
          <w:tcPr>
            <w:tcW w:w="2141" w:type="dxa"/>
          </w:tcPr>
          <w:p>
            <w:pPr>
              <w:pStyle w:val="TableText"/>
            </w:pPr>
            <w:r>
              <w:rPr>
                <w:sz w:val="17"/>
                <w:szCs w:val="17"/>
              </w:rPr>
              <w:t xml:space="preserve">Windows Server 2022 Standard</w:t>
            </w:r>
          </w:p>
        </w:tc>
        <w:tc>
          <w:tcPr>
            <w:tcW w:w="1422" w:type="dxa"/>
          </w:tcPr>
          <w:p>
            <w:pPr>
              <w:pStyle w:val="TableText"/>
            </w:pPr>
            <w:r>
              <w:rPr>
                <w:sz w:val="17"/>
                <w:szCs w:val="17"/>
              </w:rPr>
              <w:t xml:space="preserve">Virtual (Hyper-V)</w:t>
            </w:r>
          </w:p>
        </w:tc>
        <w:tc>
          <w:tcPr>
            <w:tcW w:w="1462" w:type="dxa"/>
          </w:tcPr>
          <w:p>
            <w:pPr>
              <w:pStyle w:val="TableText"/>
            </w:pPr>
            <w:r>
              <w:rPr>
                <w:sz w:val="17"/>
                <w:szCs w:val="17"/>
              </w:rPr>
              <w:t xml:space="preserve">HV01.demo.local</w:t>
            </w:r>
          </w:p>
        </w:tc>
        <w:tc>
          <w:tcPr>
            <w:tcW w:w="860" w:type="dxa"/>
          </w:tcPr>
          <w:p>
            <w:pPr>
              <w:pStyle w:val="TableText"/>
              <w:jc w:val="right"/>
            </w:pPr>
            <w:r>
              <w:rPr>
                <w:sz w:val="17"/>
                <w:szCs w:val="17"/>
              </w:rPr>
              <w:t xml:space="preserve">1</w:t>
            </w:r>
          </w:p>
        </w:tc>
        <w:tc>
          <w:tcPr>
            <w:tcW w:w="678" w:type="dxa"/>
          </w:tcPr>
          <w:p>
            <w:pPr>
              <w:pStyle w:val="TableText"/>
              <w:jc w:val="right"/>
            </w:pPr>
            <w:r>
              <w:rPr>
                <w:sz w:val="17"/>
                <w:szCs w:val="17"/>
              </w:rPr>
              <w:t xml:space="preserve">4</w:t>
            </w:r>
          </w:p>
        </w:tc>
        <w:tc>
          <w:tcPr>
            <w:tcW w:w="880" w:type="dxa"/>
          </w:tcPr>
          <w:p>
            <w:pPr>
              <w:pStyle w:val="TableText"/>
              <w:jc w:val="right"/>
            </w:pPr>
            <w:r>
              <w:rPr>
                <w:sz w:val="17"/>
                <w:szCs w:val="17"/>
              </w:rPr>
              <w:t xml:space="preserve">8</w:t>
            </w:r>
          </w:p>
        </w:tc>
      </w:tr>
      <w:tr>
        <w:trPr>
          <w:cantSplit/>
        </w:trPr>
        <w:tc>
          <w:tcPr>
            <w:tcW w:w="1248" w:type="dxa"/>
            <w:shd w:val="clear" w:color="auto" w:fill="F7F9FB"/>
          </w:tcPr>
          <w:p>
            <w:pPr>
              <w:pStyle w:val="TableText"/>
            </w:pPr>
            <w:r>
              <w:rPr>
                <w:b/>
                <w:bCs/>
                <w:sz w:val="17"/>
                <w:szCs w:val="17"/>
              </w:rPr>
              <w:t xml:space="preserve">ERP01</w:t>
            </w:r>
          </w:p>
        </w:tc>
        <w:tc>
          <w:tcPr>
            <w:tcW w:w="1061" w:type="dxa"/>
            <w:shd w:val="clear" w:color="auto" w:fill="F7F9FB"/>
          </w:tcPr>
          <w:p>
            <w:pPr>
              <w:pStyle w:val="TableText"/>
            </w:pPr>
            <w:r>
              <w:rPr>
                <w:sz w:val="17"/>
                <w:szCs w:val="17"/>
              </w:rPr>
              <w:t xml:space="preserve">Server</w:t>
            </w:r>
          </w:p>
        </w:tc>
        <w:tc>
          <w:tcPr>
            <w:tcW w:w="2141" w:type="dxa"/>
            <w:shd w:val="clear" w:color="auto" w:fill="F7F9FB"/>
          </w:tcPr>
          <w:p>
            <w:pPr>
              <w:pStyle w:val="TableText"/>
            </w:pPr>
            <w:r>
              <w:rPr>
                <w:sz w:val="17"/>
                <w:szCs w:val="17"/>
              </w:rPr>
              <w:t xml:space="preserve">Windows Server 2019 Standard</w:t>
            </w:r>
          </w:p>
        </w:tc>
        <w:tc>
          <w:tcPr>
            <w:tcW w:w="1422" w:type="dxa"/>
            <w:shd w:val="clear" w:color="auto" w:fill="F7F9FB"/>
          </w:tcPr>
          <w:p>
            <w:pPr>
              <w:pStyle w:val="TableText"/>
            </w:pPr>
            <w:r>
              <w:rPr>
                <w:sz w:val="17"/>
                <w:szCs w:val="17"/>
              </w:rPr>
              <w:t xml:space="preserve">Virtual (VMware)</w:t>
            </w:r>
          </w:p>
        </w:tc>
        <w:tc>
          <w:tcPr>
            <w:tcW w:w="1462" w:type="dxa"/>
            <w:shd w:val="clear" w:color="auto" w:fill="F7F9FB"/>
          </w:tcPr>
          <w:p>
            <w:pPr>
              <w:pStyle w:val="TableText"/>
            </w:pPr>
          </w:p>
        </w:tc>
        <w:tc>
          <w:tcPr>
            <w:tcW w:w="860" w:type="dxa"/>
            <w:shd w:val="clear" w:color="auto" w:fill="F7F9FB"/>
          </w:tcPr>
          <w:p>
            <w:pPr>
              <w:pStyle w:val="TableText"/>
              <w:jc w:val="right"/>
            </w:pPr>
            <w:r>
              <w:rPr>
                <w:sz w:val="17"/>
                <w:szCs w:val="17"/>
              </w:rPr>
              <w:t xml:space="preserve">1</w:t>
            </w:r>
          </w:p>
        </w:tc>
        <w:tc>
          <w:tcPr>
            <w:tcW w:w="678" w:type="dxa"/>
            <w:shd w:val="clear" w:color="auto" w:fill="F7F9FB"/>
          </w:tcPr>
          <w:p>
            <w:pPr>
              <w:pStyle w:val="TableText"/>
              <w:jc w:val="right"/>
            </w:pPr>
            <w:r>
              <w:rPr>
                <w:sz w:val="17"/>
                <w:szCs w:val="17"/>
              </w:rPr>
              <w:t xml:space="preserve">6</w:t>
            </w:r>
          </w:p>
        </w:tc>
        <w:tc>
          <w:tcPr>
            <w:tcW w:w="880" w:type="dxa"/>
            <w:shd w:val="clear" w:color="auto" w:fill="F7F9FB"/>
          </w:tcPr>
          <w:p>
            <w:pPr>
              <w:pStyle w:val="TableText"/>
              <w:jc w:val="right"/>
            </w:pPr>
            <w:r>
              <w:rPr>
                <w:sz w:val="17"/>
                <w:szCs w:val="17"/>
              </w:rPr>
              <w:t xml:space="preserve">24</w:t>
            </w:r>
          </w:p>
        </w:tc>
      </w:tr>
      <w:tr>
        <w:trPr>
          <w:cantSplit/>
        </w:trPr>
        <w:tc>
          <w:tcPr>
            <w:tcW w:w="1248" w:type="dxa"/>
          </w:tcPr>
          <w:p>
            <w:pPr>
              <w:pStyle w:val="TableText"/>
            </w:pPr>
            <w:r>
              <w:rPr>
                <w:b/>
                <w:bCs/>
                <w:sz w:val="17"/>
                <w:szCs w:val="17"/>
              </w:rPr>
              <w:t xml:space="preserve">EXCH01</w:t>
            </w:r>
          </w:p>
        </w:tc>
        <w:tc>
          <w:tcPr>
            <w:tcW w:w="1061" w:type="dxa"/>
          </w:tcPr>
          <w:p>
            <w:pPr>
              <w:pStyle w:val="TableText"/>
            </w:pPr>
            <w:r>
              <w:rPr>
                <w:sz w:val="17"/>
                <w:szCs w:val="17"/>
              </w:rPr>
              <w:t xml:space="preserve">Server</w:t>
            </w:r>
          </w:p>
        </w:tc>
        <w:tc>
          <w:tcPr>
            <w:tcW w:w="2141" w:type="dxa"/>
          </w:tcPr>
          <w:p>
            <w:pPr>
              <w:pStyle w:val="TableText"/>
            </w:pPr>
            <w:r>
              <w:rPr>
                <w:sz w:val="17"/>
                <w:szCs w:val="17"/>
              </w:rPr>
              <w:t xml:space="preserve">Windows Server 2019 Standard</w:t>
            </w:r>
          </w:p>
        </w:tc>
        <w:tc>
          <w:tcPr>
            <w:tcW w:w="1422" w:type="dxa"/>
          </w:tcPr>
          <w:p>
            <w:pPr>
              <w:pStyle w:val="TableText"/>
            </w:pPr>
            <w:r>
              <w:rPr>
                <w:sz w:val="17"/>
                <w:szCs w:val="17"/>
              </w:rPr>
              <w:t xml:space="preserve">Virtual (Hyper-V)</w:t>
            </w:r>
          </w:p>
        </w:tc>
        <w:tc>
          <w:tcPr>
            <w:tcW w:w="1462" w:type="dxa"/>
          </w:tcPr>
          <w:p>
            <w:pPr>
              <w:pStyle w:val="TableText"/>
            </w:pPr>
            <w:r>
              <w:rPr>
                <w:sz w:val="17"/>
                <w:szCs w:val="17"/>
              </w:rPr>
              <w:t xml:space="preserve">HV02.demo.local</w:t>
            </w:r>
          </w:p>
        </w:tc>
        <w:tc>
          <w:tcPr>
            <w:tcW w:w="860" w:type="dxa"/>
          </w:tcPr>
          <w:p>
            <w:pPr>
              <w:pStyle w:val="TableText"/>
              <w:jc w:val="right"/>
            </w:pPr>
            <w:r>
              <w:rPr>
                <w:sz w:val="17"/>
                <w:szCs w:val="17"/>
              </w:rPr>
              <w:t xml:space="preserve">2</w:t>
            </w:r>
          </w:p>
        </w:tc>
        <w:tc>
          <w:tcPr>
            <w:tcW w:w="678" w:type="dxa"/>
          </w:tcPr>
          <w:p>
            <w:pPr>
              <w:pStyle w:val="TableText"/>
              <w:jc w:val="right"/>
            </w:pPr>
            <w:r>
              <w:rPr>
                <w:sz w:val="17"/>
                <w:szCs w:val="17"/>
              </w:rPr>
              <w:t xml:space="preserve">8</w:t>
            </w:r>
          </w:p>
        </w:tc>
        <w:tc>
          <w:tcPr>
            <w:tcW w:w="880" w:type="dxa"/>
          </w:tcPr>
          <w:p>
            <w:pPr>
              <w:pStyle w:val="TableText"/>
              <w:jc w:val="right"/>
            </w:pPr>
            <w:r>
              <w:rPr>
                <w:sz w:val="17"/>
                <w:szCs w:val="17"/>
              </w:rPr>
              <w:t xml:space="preserve">32</w:t>
            </w:r>
          </w:p>
        </w:tc>
      </w:tr>
      <w:tr>
        <w:trPr>
          <w:cantSplit/>
        </w:trPr>
        <w:tc>
          <w:tcPr>
            <w:tcW w:w="1248" w:type="dxa"/>
            <w:shd w:val="clear" w:color="auto" w:fill="F7F9FB"/>
          </w:tcPr>
          <w:p>
            <w:pPr>
              <w:pStyle w:val="TableText"/>
            </w:pPr>
            <w:r>
              <w:rPr>
                <w:b/>
                <w:bCs/>
                <w:sz w:val="17"/>
                <w:szCs w:val="17"/>
              </w:rPr>
              <w:t xml:space="preserve">FS01</w:t>
            </w:r>
          </w:p>
        </w:tc>
        <w:tc>
          <w:tcPr>
            <w:tcW w:w="1061" w:type="dxa"/>
            <w:shd w:val="clear" w:color="auto" w:fill="F7F9FB"/>
          </w:tcPr>
          <w:p>
            <w:pPr>
              <w:pStyle w:val="TableText"/>
            </w:pPr>
            <w:r>
              <w:rPr>
                <w:sz w:val="17"/>
                <w:szCs w:val="17"/>
              </w:rPr>
              <w:t xml:space="preserve">Server</w:t>
            </w:r>
          </w:p>
        </w:tc>
        <w:tc>
          <w:tcPr>
            <w:tcW w:w="2141" w:type="dxa"/>
            <w:shd w:val="clear" w:color="auto" w:fill="F7F9FB"/>
          </w:tcPr>
          <w:p>
            <w:pPr>
              <w:pStyle w:val="TableText"/>
            </w:pPr>
            <w:r>
              <w:rPr>
                <w:sz w:val="17"/>
                <w:szCs w:val="17"/>
              </w:rPr>
              <w:t xml:space="preserve">Windows Server 2016 Standard</w:t>
            </w:r>
          </w:p>
        </w:tc>
        <w:tc>
          <w:tcPr>
            <w:tcW w:w="1422" w:type="dxa"/>
            <w:shd w:val="clear" w:color="auto" w:fill="F7F9FB"/>
          </w:tcPr>
          <w:p>
            <w:pPr>
              <w:pStyle w:val="TableText"/>
            </w:pPr>
            <w:r>
              <w:rPr>
                <w:sz w:val="17"/>
                <w:szCs w:val="17"/>
              </w:rPr>
              <w:t xml:space="preserve">Virtual (Hyper-V)</w:t>
            </w:r>
          </w:p>
        </w:tc>
        <w:tc>
          <w:tcPr>
            <w:tcW w:w="1462" w:type="dxa"/>
            <w:shd w:val="clear" w:color="auto" w:fill="F7F9FB"/>
          </w:tcPr>
          <w:p>
            <w:pPr>
              <w:pStyle w:val="TableText"/>
            </w:pPr>
            <w:r>
              <w:rPr>
                <w:sz w:val="17"/>
                <w:szCs w:val="17"/>
              </w:rPr>
              <w:t xml:space="preserve">HV01.demo.local</w:t>
            </w:r>
          </w:p>
        </w:tc>
        <w:tc>
          <w:tcPr>
            <w:tcW w:w="860" w:type="dxa"/>
            <w:shd w:val="clear" w:color="auto" w:fill="F7F9FB"/>
          </w:tcPr>
          <w:p>
            <w:pPr>
              <w:pStyle w:val="TableText"/>
              <w:jc w:val="right"/>
            </w:pPr>
            <w:r>
              <w:rPr>
                <w:sz w:val="17"/>
                <w:szCs w:val="17"/>
              </w:rPr>
              <w:t xml:space="preserve">1</w:t>
            </w:r>
          </w:p>
        </w:tc>
        <w:tc>
          <w:tcPr>
            <w:tcW w:w="678" w:type="dxa"/>
            <w:shd w:val="clear" w:color="auto" w:fill="F7F9FB"/>
          </w:tcPr>
          <w:p>
            <w:pPr>
              <w:pStyle w:val="TableText"/>
              <w:jc w:val="right"/>
            </w:pPr>
            <w:r>
              <w:rPr>
                <w:sz w:val="17"/>
                <w:szCs w:val="17"/>
              </w:rPr>
              <w:t xml:space="preserve">4</w:t>
            </w:r>
          </w:p>
        </w:tc>
        <w:tc>
          <w:tcPr>
            <w:tcW w:w="880" w:type="dxa"/>
            <w:shd w:val="clear" w:color="auto" w:fill="F7F9FB"/>
          </w:tcPr>
          <w:p>
            <w:pPr>
              <w:pStyle w:val="TableText"/>
              <w:jc w:val="right"/>
            </w:pPr>
            <w:r>
              <w:rPr>
                <w:sz w:val="17"/>
                <w:szCs w:val="17"/>
              </w:rPr>
              <w:t xml:space="preserve">8</w:t>
            </w:r>
          </w:p>
        </w:tc>
      </w:tr>
      <w:tr>
        <w:trPr>
          <w:cantSplit/>
        </w:trPr>
        <w:tc>
          <w:tcPr>
            <w:tcW w:w="1248" w:type="dxa"/>
          </w:tcPr>
          <w:p>
            <w:pPr>
              <w:pStyle w:val="TableText"/>
            </w:pPr>
            <w:r>
              <w:rPr>
                <w:b/>
                <w:bCs/>
                <w:sz w:val="17"/>
                <w:szCs w:val="17"/>
              </w:rPr>
              <w:t xml:space="preserve">HV01</w:t>
            </w:r>
          </w:p>
        </w:tc>
        <w:tc>
          <w:tcPr>
            <w:tcW w:w="1061" w:type="dxa"/>
          </w:tcPr>
          <w:p>
            <w:pPr>
              <w:pStyle w:val="TableText"/>
            </w:pPr>
            <w:r>
              <w:rPr>
                <w:sz w:val="17"/>
                <w:szCs w:val="17"/>
              </w:rPr>
              <w:t xml:space="preserve">Server</w:t>
            </w:r>
          </w:p>
        </w:tc>
        <w:tc>
          <w:tcPr>
            <w:tcW w:w="2141" w:type="dxa"/>
          </w:tcPr>
          <w:p>
            <w:pPr>
              <w:pStyle w:val="TableText"/>
            </w:pPr>
            <w:r>
              <w:rPr>
                <w:sz w:val="17"/>
                <w:szCs w:val="17"/>
              </w:rPr>
              <w:t xml:space="preserve">Windows Server 2022 Standard</w:t>
            </w:r>
          </w:p>
        </w:tc>
        <w:tc>
          <w:tcPr>
            <w:tcW w:w="1422" w:type="dxa"/>
          </w:tcPr>
          <w:p>
            <w:pPr>
              <w:pStyle w:val="TableText"/>
            </w:pPr>
            <w:r>
              <w:rPr>
                <w:sz w:val="17"/>
                <w:szCs w:val="17"/>
              </w:rPr>
              <w:t xml:space="preserve">Physical</w:t>
            </w:r>
          </w:p>
        </w:tc>
        <w:tc>
          <w:tcPr>
            <w:tcW w:w="1462" w:type="dxa"/>
          </w:tcPr>
          <w:p>
            <w:pPr>
              <w:pStyle w:val="TableText"/>
            </w:pPr>
          </w:p>
        </w:tc>
        <w:tc>
          <w:tcPr>
            <w:tcW w:w="860" w:type="dxa"/>
          </w:tcPr>
          <w:p>
            <w:pPr>
              <w:pStyle w:val="TableText"/>
              <w:jc w:val="right"/>
            </w:pPr>
            <w:r>
              <w:rPr>
                <w:sz w:val="17"/>
                <w:szCs w:val="17"/>
              </w:rPr>
              <w:t xml:space="preserve">2</w:t>
            </w:r>
          </w:p>
        </w:tc>
        <w:tc>
          <w:tcPr>
            <w:tcW w:w="678" w:type="dxa"/>
          </w:tcPr>
          <w:p>
            <w:pPr>
              <w:pStyle w:val="TableText"/>
              <w:jc w:val="right"/>
            </w:pPr>
            <w:r>
              <w:rPr>
                <w:sz w:val="17"/>
                <w:szCs w:val="17"/>
              </w:rPr>
              <w:t xml:space="preserve">32</w:t>
            </w:r>
          </w:p>
        </w:tc>
        <w:tc>
          <w:tcPr>
            <w:tcW w:w="880" w:type="dxa"/>
          </w:tcPr>
          <w:p>
            <w:pPr>
              <w:pStyle w:val="TableText"/>
              <w:jc w:val="right"/>
            </w:pPr>
            <w:r>
              <w:rPr>
                <w:sz w:val="17"/>
                <w:szCs w:val="17"/>
              </w:rPr>
              <w:t xml:space="preserve">64</w:t>
            </w:r>
          </w:p>
        </w:tc>
      </w:tr>
      <w:tr>
        <w:trPr>
          <w:cantSplit/>
        </w:trPr>
        <w:tc>
          <w:tcPr>
            <w:tcW w:w="1248" w:type="dxa"/>
            <w:shd w:val="clear" w:color="auto" w:fill="F7F9FB"/>
          </w:tcPr>
          <w:p>
            <w:pPr>
              <w:pStyle w:val="TableText"/>
            </w:pPr>
            <w:r>
              <w:rPr>
                <w:b/>
                <w:bCs/>
                <w:sz w:val="17"/>
                <w:szCs w:val="17"/>
              </w:rPr>
              <w:t xml:space="preserve">HV02</w:t>
            </w:r>
          </w:p>
        </w:tc>
        <w:tc>
          <w:tcPr>
            <w:tcW w:w="1061" w:type="dxa"/>
            <w:shd w:val="clear" w:color="auto" w:fill="F7F9FB"/>
          </w:tcPr>
          <w:p>
            <w:pPr>
              <w:pStyle w:val="TableText"/>
            </w:pPr>
            <w:r>
              <w:rPr>
                <w:sz w:val="17"/>
                <w:szCs w:val="17"/>
              </w:rPr>
              <w:t xml:space="preserve">Server</w:t>
            </w:r>
          </w:p>
        </w:tc>
        <w:tc>
          <w:tcPr>
            <w:tcW w:w="2141" w:type="dxa"/>
            <w:shd w:val="clear" w:color="auto" w:fill="F7F9FB"/>
          </w:tcPr>
          <w:p>
            <w:pPr>
              <w:pStyle w:val="TableText"/>
            </w:pPr>
            <w:r>
              <w:rPr>
                <w:sz w:val="17"/>
                <w:szCs w:val="17"/>
              </w:rPr>
              <w:t xml:space="preserve">Windows Server 2022 Datacenter</w:t>
            </w:r>
          </w:p>
        </w:tc>
        <w:tc>
          <w:tcPr>
            <w:tcW w:w="1422" w:type="dxa"/>
            <w:shd w:val="clear" w:color="auto" w:fill="F7F9FB"/>
          </w:tcPr>
          <w:p>
            <w:pPr>
              <w:pStyle w:val="TableText"/>
            </w:pPr>
            <w:r>
              <w:rPr>
                <w:sz w:val="17"/>
                <w:szCs w:val="17"/>
              </w:rPr>
              <w:t xml:space="preserve">Physical</w:t>
            </w:r>
          </w:p>
        </w:tc>
        <w:tc>
          <w:tcPr>
            <w:tcW w:w="1462" w:type="dxa"/>
            <w:shd w:val="clear" w:color="auto" w:fill="F7F9FB"/>
          </w:tcPr>
          <w:p>
            <w:pPr>
              <w:pStyle w:val="TableText"/>
            </w:pPr>
          </w:p>
        </w:tc>
        <w:tc>
          <w:tcPr>
            <w:tcW w:w="860" w:type="dxa"/>
            <w:shd w:val="clear" w:color="auto" w:fill="F7F9FB"/>
          </w:tcPr>
          <w:p>
            <w:pPr>
              <w:pStyle w:val="TableText"/>
              <w:jc w:val="right"/>
            </w:pPr>
            <w:r>
              <w:rPr>
                <w:sz w:val="17"/>
                <w:szCs w:val="17"/>
              </w:rPr>
              <w:t xml:space="preserve">2</w:t>
            </w:r>
          </w:p>
        </w:tc>
        <w:tc>
          <w:tcPr>
            <w:tcW w:w="678" w:type="dxa"/>
            <w:shd w:val="clear" w:color="auto" w:fill="F7F9FB"/>
          </w:tcPr>
          <w:p>
            <w:pPr>
              <w:pStyle w:val="TableText"/>
              <w:jc w:val="right"/>
            </w:pPr>
            <w:r>
              <w:rPr>
                <w:sz w:val="17"/>
                <w:szCs w:val="17"/>
              </w:rPr>
              <w:t xml:space="preserve">48</w:t>
            </w:r>
          </w:p>
        </w:tc>
        <w:tc>
          <w:tcPr>
            <w:tcW w:w="880" w:type="dxa"/>
            <w:shd w:val="clear" w:color="auto" w:fill="F7F9FB"/>
          </w:tcPr>
          <w:p>
            <w:pPr>
              <w:pStyle w:val="TableText"/>
              <w:jc w:val="right"/>
            </w:pPr>
            <w:r>
              <w:rPr>
                <w:sz w:val="17"/>
                <w:szCs w:val="17"/>
              </w:rPr>
              <w:t xml:space="preserve">128</w:t>
            </w:r>
          </w:p>
        </w:tc>
      </w:tr>
      <w:tr>
        <w:trPr>
          <w:cantSplit/>
        </w:trPr>
        <w:tc>
          <w:tcPr>
            <w:tcW w:w="1248" w:type="dxa"/>
          </w:tcPr>
          <w:p>
            <w:pPr>
              <w:pStyle w:val="TableText"/>
            </w:pPr>
            <w:r>
              <w:rPr>
                <w:b/>
                <w:bCs/>
                <w:sz w:val="17"/>
                <w:szCs w:val="17"/>
              </w:rPr>
              <w:t xml:space="preserve">RDS01</w:t>
            </w:r>
          </w:p>
        </w:tc>
        <w:tc>
          <w:tcPr>
            <w:tcW w:w="1061" w:type="dxa"/>
          </w:tcPr>
          <w:p>
            <w:pPr>
              <w:pStyle w:val="TableText"/>
            </w:pPr>
            <w:r>
              <w:rPr>
                <w:sz w:val="17"/>
                <w:szCs w:val="17"/>
              </w:rPr>
              <w:t xml:space="preserve">Server</w:t>
            </w:r>
          </w:p>
        </w:tc>
        <w:tc>
          <w:tcPr>
            <w:tcW w:w="2141" w:type="dxa"/>
          </w:tcPr>
          <w:p>
            <w:pPr>
              <w:pStyle w:val="TableText"/>
            </w:pPr>
            <w:r>
              <w:rPr>
                <w:sz w:val="17"/>
                <w:szCs w:val="17"/>
              </w:rPr>
              <w:t xml:space="preserve">Windows Server 2022 Datacenter</w:t>
            </w:r>
          </w:p>
        </w:tc>
        <w:tc>
          <w:tcPr>
            <w:tcW w:w="1422" w:type="dxa"/>
          </w:tcPr>
          <w:p>
            <w:pPr>
              <w:pStyle w:val="TableText"/>
            </w:pPr>
            <w:r>
              <w:rPr>
                <w:sz w:val="17"/>
                <w:szCs w:val="17"/>
              </w:rPr>
              <w:t xml:space="preserve">Virtual (Hyper-V)</w:t>
            </w:r>
          </w:p>
        </w:tc>
        <w:tc>
          <w:tcPr>
            <w:tcW w:w="1462" w:type="dxa"/>
          </w:tcPr>
          <w:p>
            <w:pPr>
              <w:pStyle w:val="TableText"/>
            </w:pPr>
            <w:r>
              <w:rPr>
                <w:sz w:val="17"/>
                <w:szCs w:val="17"/>
              </w:rPr>
              <w:t xml:space="preserve">HV01.demo.local</w:t>
            </w:r>
          </w:p>
        </w:tc>
        <w:tc>
          <w:tcPr>
            <w:tcW w:w="860" w:type="dxa"/>
          </w:tcPr>
          <w:p>
            <w:pPr>
              <w:pStyle w:val="TableText"/>
              <w:jc w:val="right"/>
            </w:pPr>
            <w:r>
              <w:rPr>
                <w:sz w:val="17"/>
                <w:szCs w:val="17"/>
              </w:rPr>
              <w:t xml:space="preserve">2</w:t>
            </w:r>
          </w:p>
        </w:tc>
        <w:tc>
          <w:tcPr>
            <w:tcW w:w="678" w:type="dxa"/>
          </w:tcPr>
          <w:p>
            <w:pPr>
              <w:pStyle w:val="TableText"/>
              <w:jc w:val="right"/>
            </w:pPr>
            <w:r>
              <w:rPr>
                <w:sz w:val="17"/>
                <w:szCs w:val="17"/>
              </w:rPr>
              <w:t xml:space="preserve">8</w:t>
            </w:r>
          </w:p>
        </w:tc>
        <w:tc>
          <w:tcPr>
            <w:tcW w:w="880" w:type="dxa"/>
          </w:tcPr>
          <w:p>
            <w:pPr>
              <w:pStyle w:val="TableText"/>
              <w:jc w:val="right"/>
            </w:pPr>
            <w:r>
              <w:rPr>
                <w:sz w:val="17"/>
                <w:szCs w:val="17"/>
              </w:rPr>
              <w:t xml:space="preserve">32</w:t>
            </w:r>
          </w:p>
        </w:tc>
      </w:tr>
      <w:tr>
        <w:trPr>
          <w:cantSplit/>
        </w:trPr>
        <w:tc>
          <w:tcPr>
            <w:tcW w:w="1248" w:type="dxa"/>
            <w:shd w:val="clear" w:color="auto" w:fill="F7F9FB"/>
          </w:tcPr>
          <w:p>
            <w:pPr>
              <w:pStyle w:val="TableText"/>
            </w:pPr>
            <w:r>
              <w:rPr>
                <w:b/>
                <w:bCs/>
                <w:sz w:val="17"/>
                <w:szCs w:val="17"/>
              </w:rPr>
              <w:t xml:space="preserve">SQL01</w:t>
            </w:r>
          </w:p>
        </w:tc>
        <w:tc>
          <w:tcPr>
            <w:tcW w:w="1061" w:type="dxa"/>
            <w:shd w:val="clear" w:color="auto" w:fill="F7F9FB"/>
          </w:tcPr>
          <w:p>
            <w:pPr>
              <w:pStyle w:val="TableText"/>
            </w:pPr>
            <w:r>
              <w:rPr>
                <w:sz w:val="17"/>
                <w:szCs w:val="17"/>
              </w:rPr>
              <w:t xml:space="preserve">Server</w:t>
            </w:r>
          </w:p>
        </w:tc>
        <w:tc>
          <w:tcPr>
            <w:tcW w:w="2141" w:type="dxa"/>
            <w:shd w:val="clear" w:color="auto" w:fill="F7F9FB"/>
          </w:tcPr>
          <w:p>
            <w:pPr>
              <w:pStyle w:val="TableText"/>
            </w:pPr>
            <w:r>
              <w:rPr>
                <w:sz w:val="17"/>
                <w:szCs w:val="17"/>
              </w:rPr>
              <w:t xml:space="preserve">Windows Server 2022 Standard</w:t>
            </w:r>
          </w:p>
        </w:tc>
        <w:tc>
          <w:tcPr>
            <w:tcW w:w="1422" w:type="dxa"/>
            <w:shd w:val="clear" w:color="auto" w:fill="F7F9FB"/>
          </w:tcPr>
          <w:p>
            <w:pPr>
              <w:pStyle w:val="TableText"/>
            </w:pPr>
            <w:r>
              <w:rPr>
                <w:sz w:val="17"/>
                <w:szCs w:val="17"/>
              </w:rPr>
              <w:t xml:space="preserve">Virtual (Hyper-V)</w:t>
            </w:r>
          </w:p>
        </w:tc>
        <w:tc>
          <w:tcPr>
            <w:tcW w:w="1462" w:type="dxa"/>
            <w:shd w:val="clear" w:color="auto" w:fill="F7F9FB"/>
          </w:tcPr>
          <w:p>
            <w:pPr>
              <w:pStyle w:val="TableText"/>
            </w:pPr>
            <w:r>
              <w:rPr>
                <w:sz w:val="17"/>
                <w:szCs w:val="17"/>
              </w:rPr>
              <w:t xml:space="preserve">HV01.demo.local</w:t>
            </w:r>
          </w:p>
        </w:tc>
        <w:tc>
          <w:tcPr>
            <w:tcW w:w="860" w:type="dxa"/>
            <w:shd w:val="clear" w:color="auto" w:fill="F7F9FB"/>
          </w:tcPr>
          <w:p>
            <w:pPr>
              <w:pStyle w:val="TableText"/>
              <w:jc w:val="right"/>
            </w:pPr>
            <w:r>
              <w:rPr>
                <w:sz w:val="17"/>
                <w:szCs w:val="17"/>
              </w:rPr>
              <w:t xml:space="preserve">2</w:t>
            </w:r>
          </w:p>
        </w:tc>
        <w:tc>
          <w:tcPr>
            <w:tcW w:w="678" w:type="dxa"/>
            <w:shd w:val="clear" w:color="auto" w:fill="F7F9FB"/>
          </w:tcPr>
          <w:p>
            <w:pPr>
              <w:pStyle w:val="TableText"/>
              <w:jc w:val="right"/>
            </w:pPr>
            <w:r>
              <w:rPr>
                <w:sz w:val="17"/>
                <w:szCs w:val="17"/>
              </w:rPr>
              <w:t xml:space="preserve">8</w:t>
            </w:r>
          </w:p>
        </w:tc>
        <w:tc>
          <w:tcPr>
            <w:tcW w:w="880" w:type="dxa"/>
            <w:shd w:val="clear" w:color="auto" w:fill="F7F9FB"/>
          </w:tcPr>
          <w:p>
            <w:pPr>
              <w:pStyle w:val="TableText"/>
              <w:jc w:val="right"/>
            </w:pPr>
            <w:r>
              <w:rPr>
                <w:sz w:val="17"/>
                <w:szCs w:val="17"/>
              </w:rPr>
              <w:t xml:space="preserve">64</w:t>
            </w:r>
          </w:p>
        </w:tc>
      </w:tr>
    </w:tbl>
    <w:p>
      <w:pPr>
        <w:spacing w:before="0" w:after="0" w:line="240" w:lineRule="auto"/>
        <w:rPr>
          <w:sz w:val="12"/>
          <w:szCs w:val="12"/>
        </w:rPr>
      </w:pPr>
    </w:p>
    <w:p>
      <w:pPr>
        <w:pStyle w:val="Small"/>
      </w:pPr>
      <w:r>
        <w:t xml:space="preserve">10 servers; physical cores on physical servers: 80.</w:t>
      </w:r>
    </w:p>
    <w:p>
      <w:pPr>
        <w:pStyle w:val="Heading2"/>
      </w:pPr>
      <w:bookmarkStart w:id="128" w:name="_TocMlat00128"/>
      <w:r>
        <w:t xml:space="preserve">Workstations by operating system and edition</w:t>
      </w:r>
      <w:bookmarkEnd w:id="128"/>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315"/>
        <w:gridCol w:w="1560"/>
        <w:gridCol w:w="1365"/>
        <w:gridCol w:w="1170"/>
        <w:gridCol w:w="1170"/>
        <w:gridCol w:w="1172"/>
      </w:tblGrid>
      <w:tr>
        <w:trPr>
          <w:cantSplit/>
          <w:tblHeader/>
        </w:trPr>
        <w:tc>
          <w:tcPr>
            <w:tcW w:w="3315" w:type="dxa"/>
            <w:shd w:val="clear" w:color="auto" w:fill="1F3A5F"/>
            <w:vAlign w:val="bottom"/>
          </w:tcPr>
          <w:p>
            <w:pPr>
              <w:pStyle w:val="TableText"/>
              <w:keepNext/>
            </w:pPr>
            <w:r>
              <w:rPr>
                <w:b/>
                <w:bCs/>
                <w:color w:val="FFFFFF"/>
                <w:sz w:val="17"/>
                <w:szCs w:val="17"/>
              </w:rPr>
              <w:t xml:space="preserve">Operating system</w:t>
            </w:r>
          </w:p>
        </w:tc>
        <w:tc>
          <w:tcPr>
            <w:tcW w:w="1560" w:type="dxa"/>
            <w:shd w:val="clear" w:color="auto" w:fill="1F3A5F"/>
            <w:vAlign w:val="bottom"/>
          </w:tcPr>
          <w:p>
            <w:pPr>
              <w:pStyle w:val="TableText"/>
              <w:keepNext/>
            </w:pPr>
            <w:r>
              <w:rPr>
                <w:b/>
                <w:bCs/>
                <w:color w:val="FFFFFF"/>
                <w:sz w:val="17"/>
                <w:szCs w:val="17"/>
              </w:rPr>
              <w:t xml:space="preserve">Edition</w:t>
            </w:r>
          </w:p>
        </w:tc>
        <w:tc>
          <w:tcPr>
            <w:tcW w:w="1365" w:type="dxa"/>
            <w:shd w:val="clear" w:color="auto" w:fill="1F3A5F"/>
            <w:vAlign w:val="bottom"/>
          </w:tcPr>
          <w:p>
            <w:pPr>
              <w:pStyle w:val="TableText"/>
              <w:keepNext/>
              <w:jc w:val="right"/>
            </w:pPr>
            <w:r>
              <w:rPr>
                <w:b/>
                <w:bCs/>
                <w:color w:val="FFFFFF"/>
                <w:sz w:val="17"/>
                <w:szCs w:val="17"/>
              </w:rPr>
              <w:t xml:space="preserve">Workstations</w:t>
            </w:r>
          </w:p>
        </w:tc>
        <w:tc>
          <w:tcPr>
            <w:tcW w:w="1170" w:type="dxa"/>
            <w:shd w:val="clear" w:color="auto" w:fill="1F3A5F"/>
            <w:vAlign w:val="bottom"/>
          </w:tcPr>
          <w:p>
            <w:pPr>
              <w:pStyle w:val="TableText"/>
              <w:keepNext/>
              <w:jc w:val="right"/>
            </w:pPr>
            <w:r>
              <w:rPr>
                <w:b/>
                <w:bCs/>
                <w:color w:val="FFFFFF"/>
                <w:sz w:val="17"/>
                <w:szCs w:val="17"/>
              </w:rPr>
              <w:t xml:space="preserve">Virtual</w:t>
            </w:r>
          </w:p>
        </w:tc>
        <w:tc>
          <w:tcPr>
            <w:tcW w:w="1170" w:type="dxa"/>
            <w:shd w:val="clear" w:color="auto" w:fill="1F3A5F"/>
            <w:vAlign w:val="bottom"/>
          </w:tcPr>
          <w:p>
            <w:pPr>
              <w:pStyle w:val="TableText"/>
              <w:keepNext/>
              <w:jc w:val="right"/>
            </w:pPr>
            <w:r>
              <w:rPr>
                <w:b/>
                <w:bCs/>
                <w:color w:val="FFFFFF"/>
                <w:sz w:val="17"/>
                <w:szCs w:val="17"/>
              </w:rPr>
              <w:t xml:space="preserve">Entra joined</w:t>
            </w:r>
          </w:p>
        </w:tc>
        <w:tc>
          <w:tcPr>
            <w:tcW w:w="1172" w:type="dxa"/>
            <w:shd w:val="clear" w:color="auto" w:fill="1F3A5F"/>
            <w:vAlign w:val="bottom"/>
          </w:tcPr>
          <w:p>
            <w:pPr>
              <w:pStyle w:val="TableText"/>
              <w:keepNext/>
              <w:jc w:val="right"/>
            </w:pPr>
            <w:r>
              <w:rPr>
                <w:b/>
                <w:bCs/>
                <w:color w:val="FFFFFF"/>
                <w:sz w:val="17"/>
                <w:szCs w:val="17"/>
              </w:rPr>
              <w:t xml:space="preserve">With Office</w:t>
            </w:r>
          </w:p>
        </w:tc>
      </w:tr>
      <w:tr>
        <w:trPr>
          <w:cantSplit/>
        </w:trPr>
        <w:tc>
          <w:tcPr>
            <w:tcW w:w="3315" w:type="dxa"/>
          </w:tcPr>
          <w:p>
            <w:pPr>
              <w:pStyle w:val="TableText"/>
            </w:pPr>
            <w:r>
              <w:rPr>
                <w:sz w:val="17"/>
                <w:szCs w:val="17"/>
              </w:rPr>
              <w:t xml:space="preserve">Windows 11</w:t>
            </w:r>
          </w:p>
        </w:tc>
        <w:tc>
          <w:tcPr>
            <w:tcW w:w="1560" w:type="dxa"/>
          </w:tcPr>
          <w:p>
            <w:pPr>
              <w:pStyle w:val="TableText"/>
            </w:pPr>
            <w:r>
              <w:rPr>
                <w:sz w:val="17"/>
                <w:szCs w:val="17"/>
              </w:rPr>
              <w:t xml:space="preserve">Pro</w:t>
            </w:r>
          </w:p>
        </w:tc>
        <w:tc>
          <w:tcPr>
            <w:tcW w:w="1365" w:type="dxa"/>
          </w:tcPr>
          <w:p>
            <w:pPr>
              <w:pStyle w:val="TableText"/>
              <w:jc w:val="right"/>
            </w:pPr>
            <w:r>
              <w:rPr>
                <w:sz w:val="17"/>
                <w:szCs w:val="17"/>
              </w:rPr>
              <w:t xml:space="preserve">10</w:t>
            </w:r>
          </w:p>
        </w:tc>
        <w:tc>
          <w:tcPr>
            <w:tcW w:w="1170" w:type="dxa"/>
          </w:tcPr>
          <w:p>
            <w:pPr>
              <w:pStyle w:val="TableText"/>
              <w:jc w:val="right"/>
            </w:pPr>
            <w:r>
              <w:rPr>
                <w:sz w:val="17"/>
                <w:szCs w:val="17"/>
              </w:rPr>
              <w:t xml:space="preserve">0</w:t>
            </w:r>
          </w:p>
        </w:tc>
        <w:tc>
          <w:tcPr>
            <w:tcW w:w="1170" w:type="dxa"/>
          </w:tcPr>
          <w:p>
            <w:pPr>
              <w:pStyle w:val="TableText"/>
              <w:jc w:val="right"/>
            </w:pPr>
            <w:r>
              <w:rPr>
                <w:sz w:val="17"/>
                <w:szCs w:val="17"/>
              </w:rPr>
              <w:t xml:space="preserve">10</w:t>
            </w:r>
          </w:p>
        </w:tc>
        <w:tc>
          <w:tcPr>
            <w:tcW w:w="1172" w:type="dxa"/>
          </w:tcPr>
          <w:p>
            <w:pPr>
              <w:pStyle w:val="TableText"/>
              <w:jc w:val="right"/>
            </w:pPr>
            <w:r>
              <w:rPr>
                <w:sz w:val="17"/>
                <w:szCs w:val="17"/>
              </w:rPr>
              <w:t xml:space="preserve">10</w:t>
            </w:r>
          </w:p>
        </w:tc>
      </w:tr>
      <w:tr>
        <w:trPr>
          <w:cantSplit/>
        </w:trPr>
        <w:tc>
          <w:tcPr>
            <w:tcW w:w="3315" w:type="dxa"/>
            <w:shd w:val="clear" w:color="auto" w:fill="F7F9FB"/>
          </w:tcPr>
          <w:p>
            <w:pPr>
              <w:pStyle w:val="TableText"/>
            </w:pPr>
            <w:r>
              <w:rPr>
                <w:sz w:val="17"/>
                <w:szCs w:val="17"/>
              </w:rPr>
              <w:t xml:space="preserve">Windows 10</w:t>
            </w:r>
          </w:p>
        </w:tc>
        <w:tc>
          <w:tcPr>
            <w:tcW w:w="1560" w:type="dxa"/>
            <w:shd w:val="clear" w:color="auto" w:fill="F7F9FB"/>
          </w:tcPr>
          <w:p>
            <w:pPr>
              <w:pStyle w:val="TableText"/>
            </w:pPr>
            <w:r>
              <w:rPr>
                <w:sz w:val="17"/>
                <w:szCs w:val="17"/>
              </w:rPr>
              <w:t xml:space="preserve">Pro</w:t>
            </w:r>
          </w:p>
        </w:tc>
        <w:tc>
          <w:tcPr>
            <w:tcW w:w="1365" w:type="dxa"/>
            <w:shd w:val="clear" w:color="auto" w:fill="F7F9FB"/>
          </w:tcPr>
          <w:p>
            <w:pPr>
              <w:pStyle w:val="TableText"/>
              <w:jc w:val="right"/>
            </w:pPr>
            <w:r>
              <w:rPr>
                <w:sz w:val="17"/>
                <w:szCs w:val="17"/>
              </w:rPr>
              <w:t xml:space="preserve">1</w:t>
            </w:r>
          </w:p>
        </w:tc>
        <w:tc>
          <w:tcPr>
            <w:tcW w:w="1170" w:type="dxa"/>
            <w:shd w:val="clear" w:color="auto" w:fill="F7F9FB"/>
          </w:tcPr>
          <w:p>
            <w:pPr>
              <w:pStyle w:val="TableText"/>
              <w:jc w:val="right"/>
            </w:pPr>
            <w:r>
              <w:rPr>
                <w:sz w:val="17"/>
                <w:szCs w:val="17"/>
              </w:rPr>
              <w:t xml:space="preserve">0</w:t>
            </w:r>
          </w:p>
        </w:tc>
        <w:tc>
          <w:tcPr>
            <w:tcW w:w="1170" w:type="dxa"/>
            <w:shd w:val="clear" w:color="auto" w:fill="F7F9FB"/>
          </w:tcPr>
          <w:p>
            <w:pPr>
              <w:pStyle w:val="TableText"/>
              <w:jc w:val="right"/>
            </w:pPr>
            <w:r>
              <w:rPr>
                <w:sz w:val="17"/>
                <w:szCs w:val="17"/>
              </w:rPr>
              <w:t xml:space="preserve">1</w:t>
            </w:r>
          </w:p>
        </w:tc>
        <w:tc>
          <w:tcPr>
            <w:tcW w:w="1172" w:type="dxa"/>
            <w:shd w:val="clear" w:color="auto" w:fill="F7F9FB"/>
          </w:tcPr>
          <w:p>
            <w:pPr>
              <w:pStyle w:val="TableText"/>
              <w:jc w:val="right"/>
            </w:pPr>
            <w:r>
              <w:rPr>
                <w:sz w:val="17"/>
                <w:szCs w:val="17"/>
              </w:rPr>
              <w:t xml:space="preserve">1</w:t>
            </w:r>
          </w:p>
        </w:tc>
      </w:tr>
      <w:tr>
        <w:trPr>
          <w:cantSplit/>
        </w:trPr>
        <w:tc>
          <w:tcPr>
            <w:tcW w:w="3315" w:type="dxa"/>
          </w:tcPr>
          <w:p>
            <w:pPr>
              <w:pStyle w:val="TableText"/>
            </w:pPr>
            <w:r>
              <w:rPr>
                <w:sz w:val="17"/>
                <w:szCs w:val="17"/>
              </w:rPr>
              <w:t xml:space="preserve">Windows 11</w:t>
            </w:r>
          </w:p>
        </w:tc>
        <w:tc>
          <w:tcPr>
            <w:tcW w:w="1560" w:type="dxa"/>
          </w:tcPr>
          <w:p>
            <w:pPr>
              <w:pStyle w:val="TableText"/>
            </w:pPr>
            <w:r>
              <w:rPr>
                <w:sz w:val="17"/>
                <w:szCs w:val="17"/>
              </w:rPr>
              <w:t xml:space="preserve">Enterprise</w:t>
            </w:r>
          </w:p>
        </w:tc>
        <w:tc>
          <w:tcPr>
            <w:tcW w:w="1365" w:type="dxa"/>
          </w:tcPr>
          <w:p>
            <w:pPr>
              <w:pStyle w:val="TableText"/>
              <w:jc w:val="right"/>
            </w:pPr>
            <w:r>
              <w:rPr>
                <w:sz w:val="17"/>
                <w:szCs w:val="17"/>
              </w:rPr>
              <w:t xml:space="preserve">1</w:t>
            </w:r>
          </w:p>
        </w:tc>
        <w:tc>
          <w:tcPr>
            <w:tcW w:w="1170" w:type="dxa"/>
          </w:tcPr>
          <w:p>
            <w:pPr>
              <w:pStyle w:val="TableText"/>
              <w:jc w:val="right"/>
            </w:pPr>
            <w:r>
              <w:rPr>
                <w:sz w:val="17"/>
                <w:szCs w:val="17"/>
              </w:rPr>
              <w:t xml:space="preserve">0</w:t>
            </w:r>
          </w:p>
        </w:tc>
        <w:tc>
          <w:tcPr>
            <w:tcW w:w="1170" w:type="dxa"/>
          </w:tcPr>
          <w:p>
            <w:pPr>
              <w:pStyle w:val="TableText"/>
              <w:jc w:val="right"/>
            </w:pPr>
            <w:r>
              <w:rPr>
                <w:sz w:val="17"/>
                <w:szCs w:val="17"/>
              </w:rPr>
              <w:t xml:space="preserve">1</w:t>
            </w:r>
          </w:p>
        </w:tc>
        <w:tc>
          <w:tcPr>
            <w:tcW w:w="1172" w:type="dxa"/>
          </w:tcPr>
          <w:p>
            <w:pPr>
              <w:pStyle w:val="TableText"/>
              <w:jc w:val="right"/>
            </w:pPr>
            <w:r>
              <w:rPr>
                <w:sz w:val="17"/>
                <w:szCs w:val="17"/>
              </w:rPr>
              <w:t xml:space="preserve">1</w:t>
            </w:r>
          </w:p>
        </w:tc>
      </w:tr>
      <w:tr>
        <w:trPr>
          <w:cantSplit/>
        </w:trPr>
        <w:tc>
          <w:tcPr>
            <w:tcW w:w="4875" w:type="dxa"/>
            <w:gridSpan w:val="2"/>
            <w:shd w:val="clear" w:color="auto" w:fill="EEF2F7"/>
          </w:tcPr>
          <w:p>
            <w:pPr>
              <w:pStyle w:val="TableText"/>
            </w:pPr>
            <w:r>
              <w:rPr>
                <w:b/>
                <w:bCs/>
                <w:sz w:val="17"/>
                <w:szCs w:val="17"/>
              </w:rPr>
              <w:t xml:space="preserve">Total</w:t>
            </w:r>
          </w:p>
        </w:tc>
        <w:tc>
          <w:tcPr>
            <w:tcW w:w="1365" w:type="dxa"/>
            <w:shd w:val="clear" w:color="auto" w:fill="EEF2F7"/>
          </w:tcPr>
          <w:p>
            <w:pPr>
              <w:pStyle w:val="TableText"/>
              <w:jc w:val="right"/>
            </w:pPr>
            <w:r>
              <w:rPr>
                <w:b/>
                <w:bCs/>
                <w:sz w:val="17"/>
                <w:szCs w:val="17"/>
              </w:rPr>
              <w:t xml:space="preserve">12</w:t>
            </w:r>
          </w:p>
        </w:tc>
        <w:tc>
          <w:tcPr>
            <w:tcW w:w="1170" w:type="dxa"/>
            <w:shd w:val="clear" w:color="auto" w:fill="EEF2F7"/>
          </w:tcPr>
          <w:p>
            <w:pPr>
              <w:pStyle w:val="TableText"/>
              <w:jc w:val="right"/>
            </w:pPr>
            <w:r>
              <w:rPr>
                <w:b/>
                <w:bCs/>
                <w:sz w:val="17"/>
                <w:szCs w:val="17"/>
              </w:rPr>
              <w:t xml:space="preserve">0</w:t>
            </w:r>
          </w:p>
        </w:tc>
        <w:tc>
          <w:tcPr>
            <w:tcW w:w="1170" w:type="dxa"/>
            <w:shd w:val="clear" w:color="auto" w:fill="EEF2F7"/>
          </w:tcPr>
          <w:p>
            <w:pPr>
              <w:pStyle w:val="TableText"/>
              <w:jc w:val="right"/>
            </w:pPr>
            <w:r>
              <w:rPr>
                <w:b/>
                <w:bCs/>
                <w:sz w:val="17"/>
                <w:szCs w:val="17"/>
              </w:rPr>
              <w:t xml:space="preserve">12</w:t>
            </w:r>
          </w:p>
        </w:tc>
        <w:tc>
          <w:tcPr>
            <w:tcW w:w="1172" w:type="dxa"/>
            <w:shd w:val="clear" w:color="auto" w:fill="EEF2F7"/>
          </w:tcPr>
          <w:p>
            <w:pPr>
              <w:pStyle w:val="TableText"/>
              <w:jc w:val="right"/>
            </w:pPr>
            <w:r>
              <w:rPr>
                <w:b/>
                <w:bCs/>
                <w:sz w:val="17"/>
                <w:szCs w:val="17"/>
              </w:rPr>
              <w:t xml:space="preserve">12</w:t>
            </w:r>
          </w:p>
        </w:tc>
      </w:tr>
    </w:tbl>
    <w:p>
      <w:pPr>
        <w:spacing w:before="0" w:after="0" w:line="240" w:lineRule="auto"/>
        <w:rPr>
          <w:sz w:val="12"/>
          <w:szCs w:val="12"/>
        </w:rPr>
      </w:pPr>
    </w:p>
    <w:p>
      <w:pPr>
        <w:pStyle w:val="Heading2"/>
      </w:pPr>
      <w:bookmarkStart w:id="129" w:name="_TocMlat00129"/>
      <w:r>
        <w:t xml:space="preserve">SQL Server instances</w:t>
      </w:r>
      <w:bookmarkEnd w:id="129"/>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139"/>
        <w:gridCol w:w="1440"/>
        <w:gridCol w:w="1164"/>
        <w:gridCol w:w="1062"/>
        <w:gridCol w:w="1346"/>
        <w:gridCol w:w="1043"/>
        <w:gridCol w:w="746"/>
        <w:gridCol w:w="681"/>
        <w:gridCol w:w="1131"/>
      </w:tblGrid>
      <w:tr>
        <w:trPr>
          <w:cantSplit/>
          <w:tblHeader/>
        </w:trPr>
        <w:tc>
          <w:tcPr>
            <w:tcW w:w="1139" w:type="dxa"/>
            <w:shd w:val="clear" w:color="auto" w:fill="1F3A5F"/>
            <w:vAlign w:val="bottom"/>
          </w:tcPr>
          <w:p>
            <w:pPr>
              <w:pStyle w:val="TableText"/>
              <w:keepNext/>
            </w:pPr>
            <w:r>
              <w:rPr>
                <w:b/>
                <w:bCs/>
                <w:color w:val="FFFFFF"/>
                <w:sz w:val="17"/>
                <w:szCs w:val="17"/>
              </w:rPr>
              <w:t xml:space="preserve">Machine</w:t>
            </w:r>
          </w:p>
        </w:tc>
        <w:tc>
          <w:tcPr>
            <w:tcW w:w="1440" w:type="dxa"/>
            <w:shd w:val="clear" w:color="auto" w:fill="1F3A5F"/>
            <w:vAlign w:val="bottom"/>
          </w:tcPr>
          <w:p>
            <w:pPr>
              <w:pStyle w:val="TableText"/>
              <w:keepNext/>
            </w:pPr>
            <w:r>
              <w:rPr>
                <w:b/>
                <w:bCs/>
                <w:color w:val="FFFFFF"/>
                <w:sz w:val="17"/>
                <w:szCs w:val="17"/>
              </w:rPr>
              <w:t xml:space="preserve">Instance</w:t>
            </w:r>
          </w:p>
        </w:tc>
        <w:tc>
          <w:tcPr>
            <w:tcW w:w="1164" w:type="dxa"/>
            <w:shd w:val="clear" w:color="auto" w:fill="1F3A5F"/>
            <w:vAlign w:val="bottom"/>
          </w:tcPr>
          <w:p>
            <w:pPr>
              <w:pStyle w:val="TableText"/>
              <w:keepNext/>
            </w:pPr>
            <w:r>
              <w:rPr>
                <w:b/>
                <w:bCs/>
                <w:color w:val="FFFFFF"/>
                <w:sz w:val="17"/>
                <w:szCs w:val="17"/>
              </w:rPr>
              <w:t xml:space="preserve">Component</w:t>
            </w:r>
          </w:p>
        </w:tc>
        <w:tc>
          <w:tcPr>
            <w:tcW w:w="1062" w:type="dxa"/>
            <w:shd w:val="clear" w:color="auto" w:fill="1F3A5F"/>
            <w:vAlign w:val="bottom"/>
          </w:tcPr>
          <w:p>
            <w:pPr>
              <w:pStyle w:val="TableText"/>
              <w:keepNext/>
            </w:pPr>
            <w:r>
              <w:rPr>
                <w:b/>
                <w:bCs/>
                <w:color w:val="FFFFFF"/>
                <w:sz w:val="17"/>
                <w:szCs w:val="17"/>
              </w:rPr>
              <w:t xml:space="preserve">Edition</w:t>
            </w:r>
          </w:p>
        </w:tc>
        <w:tc>
          <w:tcPr>
            <w:tcW w:w="1346" w:type="dxa"/>
            <w:shd w:val="clear" w:color="auto" w:fill="1F3A5F"/>
            <w:vAlign w:val="bottom"/>
          </w:tcPr>
          <w:p>
            <w:pPr>
              <w:pStyle w:val="TableText"/>
              <w:keepNext/>
            </w:pPr>
            <w:r>
              <w:rPr>
                <w:b/>
                <w:bCs/>
                <w:color w:val="FFFFFF"/>
                <w:sz w:val="17"/>
                <w:szCs w:val="17"/>
              </w:rPr>
              <w:t xml:space="preserve">Version</w:t>
            </w:r>
          </w:p>
        </w:tc>
        <w:tc>
          <w:tcPr>
            <w:tcW w:w="1043" w:type="dxa"/>
            <w:shd w:val="clear" w:color="auto" w:fill="1F3A5F"/>
            <w:vAlign w:val="bottom"/>
          </w:tcPr>
          <w:p>
            <w:pPr>
              <w:pStyle w:val="TableText"/>
              <w:keepNext/>
            </w:pPr>
            <w:r>
              <w:rPr>
                <w:b/>
                <w:bCs/>
                <w:color w:val="FFFFFF"/>
                <w:sz w:val="17"/>
                <w:szCs w:val="17"/>
              </w:rPr>
              <w:t xml:space="preserve">Service state</w:t>
            </w:r>
          </w:p>
        </w:tc>
        <w:tc>
          <w:tcPr>
            <w:tcW w:w="746" w:type="dxa"/>
            <w:shd w:val="clear" w:color="auto" w:fill="1F3A5F"/>
            <w:vAlign w:val="bottom"/>
          </w:tcPr>
          <w:p>
            <w:pPr>
              <w:pStyle w:val="TableText"/>
              <w:keepNext/>
            </w:pPr>
            <w:r>
              <w:rPr>
                <w:b/>
                <w:bCs/>
                <w:color w:val="FFFFFF"/>
                <w:sz w:val="17"/>
                <w:szCs w:val="17"/>
              </w:rPr>
              <w:t xml:space="preserve">FCI / AG</w:t>
            </w:r>
          </w:p>
        </w:tc>
        <w:tc>
          <w:tcPr>
            <w:tcW w:w="681" w:type="dxa"/>
            <w:shd w:val="clear" w:color="auto" w:fill="1F3A5F"/>
            <w:vAlign w:val="bottom"/>
          </w:tcPr>
          <w:p>
            <w:pPr>
              <w:pStyle w:val="TableText"/>
              <w:keepNext/>
              <w:jc w:val="right"/>
            </w:pPr>
            <w:r>
              <w:rPr>
                <w:b/>
                <w:bCs/>
                <w:color w:val="FFFFFF"/>
                <w:sz w:val="17"/>
                <w:szCs w:val="17"/>
              </w:rPr>
              <w:t xml:space="preserve">Cores</w:t>
            </w:r>
          </w:p>
        </w:tc>
        <w:tc>
          <w:tcPr>
            <w:tcW w:w="1131" w:type="dxa"/>
            <w:shd w:val="clear" w:color="auto" w:fill="1F3A5F"/>
            <w:vAlign w:val="bottom"/>
          </w:tcPr>
          <w:p>
            <w:pPr>
              <w:pStyle w:val="TableText"/>
              <w:keepNext/>
            </w:pPr>
            <w:r>
              <w:rPr>
                <w:b/>
                <w:bCs/>
                <w:color w:val="FFFFFF"/>
                <w:sz w:val="17"/>
                <w:szCs w:val="17"/>
              </w:rPr>
              <w:t xml:space="preserve">Type</w:t>
            </w:r>
          </w:p>
        </w:tc>
      </w:tr>
      <w:tr>
        <w:trPr>
          <w:cantSplit/>
        </w:trPr>
        <w:tc>
          <w:tcPr>
            <w:tcW w:w="1139" w:type="dxa"/>
          </w:tcPr>
          <w:p>
            <w:pPr>
              <w:pStyle w:val="TableText"/>
            </w:pPr>
            <w:r>
              <w:rPr>
                <w:b/>
                <w:bCs/>
                <w:sz w:val="17"/>
                <w:szCs w:val="17"/>
              </w:rPr>
              <w:t xml:space="preserve">APP01</w:t>
            </w:r>
          </w:p>
        </w:tc>
        <w:tc>
          <w:tcPr>
            <w:tcW w:w="1440" w:type="dxa"/>
          </w:tcPr>
          <w:p>
            <w:pPr>
              <w:pStyle w:val="TableText"/>
            </w:pPr>
            <w:r>
              <w:rPr>
                <w:sz w:val="17"/>
                <w:szCs w:val="17"/>
              </w:rPr>
              <w:t xml:space="preserve">APPDB</w:t>
            </w:r>
          </w:p>
        </w:tc>
        <w:tc>
          <w:tcPr>
            <w:tcW w:w="1164" w:type="dxa"/>
          </w:tcPr>
          <w:p>
            <w:pPr>
              <w:pStyle w:val="TableText"/>
            </w:pPr>
            <w:r>
              <w:rPr>
                <w:sz w:val="17"/>
                <w:szCs w:val="17"/>
              </w:rPr>
              <w:t xml:space="preserve">Database Engine</w:t>
            </w:r>
          </w:p>
        </w:tc>
        <w:tc>
          <w:tcPr>
            <w:tcW w:w="1062" w:type="dxa"/>
          </w:tcPr>
          <w:p>
            <w:pPr>
              <w:pStyle w:val="TableText"/>
            </w:pPr>
            <w:r>
              <w:rPr>
                <w:sz w:val="17"/>
                <w:szCs w:val="17"/>
              </w:rPr>
              <w:t xml:space="preserve">Standard</w:t>
            </w:r>
          </w:p>
        </w:tc>
        <w:tc>
          <w:tcPr>
            <w:tcW w:w="1346" w:type="dxa"/>
          </w:tcPr>
          <w:p>
            <w:pPr>
              <w:pStyle w:val="TableText"/>
            </w:pPr>
            <w:r>
              <w:rPr>
                <w:sz w:val="17"/>
                <w:szCs w:val="17"/>
              </w:rPr>
              <w:t xml:space="preserve">2019 (15.0.4355.3)</w:t>
            </w:r>
          </w:p>
        </w:tc>
        <w:tc>
          <w:tcPr>
            <w:tcW w:w="1043" w:type="dxa"/>
          </w:tcPr>
          <w:p>
            <w:pPr>
              <w:pStyle w:val="TableText"/>
            </w:pPr>
            <w:r>
              <w:rPr>
                <w:sz w:val="17"/>
                <w:szCs w:val="17"/>
              </w:rPr>
              <w:t xml:space="preserve">Running</w:t>
            </w:r>
          </w:p>
        </w:tc>
        <w:tc>
          <w:tcPr>
            <w:tcW w:w="746" w:type="dxa"/>
          </w:tcPr>
          <w:p>
            <w:pPr>
              <w:pStyle w:val="TableText"/>
            </w:pPr>
            <w:r>
              <w:rPr>
                <w:sz w:val="17"/>
                <w:szCs w:val="17"/>
              </w:rPr>
              <w:t xml:space="preserve">No / No</w:t>
            </w:r>
          </w:p>
        </w:tc>
        <w:tc>
          <w:tcPr>
            <w:tcW w:w="681" w:type="dxa"/>
          </w:tcPr>
          <w:p>
            <w:pPr>
              <w:pStyle w:val="TableText"/>
              <w:jc w:val="right"/>
            </w:pPr>
            <w:r>
              <w:rPr>
                <w:sz w:val="17"/>
                <w:szCs w:val="17"/>
              </w:rPr>
              <w:t xml:space="preserve">4</w:t>
            </w:r>
          </w:p>
        </w:tc>
        <w:tc>
          <w:tcPr>
            <w:tcW w:w="1131" w:type="dxa"/>
          </w:tcPr>
          <w:p>
            <w:pPr>
              <w:pStyle w:val="TableText"/>
            </w:pPr>
            <w:r>
              <w:rPr>
                <w:sz w:val="14"/>
                <w:szCs w:val="14"/>
              </w:rPr>
              <w:t xml:space="preserve">Virtual (Hyper-V)</w:t>
            </w:r>
          </w:p>
        </w:tc>
      </w:tr>
      <w:tr>
        <w:trPr>
          <w:cantSplit/>
        </w:trPr>
        <w:tc>
          <w:tcPr>
            <w:tcW w:w="1139" w:type="dxa"/>
            <w:shd w:val="clear" w:color="auto" w:fill="F7F9FB"/>
          </w:tcPr>
          <w:p>
            <w:pPr>
              <w:pStyle w:val="TableText"/>
            </w:pPr>
            <w:r>
              <w:rPr>
                <w:b/>
                <w:bCs/>
                <w:sz w:val="17"/>
                <w:szCs w:val="17"/>
              </w:rPr>
              <w:t xml:space="preserve">APP01</w:t>
            </w:r>
          </w:p>
        </w:tc>
        <w:tc>
          <w:tcPr>
            <w:tcW w:w="1440" w:type="dxa"/>
            <w:shd w:val="clear" w:color="auto" w:fill="F7F9FB"/>
          </w:tcPr>
          <w:p>
            <w:pPr>
              <w:pStyle w:val="TableText"/>
            </w:pPr>
            <w:r>
              <w:rPr>
                <w:sz w:val="17"/>
                <w:szCs w:val="17"/>
              </w:rPr>
              <w:t xml:space="preserve">SQLEXPRESS</w:t>
            </w:r>
          </w:p>
        </w:tc>
        <w:tc>
          <w:tcPr>
            <w:tcW w:w="1164" w:type="dxa"/>
            <w:shd w:val="clear" w:color="auto" w:fill="F7F9FB"/>
          </w:tcPr>
          <w:p>
            <w:pPr>
              <w:pStyle w:val="TableText"/>
            </w:pPr>
            <w:r>
              <w:rPr>
                <w:sz w:val="17"/>
                <w:szCs w:val="17"/>
              </w:rPr>
              <w:t xml:space="preserve">Database Engine</w:t>
            </w:r>
          </w:p>
        </w:tc>
        <w:tc>
          <w:tcPr>
            <w:tcW w:w="1062" w:type="dxa"/>
            <w:shd w:val="clear" w:color="auto" w:fill="F7F9FB"/>
          </w:tcPr>
          <w:p>
            <w:pPr>
              <w:pStyle w:val="TableText"/>
            </w:pPr>
            <w:r>
              <w:rPr>
                <w:sz w:val="17"/>
                <w:szCs w:val="17"/>
              </w:rPr>
              <w:t xml:space="preserve">Express</w:t>
            </w:r>
          </w:p>
        </w:tc>
        <w:tc>
          <w:tcPr>
            <w:tcW w:w="1346" w:type="dxa"/>
            <w:shd w:val="clear" w:color="auto" w:fill="F7F9FB"/>
          </w:tcPr>
          <w:p>
            <w:pPr>
              <w:pStyle w:val="TableText"/>
            </w:pPr>
            <w:r>
              <w:rPr>
                <w:sz w:val="17"/>
                <w:szCs w:val="17"/>
              </w:rPr>
              <w:t xml:space="preserve">2019 (15.0.2000.5)</w:t>
            </w:r>
          </w:p>
        </w:tc>
        <w:tc>
          <w:tcPr>
            <w:tcW w:w="1043" w:type="dxa"/>
            <w:shd w:val="clear" w:color="auto" w:fill="F7F9FB"/>
          </w:tcPr>
          <w:p>
            <w:pPr>
              <w:pStyle w:val="TableText"/>
            </w:pPr>
            <w:r>
              <w:rPr>
                <w:sz w:val="17"/>
                <w:szCs w:val="17"/>
              </w:rPr>
              <w:t xml:space="preserve">Running</w:t>
            </w:r>
          </w:p>
        </w:tc>
        <w:tc>
          <w:tcPr>
            <w:tcW w:w="746" w:type="dxa"/>
            <w:shd w:val="clear" w:color="auto" w:fill="F7F9FB"/>
          </w:tcPr>
          <w:p>
            <w:pPr>
              <w:pStyle w:val="TableText"/>
            </w:pPr>
            <w:r>
              <w:rPr>
                <w:sz w:val="17"/>
                <w:szCs w:val="17"/>
              </w:rPr>
              <w:t xml:space="preserve">No / No</w:t>
            </w:r>
          </w:p>
        </w:tc>
        <w:tc>
          <w:tcPr>
            <w:tcW w:w="681" w:type="dxa"/>
            <w:shd w:val="clear" w:color="auto" w:fill="F7F9FB"/>
          </w:tcPr>
          <w:p>
            <w:pPr>
              <w:pStyle w:val="TableText"/>
              <w:jc w:val="right"/>
            </w:pPr>
            <w:r>
              <w:rPr>
                <w:sz w:val="17"/>
                <w:szCs w:val="17"/>
              </w:rPr>
              <w:t xml:space="preserve">4</w:t>
            </w:r>
          </w:p>
        </w:tc>
        <w:tc>
          <w:tcPr>
            <w:tcW w:w="1131" w:type="dxa"/>
            <w:shd w:val="clear" w:color="auto" w:fill="F7F9FB"/>
          </w:tcPr>
          <w:p>
            <w:pPr>
              <w:pStyle w:val="TableText"/>
            </w:pPr>
            <w:r>
              <w:rPr>
                <w:sz w:val="14"/>
                <w:szCs w:val="14"/>
              </w:rPr>
              <w:t xml:space="preserve">Virtual (Hyper-V)</w:t>
            </w:r>
          </w:p>
        </w:tc>
      </w:tr>
      <w:tr>
        <w:trPr>
          <w:cantSplit/>
        </w:trPr>
        <w:tc>
          <w:tcPr>
            <w:tcW w:w="1139" w:type="dxa"/>
          </w:tcPr>
          <w:p>
            <w:pPr>
              <w:pStyle w:val="TableText"/>
            </w:pPr>
            <w:r>
              <w:rPr>
                <w:b/>
                <w:bCs/>
                <w:sz w:val="17"/>
                <w:szCs w:val="17"/>
              </w:rPr>
              <w:t xml:space="preserve">APP01</w:t>
            </w:r>
          </w:p>
        </w:tc>
        <w:tc>
          <w:tcPr>
            <w:tcW w:w="1440" w:type="dxa"/>
          </w:tcPr>
          <w:p>
            <w:pPr>
              <w:pStyle w:val="TableText"/>
            </w:pPr>
            <w:r>
              <w:rPr>
                <w:sz w:val="17"/>
                <w:szCs w:val="17"/>
              </w:rPr>
              <w:t xml:space="preserve">DEV</w:t>
            </w:r>
          </w:p>
        </w:tc>
        <w:tc>
          <w:tcPr>
            <w:tcW w:w="1164" w:type="dxa"/>
          </w:tcPr>
          <w:p>
            <w:pPr>
              <w:pStyle w:val="TableText"/>
            </w:pPr>
            <w:r>
              <w:rPr>
                <w:sz w:val="17"/>
                <w:szCs w:val="17"/>
              </w:rPr>
              <w:t xml:space="preserve">Database Engine</w:t>
            </w:r>
          </w:p>
        </w:tc>
        <w:tc>
          <w:tcPr>
            <w:tcW w:w="1062" w:type="dxa"/>
          </w:tcPr>
          <w:p>
            <w:pPr>
              <w:pStyle w:val="TableText"/>
            </w:pPr>
            <w:r>
              <w:rPr>
                <w:sz w:val="17"/>
                <w:szCs w:val="17"/>
              </w:rPr>
              <w:t xml:space="preserve">Developer</w:t>
            </w:r>
          </w:p>
        </w:tc>
        <w:tc>
          <w:tcPr>
            <w:tcW w:w="1346" w:type="dxa"/>
          </w:tcPr>
          <w:p>
            <w:pPr>
              <w:pStyle w:val="TableText"/>
            </w:pPr>
            <w:r>
              <w:rPr>
                <w:sz w:val="17"/>
                <w:szCs w:val="17"/>
              </w:rPr>
              <w:t xml:space="preserve">2022 (16.0.1000.6)</w:t>
            </w:r>
          </w:p>
        </w:tc>
        <w:tc>
          <w:tcPr>
            <w:tcW w:w="1043" w:type="dxa"/>
          </w:tcPr>
          <w:p>
            <w:pPr>
              <w:pStyle w:val="TableText"/>
            </w:pPr>
            <w:r>
              <w:rPr>
                <w:sz w:val="17"/>
                <w:szCs w:val="17"/>
              </w:rPr>
              <w:t xml:space="preserve">Stopped</w:t>
            </w:r>
          </w:p>
        </w:tc>
        <w:tc>
          <w:tcPr>
            <w:tcW w:w="746" w:type="dxa"/>
          </w:tcPr>
          <w:p>
            <w:pPr>
              <w:pStyle w:val="TableText"/>
            </w:pPr>
            <w:r>
              <w:rPr>
                <w:sz w:val="17"/>
                <w:szCs w:val="17"/>
              </w:rPr>
              <w:t xml:space="preserve">No / No</w:t>
            </w:r>
          </w:p>
        </w:tc>
        <w:tc>
          <w:tcPr>
            <w:tcW w:w="681" w:type="dxa"/>
          </w:tcPr>
          <w:p>
            <w:pPr>
              <w:pStyle w:val="TableText"/>
              <w:jc w:val="right"/>
            </w:pPr>
            <w:r>
              <w:rPr>
                <w:sz w:val="17"/>
                <w:szCs w:val="17"/>
              </w:rPr>
              <w:t xml:space="preserve">4</w:t>
            </w:r>
          </w:p>
        </w:tc>
        <w:tc>
          <w:tcPr>
            <w:tcW w:w="1131" w:type="dxa"/>
          </w:tcPr>
          <w:p>
            <w:pPr>
              <w:pStyle w:val="TableText"/>
            </w:pPr>
            <w:r>
              <w:rPr>
                <w:sz w:val="14"/>
                <w:szCs w:val="14"/>
              </w:rPr>
              <w:t xml:space="preserve">Virtual (Hyper-V)</w:t>
            </w:r>
          </w:p>
        </w:tc>
      </w:tr>
      <w:tr>
        <w:trPr>
          <w:cantSplit/>
        </w:trPr>
        <w:tc>
          <w:tcPr>
            <w:tcW w:w="1139" w:type="dxa"/>
            <w:shd w:val="clear" w:color="auto" w:fill="F7F9FB"/>
          </w:tcPr>
          <w:p>
            <w:pPr>
              <w:pStyle w:val="TableText"/>
            </w:pPr>
            <w:r>
              <w:rPr>
                <w:b/>
                <w:bCs/>
                <w:sz w:val="17"/>
                <w:szCs w:val="17"/>
              </w:rPr>
              <w:t xml:space="preserve">ERP01</w:t>
            </w:r>
          </w:p>
        </w:tc>
        <w:tc>
          <w:tcPr>
            <w:tcW w:w="1440" w:type="dxa"/>
            <w:shd w:val="clear" w:color="auto" w:fill="F7F9FB"/>
          </w:tcPr>
          <w:p>
            <w:pPr>
              <w:pStyle w:val="TableText"/>
            </w:pPr>
            <w:r>
              <w:rPr>
                <w:sz w:val="17"/>
                <w:szCs w:val="17"/>
              </w:rPr>
              <w:t xml:space="preserve">ERP</w:t>
            </w:r>
          </w:p>
        </w:tc>
        <w:tc>
          <w:tcPr>
            <w:tcW w:w="1164" w:type="dxa"/>
            <w:shd w:val="clear" w:color="auto" w:fill="F7F9FB"/>
          </w:tcPr>
          <w:p>
            <w:pPr>
              <w:pStyle w:val="TableText"/>
            </w:pPr>
            <w:r>
              <w:rPr>
                <w:sz w:val="17"/>
                <w:szCs w:val="17"/>
              </w:rPr>
              <w:t xml:space="preserve">Database Engine</w:t>
            </w:r>
          </w:p>
        </w:tc>
        <w:tc>
          <w:tcPr>
            <w:tcW w:w="1062" w:type="dxa"/>
            <w:shd w:val="clear" w:color="auto" w:fill="F7F9FB"/>
          </w:tcPr>
          <w:p>
            <w:pPr>
              <w:pStyle w:val="TableText"/>
            </w:pPr>
            <w:r>
              <w:rPr>
                <w:sz w:val="17"/>
                <w:szCs w:val="17"/>
              </w:rPr>
              <w:t xml:space="preserve">Standard</w:t>
            </w:r>
          </w:p>
        </w:tc>
        <w:tc>
          <w:tcPr>
            <w:tcW w:w="1346" w:type="dxa"/>
            <w:shd w:val="clear" w:color="auto" w:fill="F7F9FB"/>
          </w:tcPr>
          <w:p>
            <w:pPr>
              <w:pStyle w:val="TableText"/>
            </w:pPr>
            <w:r>
              <w:rPr>
                <w:sz w:val="17"/>
                <w:szCs w:val="17"/>
              </w:rPr>
              <w:t xml:space="preserve">2017 (14.0.3465.1)</w:t>
            </w:r>
          </w:p>
        </w:tc>
        <w:tc>
          <w:tcPr>
            <w:tcW w:w="1043" w:type="dxa"/>
            <w:shd w:val="clear" w:color="auto" w:fill="F7F9FB"/>
          </w:tcPr>
          <w:p>
            <w:pPr>
              <w:pStyle w:val="TableText"/>
            </w:pPr>
            <w:r>
              <w:rPr>
                <w:sz w:val="17"/>
                <w:szCs w:val="17"/>
              </w:rPr>
              <w:t xml:space="preserve">Running</w:t>
            </w:r>
          </w:p>
        </w:tc>
        <w:tc>
          <w:tcPr>
            <w:tcW w:w="746" w:type="dxa"/>
            <w:shd w:val="clear" w:color="auto" w:fill="F7F9FB"/>
          </w:tcPr>
          <w:p>
            <w:pPr>
              <w:pStyle w:val="TableText"/>
            </w:pPr>
            <w:r>
              <w:rPr>
                <w:sz w:val="17"/>
                <w:szCs w:val="17"/>
              </w:rPr>
              <w:t xml:space="preserve">No / No</w:t>
            </w:r>
          </w:p>
        </w:tc>
        <w:tc>
          <w:tcPr>
            <w:tcW w:w="681" w:type="dxa"/>
            <w:shd w:val="clear" w:color="auto" w:fill="F7F9FB"/>
          </w:tcPr>
          <w:p>
            <w:pPr>
              <w:pStyle w:val="TableText"/>
              <w:jc w:val="right"/>
            </w:pPr>
            <w:r>
              <w:rPr>
                <w:sz w:val="17"/>
                <w:szCs w:val="17"/>
              </w:rPr>
              <w:t xml:space="preserve">6</w:t>
            </w:r>
          </w:p>
        </w:tc>
        <w:tc>
          <w:tcPr>
            <w:tcW w:w="1131" w:type="dxa"/>
            <w:shd w:val="clear" w:color="auto" w:fill="F7F9FB"/>
          </w:tcPr>
          <w:p>
            <w:pPr>
              <w:pStyle w:val="TableText"/>
            </w:pPr>
            <w:r>
              <w:rPr>
                <w:sz w:val="14"/>
                <w:szCs w:val="14"/>
              </w:rPr>
              <w:t xml:space="preserve">Virtual (VMware)</w:t>
            </w:r>
          </w:p>
        </w:tc>
      </w:tr>
      <w:tr>
        <w:trPr>
          <w:cantSplit/>
        </w:trPr>
        <w:tc>
          <w:tcPr>
            <w:tcW w:w="1139" w:type="dxa"/>
          </w:tcPr>
          <w:p>
            <w:pPr>
              <w:pStyle w:val="TableText"/>
            </w:pPr>
            <w:r>
              <w:rPr>
                <w:b/>
                <w:bCs/>
                <w:sz w:val="17"/>
                <w:szCs w:val="17"/>
              </w:rPr>
              <w:t xml:space="preserve">SQL01</w:t>
            </w:r>
          </w:p>
        </w:tc>
        <w:tc>
          <w:tcPr>
            <w:tcW w:w="1440" w:type="dxa"/>
          </w:tcPr>
          <w:p>
            <w:pPr>
              <w:pStyle w:val="TableText"/>
            </w:pPr>
            <w:r>
              <w:rPr>
                <w:sz w:val="17"/>
                <w:szCs w:val="17"/>
              </w:rPr>
              <w:t xml:space="preserve">MSSQLSERVER</w:t>
            </w:r>
          </w:p>
        </w:tc>
        <w:tc>
          <w:tcPr>
            <w:tcW w:w="1164" w:type="dxa"/>
          </w:tcPr>
          <w:p>
            <w:pPr>
              <w:pStyle w:val="TableText"/>
            </w:pPr>
            <w:r>
              <w:rPr>
                <w:sz w:val="17"/>
                <w:szCs w:val="17"/>
              </w:rPr>
              <w:t xml:space="preserve">Database Engine</w:t>
            </w:r>
          </w:p>
        </w:tc>
        <w:tc>
          <w:tcPr>
            <w:tcW w:w="1062" w:type="dxa"/>
          </w:tcPr>
          <w:p>
            <w:pPr>
              <w:pStyle w:val="TableText"/>
            </w:pPr>
            <w:r>
              <w:rPr>
                <w:sz w:val="17"/>
                <w:szCs w:val="17"/>
              </w:rPr>
              <w:t xml:space="preserve">Enterprise</w:t>
            </w:r>
          </w:p>
        </w:tc>
        <w:tc>
          <w:tcPr>
            <w:tcW w:w="1346" w:type="dxa"/>
          </w:tcPr>
          <w:p>
            <w:pPr>
              <w:pStyle w:val="TableText"/>
            </w:pPr>
            <w:r>
              <w:rPr>
                <w:sz w:val="17"/>
                <w:szCs w:val="17"/>
              </w:rPr>
              <w:t xml:space="preserve">2022 (16.0.4135.4)</w:t>
            </w:r>
          </w:p>
        </w:tc>
        <w:tc>
          <w:tcPr>
            <w:tcW w:w="1043" w:type="dxa"/>
          </w:tcPr>
          <w:p>
            <w:pPr>
              <w:pStyle w:val="TableText"/>
            </w:pPr>
            <w:r>
              <w:rPr>
                <w:sz w:val="17"/>
                <w:szCs w:val="17"/>
              </w:rPr>
              <w:t xml:space="preserve">Running</w:t>
            </w:r>
          </w:p>
        </w:tc>
        <w:tc>
          <w:tcPr>
            <w:tcW w:w="746" w:type="dxa"/>
          </w:tcPr>
          <w:p>
            <w:pPr>
              <w:pStyle w:val="TableText"/>
            </w:pPr>
            <w:r>
              <w:rPr>
                <w:sz w:val="17"/>
                <w:szCs w:val="17"/>
              </w:rPr>
              <w:t xml:space="preserve">No / Yes</w:t>
            </w:r>
          </w:p>
        </w:tc>
        <w:tc>
          <w:tcPr>
            <w:tcW w:w="681" w:type="dxa"/>
          </w:tcPr>
          <w:p>
            <w:pPr>
              <w:pStyle w:val="TableText"/>
              <w:jc w:val="right"/>
            </w:pPr>
            <w:r>
              <w:rPr>
                <w:sz w:val="17"/>
                <w:szCs w:val="17"/>
              </w:rPr>
              <w:t xml:space="preserve">8</w:t>
            </w:r>
          </w:p>
        </w:tc>
        <w:tc>
          <w:tcPr>
            <w:tcW w:w="1131" w:type="dxa"/>
          </w:tcPr>
          <w:p>
            <w:pPr>
              <w:pStyle w:val="TableText"/>
            </w:pPr>
            <w:r>
              <w:rPr>
                <w:sz w:val="14"/>
                <w:szCs w:val="14"/>
              </w:rPr>
              <w:t xml:space="preserve">Virtual (Hyper-V)</w:t>
            </w:r>
          </w:p>
        </w:tc>
      </w:tr>
      <w:tr>
        <w:trPr>
          <w:cantSplit/>
        </w:trPr>
        <w:tc>
          <w:tcPr>
            <w:tcW w:w="1139" w:type="dxa"/>
            <w:shd w:val="clear" w:color="auto" w:fill="F7F9FB"/>
          </w:tcPr>
          <w:p>
            <w:pPr>
              <w:pStyle w:val="TableText"/>
            </w:pPr>
            <w:r>
              <w:rPr>
                <w:b/>
                <w:bCs/>
                <w:sz w:val="17"/>
                <w:szCs w:val="17"/>
              </w:rPr>
              <w:t xml:space="preserve">SQL01</w:t>
            </w:r>
          </w:p>
        </w:tc>
        <w:tc>
          <w:tcPr>
            <w:tcW w:w="1440" w:type="dxa"/>
            <w:shd w:val="clear" w:color="auto" w:fill="F7F9FB"/>
          </w:tcPr>
          <w:p>
            <w:pPr>
              <w:pStyle w:val="TableText"/>
            </w:pPr>
            <w:r>
              <w:rPr>
                <w:sz w:val="17"/>
                <w:szCs w:val="17"/>
              </w:rPr>
              <w:t xml:space="preserve">MSSQLSERVER</w:t>
            </w:r>
          </w:p>
        </w:tc>
        <w:tc>
          <w:tcPr>
            <w:tcW w:w="1164" w:type="dxa"/>
            <w:shd w:val="clear" w:color="auto" w:fill="F7F9FB"/>
          </w:tcPr>
          <w:p>
            <w:pPr>
              <w:pStyle w:val="TableText"/>
            </w:pPr>
            <w:r>
              <w:rPr>
                <w:sz w:val="17"/>
                <w:szCs w:val="17"/>
              </w:rPr>
              <w:t xml:space="preserve">Reporting Services</w:t>
            </w:r>
          </w:p>
        </w:tc>
        <w:tc>
          <w:tcPr>
            <w:tcW w:w="1062" w:type="dxa"/>
            <w:shd w:val="clear" w:color="auto" w:fill="F7F9FB"/>
          </w:tcPr>
          <w:p>
            <w:pPr>
              <w:pStyle w:val="TableText"/>
            </w:pPr>
            <w:r>
              <w:rPr>
                <w:sz w:val="17"/>
                <w:szCs w:val="17"/>
              </w:rPr>
              <w:t xml:space="preserve">Enterprise</w:t>
            </w:r>
          </w:p>
        </w:tc>
        <w:tc>
          <w:tcPr>
            <w:tcW w:w="1346" w:type="dxa"/>
            <w:shd w:val="clear" w:color="auto" w:fill="F7F9FB"/>
          </w:tcPr>
          <w:p>
            <w:pPr>
              <w:pStyle w:val="TableText"/>
            </w:pPr>
            <w:r>
              <w:rPr>
                <w:sz w:val="17"/>
                <w:szCs w:val="17"/>
              </w:rPr>
              <w:t xml:space="preserve">2022 (16.0.1000.6)</w:t>
            </w:r>
          </w:p>
        </w:tc>
        <w:tc>
          <w:tcPr>
            <w:tcW w:w="1043" w:type="dxa"/>
            <w:shd w:val="clear" w:color="auto" w:fill="F7F9FB"/>
          </w:tcPr>
          <w:p>
            <w:pPr>
              <w:pStyle w:val="TableText"/>
            </w:pPr>
            <w:r>
              <w:rPr>
                <w:sz w:val="17"/>
                <w:szCs w:val="17"/>
              </w:rPr>
              <w:t xml:space="preserve">Running</w:t>
            </w:r>
          </w:p>
        </w:tc>
        <w:tc>
          <w:tcPr>
            <w:tcW w:w="746" w:type="dxa"/>
            <w:shd w:val="clear" w:color="auto" w:fill="F7F9FB"/>
          </w:tcPr>
          <w:p>
            <w:pPr>
              <w:pStyle w:val="TableText"/>
            </w:pPr>
            <w:r>
              <w:rPr>
                <w:sz w:val="17"/>
                <w:szCs w:val="17"/>
              </w:rPr>
              <w:t xml:space="preserve">No / No</w:t>
            </w:r>
          </w:p>
        </w:tc>
        <w:tc>
          <w:tcPr>
            <w:tcW w:w="681" w:type="dxa"/>
            <w:shd w:val="clear" w:color="auto" w:fill="F7F9FB"/>
          </w:tcPr>
          <w:p>
            <w:pPr>
              <w:pStyle w:val="TableText"/>
              <w:jc w:val="right"/>
            </w:pPr>
            <w:r>
              <w:rPr>
                <w:sz w:val="17"/>
                <w:szCs w:val="17"/>
              </w:rPr>
              <w:t xml:space="preserve">8</w:t>
            </w:r>
          </w:p>
        </w:tc>
        <w:tc>
          <w:tcPr>
            <w:tcW w:w="1131" w:type="dxa"/>
            <w:shd w:val="clear" w:color="auto" w:fill="F7F9FB"/>
          </w:tcPr>
          <w:p>
            <w:pPr>
              <w:pStyle w:val="TableText"/>
            </w:pPr>
            <w:r>
              <w:rPr>
                <w:sz w:val="14"/>
                <w:szCs w:val="14"/>
              </w:rPr>
              <w:t xml:space="preserve">Virtual (Hyper-V)</w:t>
            </w:r>
          </w:p>
        </w:tc>
      </w:tr>
    </w:tbl>
    <w:p>
      <w:pPr>
        <w:spacing w:before="0" w:after="0" w:line="240" w:lineRule="auto"/>
        <w:rPr>
          <w:sz w:val="12"/>
          <w:szCs w:val="12"/>
        </w:rPr>
      </w:pPr>
    </w:p>
    <w:p>
      <w:pPr>
        <w:pStyle w:val="Heading2"/>
      </w:pPr>
      <w:bookmarkStart w:id="130" w:name="_TocMlat00130"/>
      <w:r>
        <w:t xml:space="preserve">Office and Microsoft 365 Apps installations</w:t>
      </w:r>
      <w:bookmarkEnd w:id="130"/>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979"/>
        <w:gridCol w:w="1374"/>
        <w:gridCol w:w="1139"/>
        <w:gridCol w:w="1238"/>
        <w:gridCol w:w="1235"/>
        <w:gridCol w:w="794"/>
        <w:gridCol w:w="993"/>
      </w:tblGrid>
      <w:tr>
        <w:trPr>
          <w:cantSplit/>
          <w:tblHeader/>
        </w:trPr>
        <w:tc>
          <w:tcPr>
            <w:tcW w:w="2979" w:type="dxa"/>
            <w:shd w:val="clear" w:color="auto" w:fill="1F3A5F"/>
            <w:vAlign w:val="bottom"/>
          </w:tcPr>
          <w:p>
            <w:pPr>
              <w:pStyle w:val="TableText"/>
              <w:keepNext/>
            </w:pPr>
            <w:r>
              <w:rPr>
                <w:b/>
                <w:bCs/>
                <w:color w:val="FFFFFF"/>
                <w:sz w:val="17"/>
                <w:szCs w:val="17"/>
              </w:rPr>
              <w:t xml:space="preserve">Product</w:t>
            </w:r>
          </w:p>
        </w:tc>
        <w:tc>
          <w:tcPr>
            <w:tcW w:w="1374" w:type="dxa"/>
            <w:shd w:val="clear" w:color="auto" w:fill="1F3A5F"/>
            <w:vAlign w:val="bottom"/>
          </w:tcPr>
          <w:p>
            <w:pPr>
              <w:pStyle w:val="TableText"/>
              <w:keepNext/>
            </w:pPr>
            <w:r>
              <w:rPr>
                <w:b/>
                <w:bCs/>
                <w:color w:val="FFFFFF"/>
                <w:sz w:val="17"/>
                <w:szCs w:val="17"/>
              </w:rPr>
              <w:t xml:space="preserve">Family</w:t>
            </w:r>
          </w:p>
        </w:tc>
        <w:tc>
          <w:tcPr>
            <w:tcW w:w="1139" w:type="dxa"/>
            <w:shd w:val="clear" w:color="auto" w:fill="1F3A5F"/>
            <w:vAlign w:val="bottom"/>
          </w:tcPr>
          <w:p>
            <w:pPr>
              <w:pStyle w:val="TableText"/>
              <w:keepNext/>
            </w:pPr>
            <w:r>
              <w:rPr>
                <w:b/>
                <w:bCs/>
                <w:color w:val="FFFFFF"/>
                <w:sz w:val="17"/>
                <w:szCs w:val="17"/>
              </w:rPr>
              <w:t xml:space="preserve">Version</w:t>
            </w:r>
          </w:p>
        </w:tc>
        <w:tc>
          <w:tcPr>
            <w:tcW w:w="1238" w:type="dxa"/>
            <w:shd w:val="clear" w:color="auto" w:fill="1F3A5F"/>
            <w:vAlign w:val="bottom"/>
          </w:tcPr>
          <w:p>
            <w:pPr>
              <w:pStyle w:val="TableText"/>
              <w:keepNext/>
            </w:pPr>
            <w:r>
              <w:rPr>
                <w:b/>
                <w:bCs/>
                <w:color w:val="FFFFFF"/>
                <w:sz w:val="17"/>
                <w:szCs w:val="17"/>
              </w:rPr>
              <w:t xml:space="preserve">Channel</w:t>
            </w:r>
          </w:p>
        </w:tc>
        <w:tc>
          <w:tcPr>
            <w:tcW w:w="1235" w:type="dxa"/>
            <w:shd w:val="clear" w:color="auto" w:fill="1F3A5F"/>
            <w:vAlign w:val="bottom"/>
          </w:tcPr>
          <w:p>
            <w:pPr>
              <w:pStyle w:val="TableText"/>
              <w:keepNext/>
            </w:pPr>
            <w:r>
              <w:rPr>
                <w:b/>
                <w:bCs/>
                <w:color w:val="FFFFFF"/>
                <w:sz w:val="17"/>
                <w:szCs w:val="17"/>
              </w:rPr>
              <w:t xml:space="preserve">Technology</w:t>
            </w:r>
          </w:p>
        </w:tc>
        <w:tc>
          <w:tcPr>
            <w:tcW w:w="794" w:type="dxa"/>
            <w:shd w:val="clear" w:color="auto" w:fill="1F3A5F"/>
            <w:vAlign w:val="bottom"/>
          </w:tcPr>
          <w:p>
            <w:pPr>
              <w:pStyle w:val="TableText"/>
              <w:keepNext/>
              <w:jc w:val="right"/>
            </w:pPr>
            <w:r>
              <w:rPr>
                <w:b/>
                <w:bCs/>
                <w:color w:val="FFFFFF"/>
                <w:sz w:val="17"/>
                <w:szCs w:val="17"/>
              </w:rPr>
              <w:t xml:space="preserve">Installs</w:t>
            </w:r>
          </w:p>
        </w:tc>
        <w:tc>
          <w:tcPr>
            <w:tcW w:w="993" w:type="dxa"/>
            <w:shd w:val="clear" w:color="auto" w:fill="1F3A5F"/>
            <w:vAlign w:val="bottom"/>
          </w:tcPr>
          <w:p>
            <w:pPr>
              <w:pStyle w:val="TableText"/>
              <w:keepNext/>
              <w:jc w:val="right"/>
            </w:pPr>
            <w:r>
              <w:rPr>
                <w:b/>
                <w:bCs/>
                <w:color w:val="FFFFFF"/>
                <w:sz w:val="17"/>
                <w:szCs w:val="17"/>
              </w:rPr>
              <w:t xml:space="preserve">Machines</w:t>
            </w:r>
          </w:p>
        </w:tc>
      </w:tr>
      <w:tr>
        <w:trPr>
          <w:cantSplit/>
        </w:trPr>
        <w:tc>
          <w:tcPr>
            <w:tcW w:w="2979" w:type="dxa"/>
          </w:tcPr>
          <w:p>
            <w:pPr>
              <w:pStyle w:val="TableText"/>
            </w:pPr>
            <w:r>
              <w:rPr>
                <w:b/>
                <w:bCs/>
                <w:sz w:val="17"/>
                <w:szCs w:val="17"/>
              </w:rPr>
              <w:t xml:space="preserve">Microsoft 365 Apps (Apps for enterprise)</w:t>
            </w:r>
          </w:p>
        </w:tc>
        <w:tc>
          <w:tcPr>
            <w:tcW w:w="1374" w:type="dxa"/>
          </w:tcPr>
          <w:p>
            <w:pPr>
              <w:pStyle w:val="TableText"/>
            </w:pPr>
            <w:r>
              <w:rPr>
                <w:sz w:val="17"/>
                <w:szCs w:val="17"/>
              </w:rPr>
              <w:t xml:space="preserve">Microsoft 365 Apps</w:t>
            </w:r>
          </w:p>
        </w:tc>
        <w:tc>
          <w:tcPr>
            <w:tcW w:w="1139" w:type="dxa"/>
          </w:tcPr>
          <w:p>
            <w:pPr>
              <w:pStyle w:val="TableText"/>
            </w:pPr>
            <w:r>
              <w:rPr>
                <w:sz w:val="17"/>
                <w:szCs w:val="17"/>
              </w:rPr>
              <w:t xml:space="preserve">Subscription</w:t>
            </w:r>
          </w:p>
        </w:tc>
        <w:tc>
          <w:tcPr>
            <w:tcW w:w="1238" w:type="dxa"/>
          </w:tcPr>
          <w:p>
            <w:pPr>
              <w:pStyle w:val="TableText"/>
            </w:pPr>
            <w:r>
              <w:rPr>
                <w:sz w:val="17"/>
                <w:szCs w:val="17"/>
              </w:rPr>
              <w:t xml:space="preserve">Subscription</w:t>
            </w:r>
          </w:p>
        </w:tc>
        <w:tc>
          <w:tcPr>
            <w:tcW w:w="1235" w:type="dxa"/>
          </w:tcPr>
          <w:p>
            <w:pPr>
              <w:pStyle w:val="TableText"/>
            </w:pPr>
            <w:r>
              <w:rPr>
                <w:sz w:val="17"/>
                <w:szCs w:val="17"/>
              </w:rPr>
              <w:t xml:space="preserve">Click-to-Run</w:t>
            </w:r>
          </w:p>
        </w:tc>
        <w:tc>
          <w:tcPr>
            <w:tcW w:w="794" w:type="dxa"/>
          </w:tcPr>
          <w:p>
            <w:pPr>
              <w:pStyle w:val="TableText"/>
              <w:jc w:val="right"/>
            </w:pPr>
            <w:r>
              <w:rPr>
                <w:sz w:val="17"/>
                <w:szCs w:val="17"/>
              </w:rPr>
              <w:t xml:space="preserve">10</w:t>
            </w:r>
          </w:p>
        </w:tc>
        <w:tc>
          <w:tcPr>
            <w:tcW w:w="993" w:type="dxa"/>
          </w:tcPr>
          <w:p>
            <w:pPr>
              <w:pStyle w:val="TableText"/>
              <w:jc w:val="right"/>
            </w:pPr>
            <w:r>
              <w:rPr>
                <w:sz w:val="17"/>
                <w:szCs w:val="17"/>
              </w:rPr>
              <w:t xml:space="preserve">10</w:t>
            </w:r>
          </w:p>
        </w:tc>
      </w:tr>
      <w:tr>
        <w:trPr>
          <w:cantSplit/>
        </w:trPr>
        <w:tc>
          <w:tcPr>
            <w:tcW w:w="2979" w:type="dxa"/>
            <w:shd w:val="clear" w:color="auto" w:fill="F7F9FB"/>
          </w:tcPr>
          <w:p>
            <w:pPr>
              <w:pStyle w:val="TableText"/>
            </w:pPr>
            <w:r>
              <w:rPr>
                <w:b/>
                <w:bCs/>
                <w:sz w:val="17"/>
                <w:szCs w:val="17"/>
              </w:rPr>
              <w:t xml:space="preserve">Microsoft Office Standard 2016</w:t>
            </w:r>
          </w:p>
        </w:tc>
        <w:tc>
          <w:tcPr>
            <w:tcW w:w="1374" w:type="dxa"/>
            <w:shd w:val="clear" w:color="auto" w:fill="F7F9FB"/>
          </w:tcPr>
          <w:p>
            <w:pPr>
              <w:pStyle w:val="TableText"/>
            </w:pPr>
            <w:r>
              <w:rPr>
                <w:sz w:val="17"/>
                <w:szCs w:val="17"/>
              </w:rPr>
              <w:t xml:space="preserve">Office</w:t>
            </w:r>
          </w:p>
        </w:tc>
        <w:tc>
          <w:tcPr>
            <w:tcW w:w="1139" w:type="dxa"/>
            <w:shd w:val="clear" w:color="auto" w:fill="F7F9FB"/>
          </w:tcPr>
          <w:p>
            <w:pPr>
              <w:pStyle w:val="TableText"/>
            </w:pPr>
            <w:r>
              <w:rPr>
                <w:sz w:val="17"/>
                <w:szCs w:val="17"/>
              </w:rPr>
              <w:t xml:space="preserve">2016</w:t>
            </w:r>
          </w:p>
        </w:tc>
        <w:tc>
          <w:tcPr>
            <w:tcW w:w="1238" w:type="dxa"/>
            <w:shd w:val="clear" w:color="auto" w:fill="F7F9FB"/>
          </w:tcPr>
          <w:p>
            <w:pPr>
              <w:pStyle w:val="TableText"/>
            </w:pPr>
            <w:r>
              <w:rPr>
                <w:sz w:val="17"/>
                <w:szCs w:val="17"/>
              </w:rPr>
              <w:t xml:space="preserve">Volume/Retail</w:t>
            </w:r>
          </w:p>
        </w:tc>
        <w:tc>
          <w:tcPr>
            <w:tcW w:w="1235" w:type="dxa"/>
            <w:shd w:val="clear" w:color="auto" w:fill="F7F9FB"/>
          </w:tcPr>
          <w:p>
            <w:pPr>
              <w:pStyle w:val="TableText"/>
            </w:pPr>
            <w:r>
              <w:rPr>
                <w:sz w:val="17"/>
                <w:szCs w:val="17"/>
              </w:rPr>
              <w:t xml:space="preserve">MSI</w:t>
            </w:r>
          </w:p>
        </w:tc>
        <w:tc>
          <w:tcPr>
            <w:tcW w:w="794" w:type="dxa"/>
            <w:shd w:val="clear" w:color="auto" w:fill="F7F9FB"/>
          </w:tcPr>
          <w:p>
            <w:pPr>
              <w:pStyle w:val="TableText"/>
              <w:jc w:val="right"/>
            </w:pPr>
            <w:r>
              <w:rPr>
                <w:sz w:val="17"/>
                <w:szCs w:val="17"/>
              </w:rPr>
              <w:t xml:space="preserve">1</w:t>
            </w:r>
          </w:p>
        </w:tc>
        <w:tc>
          <w:tcPr>
            <w:tcW w:w="993" w:type="dxa"/>
            <w:shd w:val="clear" w:color="auto" w:fill="F7F9FB"/>
          </w:tcPr>
          <w:p>
            <w:pPr>
              <w:pStyle w:val="TableText"/>
              <w:jc w:val="right"/>
            </w:pPr>
            <w:r>
              <w:rPr>
                <w:sz w:val="17"/>
                <w:szCs w:val="17"/>
              </w:rPr>
              <w:t xml:space="preserve">1</w:t>
            </w:r>
          </w:p>
        </w:tc>
      </w:tr>
      <w:tr>
        <w:trPr>
          <w:cantSplit/>
        </w:trPr>
        <w:tc>
          <w:tcPr>
            <w:tcW w:w="2979" w:type="dxa"/>
          </w:tcPr>
          <w:p>
            <w:pPr>
              <w:pStyle w:val="TableText"/>
            </w:pPr>
            <w:r>
              <w:rPr>
                <w:b/>
                <w:bCs/>
                <w:sz w:val="17"/>
                <w:szCs w:val="17"/>
              </w:rPr>
              <w:t xml:space="preserve">Office Home &amp; Student 2021</w:t>
            </w:r>
          </w:p>
        </w:tc>
        <w:tc>
          <w:tcPr>
            <w:tcW w:w="1374" w:type="dxa"/>
          </w:tcPr>
          <w:p>
            <w:pPr>
              <w:pStyle w:val="TableText"/>
            </w:pPr>
            <w:r>
              <w:rPr>
                <w:sz w:val="17"/>
                <w:szCs w:val="17"/>
              </w:rPr>
              <w:t xml:space="preserve">Office</w:t>
            </w:r>
          </w:p>
        </w:tc>
        <w:tc>
          <w:tcPr>
            <w:tcW w:w="1139" w:type="dxa"/>
          </w:tcPr>
          <w:p>
            <w:pPr>
              <w:pStyle w:val="TableText"/>
            </w:pPr>
            <w:r>
              <w:rPr>
                <w:sz w:val="17"/>
                <w:szCs w:val="17"/>
              </w:rPr>
              <w:t xml:space="preserve">2021</w:t>
            </w:r>
          </w:p>
        </w:tc>
        <w:tc>
          <w:tcPr>
            <w:tcW w:w="1238" w:type="dxa"/>
          </w:tcPr>
          <w:p>
            <w:pPr>
              <w:pStyle w:val="TableText"/>
            </w:pPr>
            <w:r>
              <w:rPr>
                <w:sz w:val="17"/>
                <w:szCs w:val="17"/>
              </w:rPr>
              <w:t xml:space="preserve">Retail</w:t>
            </w:r>
          </w:p>
        </w:tc>
        <w:tc>
          <w:tcPr>
            <w:tcW w:w="1235" w:type="dxa"/>
          </w:tcPr>
          <w:p>
            <w:pPr>
              <w:pStyle w:val="TableText"/>
            </w:pPr>
            <w:r>
              <w:rPr>
                <w:sz w:val="17"/>
                <w:szCs w:val="17"/>
              </w:rPr>
              <w:t xml:space="preserve">Click-to-Run</w:t>
            </w:r>
          </w:p>
        </w:tc>
        <w:tc>
          <w:tcPr>
            <w:tcW w:w="794" w:type="dxa"/>
          </w:tcPr>
          <w:p>
            <w:pPr>
              <w:pStyle w:val="TableText"/>
              <w:jc w:val="right"/>
            </w:pPr>
            <w:r>
              <w:rPr>
                <w:sz w:val="17"/>
                <w:szCs w:val="17"/>
              </w:rPr>
              <w:t xml:space="preserve">1</w:t>
            </w:r>
          </w:p>
        </w:tc>
        <w:tc>
          <w:tcPr>
            <w:tcW w:w="993" w:type="dxa"/>
          </w:tcPr>
          <w:p>
            <w:pPr>
              <w:pStyle w:val="TableText"/>
              <w:jc w:val="right"/>
            </w:pPr>
            <w:r>
              <w:rPr>
                <w:sz w:val="17"/>
                <w:szCs w:val="17"/>
              </w:rPr>
              <w:t xml:space="preserve">1</w:t>
            </w:r>
          </w:p>
        </w:tc>
      </w:tr>
      <w:tr>
        <w:trPr>
          <w:cantSplit/>
        </w:trPr>
        <w:tc>
          <w:tcPr>
            <w:tcW w:w="2979" w:type="dxa"/>
            <w:shd w:val="clear" w:color="auto" w:fill="F7F9FB"/>
          </w:tcPr>
          <w:p>
            <w:pPr>
              <w:pStyle w:val="TableText"/>
            </w:pPr>
            <w:r>
              <w:rPr>
                <w:b/>
                <w:bCs/>
                <w:sz w:val="17"/>
                <w:szCs w:val="17"/>
              </w:rPr>
              <w:t xml:space="preserve">Office Professional Plus 2021</w:t>
            </w:r>
          </w:p>
        </w:tc>
        <w:tc>
          <w:tcPr>
            <w:tcW w:w="1374" w:type="dxa"/>
            <w:shd w:val="clear" w:color="auto" w:fill="F7F9FB"/>
          </w:tcPr>
          <w:p>
            <w:pPr>
              <w:pStyle w:val="TableText"/>
            </w:pPr>
            <w:r>
              <w:rPr>
                <w:sz w:val="17"/>
                <w:szCs w:val="17"/>
              </w:rPr>
              <w:t xml:space="preserve">Office</w:t>
            </w:r>
          </w:p>
        </w:tc>
        <w:tc>
          <w:tcPr>
            <w:tcW w:w="1139" w:type="dxa"/>
            <w:shd w:val="clear" w:color="auto" w:fill="F7F9FB"/>
          </w:tcPr>
          <w:p>
            <w:pPr>
              <w:pStyle w:val="TableText"/>
            </w:pPr>
            <w:r>
              <w:rPr>
                <w:sz w:val="17"/>
                <w:szCs w:val="17"/>
              </w:rPr>
              <w:t xml:space="preserve">2021</w:t>
            </w:r>
          </w:p>
        </w:tc>
        <w:tc>
          <w:tcPr>
            <w:tcW w:w="1238" w:type="dxa"/>
            <w:shd w:val="clear" w:color="auto" w:fill="F7F9FB"/>
          </w:tcPr>
          <w:p>
            <w:pPr>
              <w:pStyle w:val="TableText"/>
            </w:pPr>
            <w:r>
              <w:rPr>
                <w:sz w:val="17"/>
                <w:szCs w:val="17"/>
              </w:rPr>
              <w:t xml:space="preserve">Volume</w:t>
            </w:r>
          </w:p>
        </w:tc>
        <w:tc>
          <w:tcPr>
            <w:tcW w:w="1235" w:type="dxa"/>
            <w:shd w:val="clear" w:color="auto" w:fill="F7F9FB"/>
          </w:tcPr>
          <w:p>
            <w:pPr>
              <w:pStyle w:val="TableText"/>
            </w:pPr>
            <w:r>
              <w:rPr>
                <w:sz w:val="17"/>
                <w:szCs w:val="17"/>
              </w:rPr>
              <w:t xml:space="preserve">Click-to-Run</w:t>
            </w:r>
          </w:p>
        </w:tc>
        <w:tc>
          <w:tcPr>
            <w:tcW w:w="794" w:type="dxa"/>
            <w:shd w:val="clear" w:color="auto" w:fill="F7F9FB"/>
          </w:tcPr>
          <w:p>
            <w:pPr>
              <w:pStyle w:val="TableText"/>
              <w:jc w:val="right"/>
            </w:pPr>
            <w:r>
              <w:rPr>
                <w:sz w:val="17"/>
                <w:szCs w:val="17"/>
              </w:rPr>
              <w:t xml:space="preserve">1</w:t>
            </w:r>
          </w:p>
        </w:tc>
        <w:tc>
          <w:tcPr>
            <w:tcW w:w="993" w:type="dxa"/>
            <w:shd w:val="clear" w:color="auto" w:fill="F7F9FB"/>
          </w:tcPr>
          <w:p>
            <w:pPr>
              <w:pStyle w:val="TableText"/>
              <w:jc w:val="right"/>
            </w:pPr>
            <w:r>
              <w:rPr>
                <w:sz w:val="17"/>
                <w:szCs w:val="17"/>
              </w:rPr>
              <w:t xml:space="preserve">1</w:t>
            </w:r>
          </w:p>
        </w:tc>
      </w:tr>
      <w:tr>
        <w:trPr>
          <w:cantSplit/>
        </w:trPr>
        <w:tc>
          <w:tcPr>
            <w:tcW w:w="2979" w:type="dxa"/>
          </w:tcPr>
          <w:p>
            <w:pPr>
              <w:pStyle w:val="TableText"/>
            </w:pPr>
            <w:r>
              <w:rPr>
                <w:b/>
                <w:bCs/>
                <w:sz w:val="17"/>
                <w:szCs w:val="17"/>
              </w:rPr>
              <w:t xml:space="preserve">Visio Professional 2021</w:t>
            </w:r>
          </w:p>
        </w:tc>
        <w:tc>
          <w:tcPr>
            <w:tcW w:w="1374" w:type="dxa"/>
          </w:tcPr>
          <w:p>
            <w:pPr>
              <w:pStyle w:val="TableText"/>
            </w:pPr>
            <w:r>
              <w:rPr>
                <w:sz w:val="17"/>
                <w:szCs w:val="17"/>
              </w:rPr>
              <w:t xml:space="preserve">Visio</w:t>
            </w:r>
          </w:p>
        </w:tc>
        <w:tc>
          <w:tcPr>
            <w:tcW w:w="1139" w:type="dxa"/>
          </w:tcPr>
          <w:p>
            <w:pPr>
              <w:pStyle w:val="TableText"/>
            </w:pPr>
            <w:r>
              <w:rPr>
                <w:sz w:val="17"/>
                <w:szCs w:val="17"/>
              </w:rPr>
              <w:t xml:space="preserve">2021</w:t>
            </w:r>
          </w:p>
        </w:tc>
        <w:tc>
          <w:tcPr>
            <w:tcW w:w="1238" w:type="dxa"/>
          </w:tcPr>
          <w:p>
            <w:pPr>
              <w:pStyle w:val="TableText"/>
            </w:pPr>
            <w:r>
              <w:rPr>
                <w:sz w:val="17"/>
                <w:szCs w:val="17"/>
              </w:rPr>
              <w:t xml:space="preserve">Retail</w:t>
            </w:r>
          </w:p>
        </w:tc>
        <w:tc>
          <w:tcPr>
            <w:tcW w:w="1235" w:type="dxa"/>
          </w:tcPr>
          <w:p>
            <w:pPr>
              <w:pStyle w:val="TableText"/>
            </w:pPr>
            <w:r>
              <w:rPr>
                <w:sz w:val="17"/>
                <w:szCs w:val="17"/>
              </w:rPr>
              <w:t xml:space="preserve">Click-to-Run</w:t>
            </w:r>
          </w:p>
        </w:tc>
        <w:tc>
          <w:tcPr>
            <w:tcW w:w="794" w:type="dxa"/>
          </w:tcPr>
          <w:p>
            <w:pPr>
              <w:pStyle w:val="TableText"/>
              <w:jc w:val="right"/>
            </w:pPr>
            <w:r>
              <w:rPr>
                <w:sz w:val="17"/>
                <w:szCs w:val="17"/>
              </w:rPr>
              <w:t xml:space="preserve">1</w:t>
            </w:r>
          </w:p>
        </w:tc>
        <w:tc>
          <w:tcPr>
            <w:tcW w:w="993" w:type="dxa"/>
          </w:tcPr>
          <w:p>
            <w:pPr>
              <w:pStyle w:val="TableText"/>
              <w:jc w:val="right"/>
            </w:pPr>
            <w:r>
              <w:rPr>
                <w:sz w:val="17"/>
                <w:szCs w:val="17"/>
              </w:rPr>
              <w:t xml:space="preserve">1</w:t>
            </w:r>
          </w:p>
        </w:tc>
      </w:tr>
    </w:tbl>
    <w:p>
      <w:pPr>
        <w:spacing w:before="0" w:after="0" w:line="240" w:lineRule="auto"/>
        <w:rPr>
          <w:sz w:val="12"/>
          <w:szCs w:val="12"/>
        </w:rPr>
      </w:pPr>
    </w:p>
    <w:p>
      <w:pPr>
        <w:pStyle w:val="Small"/>
      </w:pPr>
      <w:r>
        <w:t xml:space="preserve">14 installations on 13 machines.</w:t>
      </w:r>
    </w:p>
    <w:p>
      <w:pPr>
        <w:pStyle w:val="Heading2"/>
      </w:pPr>
      <w:bookmarkStart w:id="131" w:name="_TocMlat00131"/>
      <w:r>
        <w:t xml:space="preserve">Virtualization hosts</w:t>
      </w:r>
      <w:bookmarkEnd w:id="131"/>
    </w:p>
    <w:p>
      <w:pPr>
        <w:keepNext/>
        <w:spacing w:after="80"/>
      </w:pPr>
      <w:r>
        <w:rPr>
          <w:b/>
          <w:bCs/>
        </w:rPr>
        <w:t xml:space="preserve">Hyper-V hosts (scanned)</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657"/>
        <w:gridCol w:w="2633"/>
        <w:gridCol w:w="975"/>
        <w:gridCol w:w="1462"/>
        <w:gridCol w:w="975"/>
        <w:gridCol w:w="975"/>
        <w:gridCol w:w="1075"/>
      </w:tblGrid>
      <w:tr>
        <w:trPr>
          <w:cantSplit/>
          <w:tblHeader/>
        </w:trPr>
        <w:tc>
          <w:tcPr>
            <w:tcW w:w="1657" w:type="dxa"/>
            <w:shd w:val="clear" w:color="auto" w:fill="1F3A5F"/>
            <w:vAlign w:val="bottom"/>
          </w:tcPr>
          <w:p>
            <w:pPr>
              <w:pStyle w:val="TableText"/>
              <w:keepNext/>
            </w:pPr>
            <w:r>
              <w:rPr>
                <w:b/>
                <w:bCs/>
                <w:color w:val="FFFFFF"/>
                <w:sz w:val="17"/>
                <w:szCs w:val="17"/>
              </w:rPr>
              <w:t xml:space="preserve">Host</w:t>
            </w:r>
          </w:p>
        </w:tc>
        <w:tc>
          <w:tcPr>
            <w:tcW w:w="2633" w:type="dxa"/>
            <w:shd w:val="clear" w:color="auto" w:fill="1F3A5F"/>
            <w:vAlign w:val="bottom"/>
          </w:tcPr>
          <w:p>
            <w:pPr>
              <w:pStyle w:val="TableText"/>
              <w:keepNext/>
            </w:pPr>
            <w:r>
              <w:rPr>
                <w:b/>
                <w:bCs/>
                <w:color w:val="FFFFFF"/>
                <w:sz w:val="17"/>
                <w:szCs w:val="17"/>
              </w:rPr>
              <w:t xml:space="preserve">Operating system</w:t>
            </w:r>
          </w:p>
        </w:tc>
        <w:tc>
          <w:tcPr>
            <w:tcW w:w="975" w:type="dxa"/>
            <w:shd w:val="clear" w:color="auto" w:fill="1F3A5F"/>
            <w:vAlign w:val="bottom"/>
          </w:tcPr>
          <w:p>
            <w:pPr>
              <w:pStyle w:val="TableText"/>
              <w:keepNext/>
              <w:jc w:val="right"/>
            </w:pPr>
            <w:r>
              <w:rPr>
                <w:b/>
                <w:bCs/>
                <w:color w:val="FFFFFF"/>
                <w:sz w:val="17"/>
                <w:szCs w:val="17"/>
              </w:rPr>
              <w:t xml:space="preserve">Physical cores</w:t>
            </w:r>
          </w:p>
        </w:tc>
        <w:tc>
          <w:tcPr>
            <w:tcW w:w="1462" w:type="dxa"/>
            <w:shd w:val="clear" w:color="auto" w:fill="1F3A5F"/>
            <w:vAlign w:val="bottom"/>
          </w:tcPr>
          <w:p>
            <w:pPr>
              <w:pStyle w:val="TableText"/>
              <w:keepNext/>
            </w:pPr>
            <w:r>
              <w:rPr>
                <w:b/>
                <w:bCs/>
                <w:color w:val="FFFFFF"/>
                <w:sz w:val="17"/>
                <w:szCs w:val="17"/>
              </w:rPr>
              <w:t xml:space="preserve">Cluster</w:t>
            </w:r>
          </w:p>
        </w:tc>
        <w:tc>
          <w:tcPr>
            <w:tcW w:w="975" w:type="dxa"/>
            <w:shd w:val="clear" w:color="auto" w:fill="1F3A5F"/>
            <w:vAlign w:val="bottom"/>
          </w:tcPr>
          <w:p>
            <w:pPr>
              <w:pStyle w:val="TableText"/>
              <w:keepNext/>
              <w:jc w:val="right"/>
            </w:pPr>
            <w:r>
              <w:rPr>
                <w:b/>
                <w:bCs/>
                <w:color w:val="FFFFFF"/>
                <w:sz w:val="17"/>
                <w:szCs w:val="17"/>
              </w:rPr>
              <w:t xml:space="preserve">VMs</w:t>
            </w:r>
          </w:p>
        </w:tc>
        <w:tc>
          <w:tcPr>
            <w:tcW w:w="975" w:type="dxa"/>
            <w:shd w:val="clear" w:color="auto" w:fill="1F3A5F"/>
            <w:vAlign w:val="bottom"/>
          </w:tcPr>
          <w:p>
            <w:pPr>
              <w:pStyle w:val="TableText"/>
              <w:keepNext/>
              <w:jc w:val="right"/>
            </w:pPr>
            <w:r>
              <w:rPr>
                <w:b/>
                <w:bCs/>
                <w:color w:val="FFFFFF"/>
                <w:sz w:val="17"/>
                <w:szCs w:val="17"/>
              </w:rPr>
              <w:t xml:space="preserve">Running</w:t>
            </w:r>
          </w:p>
        </w:tc>
        <w:tc>
          <w:tcPr>
            <w:tcW w:w="1075" w:type="dxa"/>
            <w:shd w:val="clear" w:color="auto" w:fill="1F3A5F"/>
            <w:vAlign w:val="bottom"/>
          </w:tcPr>
          <w:p>
            <w:pPr>
              <w:pStyle w:val="TableText"/>
              <w:keepNext/>
              <w:jc w:val="right"/>
            </w:pPr>
            <w:r>
              <w:rPr>
                <w:b/>
                <w:bCs/>
                <w:color w:val="FFFFFF"/>
                <w:sz w:val="17"/>
                <w:szCs w:val="17"/>
              </w:rPr>
              <w:t xml:space="preserve">Windows guests</w:t>
            </w:r>
          </w:p>
        </w:tc>
      </w:tr>
      <w:tr>
        <w:trPr>
          <w:cantSplit/>
        </w:trPr>
        <w:tc>
          <w:tcPr>
            <w:tcW w:w="1657" w:type="dxa"/>
          </w:tcPr>
          <w:p>
            <w:pPr>
              <w:pStyle w:val="TableText"/>
            </w:pPr>
            <w:r>
              <w:rPr>
                <w:b/>
                <w:bCs/>
                <w:sz w:val="17"/>
                <w:szCs w:val="17"/>
              </w:rPr>
              <w:t xml:space="preserve">HV01</w:t>
            </w:r>
          </w:p>
        </w:tc>
        <w:tc>
          <w:tcPr>
            <w:tcW w:w="2633" w:type="dxa"/>
          </w:tcPr>
          <w:p>
            <w:pPr>
              <w:pStyle w:val="TableText"/>
            </w:pPr>
            <w:r>
              <w:rPr>
                <w:sz w:val="17"/>
                <w:szCs w:val="17"/>
              </w:rPr>
              <w:t xml:space="preserve">Windows Server 2022 Standard</w:t>
            </w:r>
          </w:p>
        </w:tc>
        <w:tc>
          <w:tcPr>
            <w:tcW w:w="975" w:type="dxa"/>
          </w:tcPr>
          <w:p>
            <w:pPr>
              <w:pStyle w:val="TableText"/>
              <w:jc w:val="right"/>
            </w:pPr>
            <w:r>
              <w:rPr>
                <w:sz w:val="17"/>
                <w:szCs w:val="17"/>
              </w:rPr>
              <w:t xml:space="preserve">32</w:t>
            </w:r>
          </w:p>
        </w:tc>
        <w:tc>
          <w:tcPr>
            <w:tcW w:w="1462" w:type="dxa"/>
          </w:tcPr>
          <w:p>
            <w:pPr>
              <w:pStyle w:val="TableText"/>
            </w:pPr>
            <w:r>
              <w:rPr>
                <w:sz w:val="17"/>
                <w:szCs w:val="17"/>
              </w:rPr>
              <w:t xml:space="preserve">HVCLU01</w:t>
            </w:r>
          </w:p>
        </w:tc>
        <w:tc>
          <w:tcPr>
            <w:tcW w:w="975" w:type="dxa"/>
          </w:tcPr>
          <w:p>
            <w:pPr>
              <w:pStyle w:val="TableText"/>
              <w:jc w:val="right"/>
            </w:pPr>
            <w:r>
              <w:rPr>
                <w:sz w:val="17"/>
                <w:szCs w:val="17"/>
              </w:rPr>
              <w:t xml:space="preserve">7</w:t>
            </w:r>
          </w:p>
        </w:tc>
        <w:tc>
          <w:tcPr>
            <w:tcW w:w="975" w:type="dxa"/>
          </w:tcPr>
          <w:p>
            <w:pPr>
              <w:pStyle w:val="TableText"/>
              <w:jc w:val="right"/>
            </w:pPr>
            <w:r>
              <w:rPr>
                <w:sz w:val="17"/>
                <w:szCs w:val="17"/>
              </w:rPr>
              <w:t xml:space="preserve">6</w:t>
            </w:r>
          </w:p>
        </w:tc>
        <w:tc>
          <w:tcPr>
            <w:tcW w:w="1075" w:type="dxa"/>
          </w:tcPr>
          <w:p>
            <w:pPr>
              <w:pStyle w:val="TableText"/>
              <w:jc w:val="right"/>
            </w:pPr>
            <w:r>
              <w:rPr>
                <w:sz w:val="17"/>
                <w:szCs w:val="17"/>
              </w:rPr>
              <w:t xml:space="preserve">5</w:t>
            </w:r>
          </w:p>
        </w:tc>
      </w:tr>
      <w:tr>
        <w:trPr>
          <w:cantSplit/>
        </w:trPr>
        <w:tc>
          <w:tcPr>
            <w:tcW w:w="1657" w:type="dxa"/>
            <w:shd w:val="clear" w:color="auto" w:fill="F7F9FB"/>
          </w:tcPr>
          <w:p>
            <w:pPr>
              <w:pStyle w:val="TableText"/>
            </w:pPr>
            <w:r>
              <w:rPr>
                <w:b/>
                <w:bCs/>
                <w:sz w:val="17"/>
                <w:szCs w:val="17"/>
              </w:rPr>
              <w:t xml:space="preserve">HV02</w:t>
            </w:r>
          </w:p>
        </w:tc>
        <w:tc>
          <w:tcPr>
            <w:tcW w:w="2633" w:type="dxa"/>
            <w:shd w:val="clear" w:color="auto" w:fill="F7F9FB"/>
          </w:tcPr>
          <w:p>
            <w:pPr>
              <w:pStyle w:val="TableText"/>
            </w:pPr>
            <w:r>
              <w:rPr>
                <w:sz w:val="17"/>
                <w:szCs w:val="17"/>
              </w:rPr>
              <w:t xml:space="preserve">Windows Server 2022 Datacenter</w:t>
            </w:r>
          </w:p>
        </w:tc>
        <w:tc>
          <w:tcPr>
            <w:tcW w:w="975" w:type="dxa"/>
            <w:shd w:val="clear" w:color="auto" w:fill="F7F9FB"/>
          </w:tcPr>
          <w:p>
            <w:pPr>
              <w:pStyle w:val="TableText"/>
              <w:jc w:val="right"/>
            </w:pPr>
            <w:r>
              <w:rPr>
                <w:sz w:val="17"/>
                <w:szCs w:val="17"/>
              </w:rPr>
              <w:t xml:space="preserve">48</w:t>
            </w:r>
          </w:p>
        </w:tc>
        <w:tc>
          <w:tcPr>
            <w:tcW w:w="1462" w:type="dxa"/>
            <w:shd w:val="clear" w:color="auto" w:fill="F7F9FB"/>
          </w:tcPr>
          <w:p>
            <w:pPr>
              <w:pStyle w:val="TableText"/>
            </w:pPr>
            <w:r>
              <w:rPr>
                <w:sz w:val="17"/>
                <w:szCs w:val="17"/>
              </w:rPr>
              <w:t xml:space="preserve">HVCLU01</w:t>
            </w:r>
          </w:p>
        </w:tc>
        <w:tc>
          <w:tcPr>
            <w:tcW w:w="975" w:type="dxa"/>
            <w:shd w:val="clear" w:color="auto" w:fill="F7F9FB"/>
          </w:tcPr>
          <w:p>
            <w:pPr>
              <w:pStyle w:val="TableText"/>
              <w:jc w:val="right"/>
            </w:pPr>
            <w:r>
              <w:rPr>
                <w:sz w:val="17"/>
                <w:szCs w:val="17"/>
              </w:rPr>
              <w:t xml:space="preserve">4</w:t>
            </w:r>
          </w:p>
        </w:tc>
        <w:tc>
          <w:tcPr>
            <w:tcW w:w="975" w:type="dxa"/>
            <w:shd w:val="clear" w:color="auto" w:fill="F7F9FB"/>
          </w:tcPr>
          <w:p>
            <w:pPr>
              <w:pStyle w:val="TableText"/>
              <w:jc w:val="right"/>
            </w:pPr>
            <w:r>
              <w:rPr>
                <w:sz w:val="17"/>
                <w:szCs w:val="17"/>
              </w:rPr>
              <w:t xml:space="preserve">4</w:t>
            </w:r>
          </w:p>
        </w:tc>
        <w:tc>
          <w:tcPr>
            <w:tcW w:w="1075" w:type="dxa"/>
            <w:shd w:val="clear" w:color="auto" w:fill="F7F9FB"/>
          </w:tcPr>
          <w:p>
            <w:pPr>
              <w:pStyle w:val="TableText"/>
              <w:jc w:val="right"/>
            </w:pPr>
            <w:r>
              <w:rPr>
                <w:sz w:val="17"/>
                <w:szCs w:val="17"/>
              </w:rPr>
              <w:t xml:space="preserve">4</w:t>
            </w:r>
          </w:p>
        </w:tc>
      </w:tr>
    </w:tbl>
    <w:p>
      <w:pPr>
        <w:spacing w:before="0" w:after="0" w:line="240" w:lineRule="auto"/>
        <w:rPr>
          <w:sz w:val="12"/>
          <w:szCs w:val="12"/>
        </w:rPr>
      </w:pPr>
    </w:p>
    <w:p>
      <w:pPr>
        <w:keepNext/>
        <w:spacing w:after="80"/>
      </w:pPr>
      <w:r>
        <w:rPr>
          <w:b/>
          <w:bCs/>
        </w:rPr>
        <w:t xml:space="preserve">Other virtualization hosts (vCenter / Nutanix / VMM / RVTools / manual)</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516"/>
        <w:gridCol w:w="844"/>
        <w:gridCol w:w="1132"/>
        <w:gridCol w:w="860"/>
        <w:gridCol w:w="670"/>
        <w:gridCol w:w="584"/>
        <w:gridCol w:w="765"/>
        <w:gridCol w:w="921"/>
        <w:gridCol w:w="996"/>
        <w:gridCol w:w="1464"/>
      </w:tblGrid>
      <w:tr>
        <w:trPr>
          <w:cantSplit/>
          <w:tblHeader/>
        </w:trPr>
        <w:tc>
          <w:tcPr>
            <w:tcW w:w="1516" w:type="dxa"/>
            <w:shd w:val="clear" w:color="auto" w:fill="1F3A5F"/>
            <w:vAlign w:val="bottom"/>
          </w:tcPr>
          <w:p>
            <w:pPr>
              <w:pStyle w:val="TableText"/>
              <w:keepNext/>
            </w:pPr>
            <w:r>
              <w:rPr>
                <w:b/>
                <w:bCs/>
                <w:color w:val="FFFFFF"/>
                <w:sz w:val="17"/>
                <w:szCs w:val="17"/>
              </w:rPr>
              <w:t xml:space="preserve">Host</w:t>
            </w:r>
          </w:p>
        </w:tc>
        <w:tc>
          <w:tcPr>
            <w:tcW w:w="844" w:type="dxa"/>
            <w:shd w:val="clear" w:color="auto" w:fill="1F3A5F"/>
            <w:vAlign w:val="bottom"/>
          </w:tcPr>
          <w:p>
            <w:pPr>
              <w:pStyle w:val="TableText"/>
              <w:keepNext/>
            </w:pPr>
            <w:r>
              <w:rPr>
                <w:b/>
                <w:bCs/>
                <w:color w:val="FFFFFF"/>
                <w:sz w:val="17"/>
                <w:szCs w:val="17"/>
              </w:rPr>
              <w:t xml:space="preserve">Cluster</w:t>
            </w:r>
          </w:p>
        </w:tc>
        <w:tc>
          <w:tcPr>
            <w:tcW w:w="1132" w:type="dxa"/>
            <w:shd w:val="clear" w:color="auto" w:fill="1F3A5F"/>
            <w:vAlign w:val="bottom"/>
          </w:tcPr>
          <w:p>
            <w:pPr>
              <w:pStyle w:val="TableText"/>
              <w:keepNext/>
            </w:pPr>
            <w:r>
              <w:rPr>
                <w:b/>
                <w:bCs/>
                <w:color w:val="FFFFFF"/>
                <w:sz w:val="17"/>
                <w:szCs w:val="17"/>
              </w:rPr>
              <w:t xml:space="preserve">Hypervisor</w:t>
            </w:r>
          </w:p>
        </w:tc>
        <w:tc>
          <w:tcPr>
            <w:tcW w:w="860" w:type="dxa"/>
            <w:shd w:val="clear" w:color="auto" w:fill="1F3A5F"/>
            <w:vAlign w:val="bottom"/>
          </w:tcPr>
          <w:p>
            <w:pPr>
              <w:pStyle w:val="TableText"/>
              <w:keepNext/>
              <w:jc w:val="right"/>
            </w:pPr>
            <w:r>
              <w:rPr>
                <w:b/>
                <w:bCs/>
                <w:color w:val="FFFFFF"/>
                <w:sz w:val="17"/>
                <w:szCs w:val="17"/>
              </w:rPr>
              <w:t xml:space="preserve">Sockets</w:t>
            </w:r>
          </w:p>
        </w:tc>
        <w:tc>
          <w:tcPr>
            <w:tcW w:w="670" w:type="dxa"/>
            <w:shd w:val="clear" w:color="auto" w:fill="1F3A5F"/>
            <w:vAlign w:val="bottom"/>
          </w:tcPr>
          <w:p>
            <w:pPr>
              <w:pStyle w:val="TableText"/>
              <w:keepNext/>
              <w:jc w:val="right"/>
            </w:pPr>
            <w:r>
              <w:rPr>
                <w:b/>
                <w:bCs/>
                <w:color w:val="FFFFFF"/>
                <w:sz w:val="17"/>
                <w:szCs w:val="17"/>
              </w:rPr>
              <w:t xml:space="preserve">Cores</w:t>
            </w:r>
          </w:p>
        </w:tc>
        <w:tc>
          <w:tcPr>
            <w:tcW w:w="584" w:type="dxa"/>
            <w:shd w:val="clear" w:color="auto" w:fill="1F3A5F"/>
            <w:vAlign w:val="bottom"/>
          </w:tcPr>
          <w:p>
            <w:pPr>
              <w:pStyle w:val="TableText"/>
              <w:keepNext/>
              <w:jc w:val="right"/>
            </w:pPr>
            <w:r>
              <w:rPr>
                <w:b/>
                <w:bCs/>
                <w:color w:val="FFFFFF"/>
                <w:sz w:val="17"/>
                <w:szCs w:val="17"/>
              </w:rPr>
              <w:t xml:space="preserve">VMs</w:t>
            </w:r>
          </w:p>
        </w:tc>
        <w:tc>
          <w:tcPr>
            <w:tcW w:w="765" w:type="dxa"/>
            <w:shd w:val="clear" w:color="auto" w:fill="1F3A5F"/>
            <w:vAlign w:val="bottom"/>
          </w:tcPr>
          <w:p>
            <w:pPr>
              <w:pStyle w:val="TableText"/>
              <w:keepNext/>
              <w:jc w:val="right"/>
            </w:pPr>
            <w:r>
              <w:rPr>
                <w:b/>
                <w:bCs/>
                <w:color w:val="FFFFFF"/>
                <w:sz w:val="17"/>
                <w:szCs w:val="17"/>
              </w:rPr>
              <w:t xml:space="preserve">Guests listed</w:t>
            </w:r>
          </w:p>
        </w:tc>
        <w:tc>
          <w:tcPr>
            <w:tcW w:w="921" w:type="dxa"/>
            <w:shd w:val="clear" w:color="auto" w:fill="1F3A5F"/>
            <w:vAlign w:val="bottom"/>
          </w:tcPr>
          <w:p>
            <w:pPr>
              <w:pStyle w:val="TableText"/>
              <w:keepNext/>
              <w:jc w:val="right"/>
            </w:pPr>
            <w:r>
              <w:rPr>
                <w:b/>
                <w:bCs/>
                <w:color w:val="FFFFFF"/>
                <w:sz w:val="17"/>
                <w:szCs w:val="17"/>
              </w:rPr>
              <w:t xml:space="preserve">Powered on</w:t>
            </w:r>
          </w:p>
        </w:tc>
        <w:tc>
          <w:tcPr>
            <w:tcW w:w="996" w:type="dxa"/>
            <w:shd w:val="clear" w:color="auto" w:fill="1F3A5F"/>
            <w:vAlign w:val="bottom"/>
          </w:tcPr>
          <w:p>
            <w:pPr>
              <w:pStyle w:val="TableText"/>
              <w:keepNext/>
            </w:pPr>
            <w:r>
              <w:rPr>
                <w:b/>
                <w:bCs/>
                <w:color w:val="FFFFFF"/>
                <w:sz w:val="17"/>
                <w:szCs w:val="17"/>
              </w:rPr>
              <w:t xml:space="preserve">Assigned Windows Server</w:t>
            </w:r>
          </w:p>
        </w:tc>
        <w:tc>
          <w:tcPr>
            <w:tcW w:w="1464" w:type="dxa"/>
            <w:shd w:val="clear" w:color="auto" w:fill="1F3A5F"/>
            <w:vAlign w:val="bottom"/>
          </w:tcPr>
          <w:p>
            <w:pPr>
              <w:pStyle w:val="TableText"/>
              <w:keepNext/>
            </w:pPr>
            <w:r>
              <w:rPr>
                <w:b/>
                <w:bCs/>
                <w:color w:val="FFFFFF"/>
                <w:sz w:val="17"/>
                <w:szCs w:val="17"/>
              </w:rPr>
              <w:t xml:space="preserve">Source</w:t>
            </w:r>
          </w:p>
        </w:tc>
      </w:tr>
      <w:tr>
        <w:trPr>
          <w:cantSplit/>
        </w:trPr>
        <w:tc>
          <w:tcPr>
            <w:tcW w:w="1516" w:type="dxa"/>
          </w:tcPr>
          <w:p>
            <w:pPr>
              <w:pStyle w:val="TableText"/>
            </w:pPr>
            <w:r>
              <w:rPr>
                <w:b/>
                <w:bCs/>
                <w:sz w:val="17"/>
                <w:szCs w:val="17"/>
              </w:rPr>
              <w:t xml:space="preserve">ESX01.demo.local</w:t>
            </w:r>
          </w:p>
        </w:tc>
        <w:tc>
          <w:tcPr>
            <w:tcW w:w="844" w:type="dxa"/>
          </w:tcPr>
          <w:p>
            <w:pPr>
              <w:pStyle w:val="TableText"/>
            </w:pPr>
            <w:r>
              <w:rPr>
                <w:sz w:val="17"/>
                <w:szCs w:val="17"/>
              </w:rPr>
              <w:t xml:space="preserve">VMW-CLU01</w:t>
            </w:r>
          </w:p>
        </w:tc>
        <w:tc>
          <w:tcPr>
            <w:tcW w:w="1132" w:type="dxa"/>
          </w:tcPr>
          <w:p>
            <w:pPr>
              <w:pStyle w:val="TableText"/>
            </w:pPr>
            <w:r>
              <w:rPr>
                <w:sz w:val="17"/>
                <w:szCs w:val="17"/>
              </w:rPr>
              <w:t xml:space="preserve">VMware ESXi 8.0.2</w:t>
            </w:r>
          </w:p>
        </w:tc>
        <w:tc>
          <w:tcPr>
            <w:tcW w:w="860" w:type="dxa"/>
          </w:tcPr>
          <w:p>
            <w:pPr>
              <w:pStyle w:val="TableText"/>
              <w:jc w:val="right"/>
            </w:pPr>
            <w:r>
              <w:rPr>
                <w:sz w:val="17"/>
                <w:szCs w:val="17"/>
              </w:rPr>
              <w:t xml:space="preserve">2</w:t>
            </w:r>
          </w:p>
        </w:tc>
        <w:tc>
          <w:tcPr>
            <w:tcW w:w="670" w:type="dxa"/>
          </w:tcPr>
          <w:p>
            <w:pPr>
              <w:pStyle w:val="TableText"/>
              <w:jc w:val="right"/>
            </w:pPr>
            <w:r>
              <w:rPr>
                <w:sz w:val="17"/>
                <w:szCs w:val="17"/>
              </w:rPr>
              <w:t xml:space="preserve">40</w:t>
            </w:r>
          </w:p>
        </w:tc>
        <w:tc>
          <w:tcPr>
            <w:tcW w:w="584" w:type="dxa"/>
          </w:tcPr>
          <w:p>
            <w:pPr>
              <w:pStyle w:val="TableText"/>
              <w:jc w:val="right"/>
            </w:pPr>
            <w:r>
              <w:rPr>
                <w:sz w:val="17"/>
                <w:szCs w:val="17"/>
              </w:rPr>
              <w:t xml:space="preserve">3</w:t>
            </w:r>
          </w:p>
        </w:tc>
        <w:tc>
          <w:tcPr>
            <w:tcW w:w="765" w:type="dxa"/>
          </w:tcPr>
          <w:p>
            <w:pPr>
              <w:pStyle w:val="TableText"/>
              <w:jc w:val="right"/>
            </w:pPr>
            <w:r>
              <w:rPr>
                <w:sz w:val="17"/>
                <w:szCs w:val="17"/>
              </w:rPr>
              <w:t xml:space="preserve">4</w:t>
            </w:r>
          </w:p>
        </w:tc>
        <w:tc>
          <w:tcPr>
            <w:tcW w:w="921" w:type="dxa"/>
          </w:tcPr>
          <w:p>
            <w:pPr>
              <w:pStyle w:val="TableText"/>
              <w:jc w:val="right"/>
            </w:pPr>
            <w:r>
              <w:rPr>
                <w:sz w:val="17"/>
                <w:szCs w:val="17"/>
              </w:rPr>
              <w:t xml:space="preserve">3</w:t>
            </w:r>
          </w:p>
        </w:tc>
        <w:tc>
          <w:tcPr>
            <w:tcW w:w="996" w:type="dxa"/>
          </w:tcPr>
          <w:p>
            <w:pPr>
              <w:pStyle w:val="TableText"/>
            </w:pPr>
            <w:r>
              <w:rPr>
                <w:sz w:val="17"/>
                <w:szCs w:val="17"/>
              </w:rPr>
              <w:t xml:space="preserve">Unknown</w:t>
            </w:r>
          </w:p>
        </w:tc>
        <w:tc>
          <w:tcPr>
            <w:tcW w:w="1464" w:type="dxa"/>
          </w:tcPr>
          <w:p>
            <w:pPr>
              <w:pStyle w:val="TableText"/>
            </w:pPr>
            <w:r>
              <w:rPr>
                <w:sz w:val="15"/>
                <w:szCs w:val="15"/>
              </w:rPr>
              <w:t xml:space="preserve">vCenter (vcenter01.demo.local)</w:t>
            </w:r>
          </w:p>
        </w:tc>
      </w:tr>
      <w:tr>
        <w:trPr>
          <w:cantSplit/>
        </w:trPr>
        <w:tc>
          <w:tcPr>
            <w:tcW w:w="1516" w:type="dxa"/>
            <w:shd w:val="clear" w:color="auto" w:fill="F7F9FB"/>
          </w:tcPr>
          <w:p>
            <w:pPr>
              <w:pStyle w:val="TableText"/>
            </w:pPr>
            <w:r>
              <w:rPr>
                <w:b/>
                <w:bCs/>
                <w:sz w:val="17"/>
                <w:szCs w:val="17"/>
              </w:rPr>
              <w:t xml:space="preserve">ESX02.demo.local</w:t>
            </w:r>
          </w:p>
        </w:tc>
        <w:tc>
          <w:tcPr>
            <w:tcW w:w="844" w:type="dxa"/>
            <w:shd w:val="clear" w:color="auto" w:fill="F7F9FB"/>
          </w:tcPr>
          <w:p>
            <w:pPr>
              <w:pStyle w:val="TableText"/>
            </w:pPr>
            <w:r>
              <w:rPr>
                <w:sz w:val="17"/>
                <w:szCs w:val="17"/>
              </w:rPr>
              <w:t xml:space="preserve">VMW-CLU01</w:t>
            </w:r>
          </w:p>
        </w:tc>
        <w:tc>
          <w:tcPr>
            <w:tcW w:w="1132" w:type="dxa"/>
            <w:shd w:val="clear" w:color="auto" w:fill="F7F9FB"/>
          </w:tcPr>
          <w:p>
            <w:pPr>
              <w:pStyle w:val="TableText"/>
            </w:pPr>
            <w:r>
              <w:rPr>
                <w:sz w:val="17"/>
                <w:szCs w:val="17"/>
              </w:rPr>
              <w:t xml:space="preserve">VMware ESXi 8.0.2</w:t>
            </w:r>
          </w:p>
        </w:tc>
        <w:tc>
          <w:tcPr>
            <w:tcW w:w="860" w:type="dxa"/>
            <w:shd w:val="clear" w:color="auto" w:fill="F7F9FB"/>
          </w:tcPr>
          <w:p>
            <w:pPr>
              <w:pStyle w:val="TableText"/>
              <w:jc w:val="right"/>
            </w:pPr>
            <w:r>
              <w:rPr>
                <w:sz w:val="17"/>
                <w:szCs w:val="17"/>
              </w:rPr>
              <w:t xml:space="preserve">1</w:t>
            </w:r>
          </w:p>
        </w:tc>
        <w:tc>
          <w:tcPr>
            <w:tcW w:w="670" w:type="dxa"/>
            <w:shd w:val="clear" w:color="auto" w:fill="F7F9FB"/>
          </w:tcPr>
          <w:p>
            <w:pPr>
              <w:pStyle w:val="TableText"/>
              <w:jc w:val="right"/>
            </w:pPr>
            <w:r>
              <w:rPr>
                <w:sz w:val="17"/>
                <w:szCs w:val="17"/>
              </w:rPr>
              <w:t xml:space="preserve">16</w:t>
            </w:r>
          </w:p>
        </w:tc>
        <w:tc>
          <w:tcPr>
            <w:tcW w:w="584" w:type="dxa"/>
            <w:shd w:val="clear" w:color="auto" w:fill="F7F9FB"/>
          </w:tcPr>
          <w:p>
            <w:pPr>
              <w:pStyle w:val="TableText"/>
              <w:jc w:val="right"/>
            </w:pPr>
            <w:r>
              <w:rPr>
                <w:sz w:val="17"/>
                <w:szCs w:val="17"/>
              </w:rPr>
              <w:t xml:space="preserve">4</w:t>
            </w:r>
          </w:p>
        </w:tc>
        <w:tc>
          <w:tcPr>
            <w:tcW w:w="765" w:type="dxa"/>
            <w:shd w:val="clear" w:color="auto" w:fill="F7F9FB"/>
          </w:tcPr>
          <w:p>
            <w:pPr>
              <w:pStyle w:val="TableText"/>
              <w:jc w:val="right"/>
            </w:pPr>
            <w:r>
              <w:rPr>
                <w:sz w:val="17"/>
                <w:szCs w:val="17"/>
              </w:rPr>
              <w:t xml:space="preserve">4</w:t>
            </w:r>
          </w:p>
        </w:tc>
        <w:tc>
          <w:tcPr>
            <w:tcW w:w="921" w:type="dxa"/>
            <w:shd w:val="clear" w:color="auto" w:fill="F7F9FB"/>
          </w:tcPr>
          <w:p>
            <w:pPr>
              <w:pStyle w:val="TableText"/>
              <w:jc w:val="right"/>
            </w:pPr>
            <w:r>
              <w:rPr>
                <w:sz w:val="17"/>
                <w:szCs w:val="17"/>
              </w:rPr>
              <w:t xml:space="preserve">3</w:t>
            </w:r>
          </w:p>
        </w:tc>
        <w:tc>
          <w:tcPr>
            <w:tcW w:w="996" w:type="dxa"/>
            <w:shd w:val="clear" w:color="auto" w:fill="F7F9FB"/>
          </w:tcPr>
          <w:p>
            <w:pPr>
              <w:pStyle w:val="TableText"/>
            </w:pPr>
            <w:r>
              <w:rPr>
                <w:sz w:val="17"/>
                <w:szCs w:val="17"/>
              </w:rPr>
              <w:t xml:space="preserve">Unknown</w:t>
            </w:r>
          </w:p>
        </w:tc>
        <w:tc>
          <w:tcPr>
            <w:tcW w:w="1464" w:type="dxa"/>
            <w:shd w:val="clear" w:color="auto" w:fill="F7F9FB"/>
          </w:tcPr>
          <w:p>
            <w:pPr>
              <w:pStyle w:val="TableText"/>
            </w:pPr>
            <w:r>
              <w:rPr>
                <w:sz w:val="15"/>
                <w:szCs w:val="15"/>
              </w:rPr>
              <w:t xml:space="preserve">vCenter (vcenter01.demo.local)</w:t>
            </w:r>
          </w:p>
        </w:tc>
      </w:tr>
    </w:tbl>
    <w:p>
      <w:pPr>
        <w:spacing w:before="0" w:after="0" w:line="240" w:lineRule="auto"/>
        <w:rPr>
          <w:sz w:val="12"/>
          <w:szCs w:val="12"/>
        </w:rPr>
      </w:pP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5851"/>
        <w:gridCol w:w="1950"/>
        <w:gridCol w:w="1951"/>
      </w:tblGrid>
      <w:tr>
        <w:trPr>
          <w:cantSplit/>
          <w:tblHeader/>
        </w:trPr>
        <w:tc>
          <w:tcPr>
            <w:tcW w:w="5851" w:type="dxa"/>
            <w:shd w:val="clear" w:color="auto" w:fill="1F3A5F"/>
            <w:vAlign w:val="bottom"/>
          </w:tcPr>
          <w:p>
            <w:pPr>
              <w:pStyle w:val="TableText"/>
              <w:keepNext/>
            </w:pPr>
            <w:r>
              <w:rPr>
                <w:b/>
                <w:bCs/>
                <w:color w:val="FFFFFF"/>
                <w:sz w:val="17"/>
                <w:szCs w:val="17"/>
              </w:rPr>
              <w:t xml:space="preserve">Guest operating system</w:t>
            </w:r>
          </w:p>
        </w:tc>
        <w:tc>
          <w:tcPr>
            <w:tcW w:w="1950" w:type="dxa"/>
            <w:shd w:val="clear" w:color="auto" w:fill="1F3A5F"/>
            <w:vAlign w:val="bottom"/>
          </w:tcPr>
          <w:p>
            <w:pPr>
              <w:pStyle w:val="TableText"/>
              <w:keepNext/>
              <w:jc w:val="right"/>
            </w:pPr>
            <w:r>
              <w:rPr>
                <w:b/>
                <w:bCs/>
                <w:color w:val="FFFFFF"/>
                <w:sz w:val="17"/>
                <w:szCs w:val="17"/>
              </w:rPr>
              <w:t xml:space="preserve">Guests</w:t>
            </w:r>
          </w:p>
        </w:tc>
        <w:tc>
          <w:tcPr>
            <w:tcW w:w="1951" w:type="dxa"/>
            <w:shd w:val="clear" w:color="auto" w:fill="1F3A5F"/>
            <w:vAlign w:val="bottom"/>
          </w:tcPr>
          <w:p>
            <w:pPr>
              <w:pStyle w:val="TableText"/>
              <w:keepNext/>
              <w:jc w:val="right"/>
            </w:pPr>
            <w:r>
              <w:rPr>
                <w:b/>
                <w:bCs/>
                <w:color w:val="FFFFFF"/>
                <w:sz w:val="17"/>
                <w:szCs w:val="17"/>
              </w:rPr>
              <w:t xml:space="preserve">Powered on</w:t>
            </w:r>
          </w:p>
        </w:tc>
      </w:tr>
      <w:tr>
        <w:trPr>
          <w:cantSplit/>
        </w:trPr>
        <w:tc>
          <w:tcPr>
            <w:tcW w:w="5851" w:type="dxa"/>
          </w:tcPr>
          <w:p>
            <w:pPr>
              <w:pStyle w:val="TableText"/>
            </w:pPr>
            <w:r>
              <w:rPr>
                <w:sz w:val="17"/>
                <w:szCs w:val="17"/>
              </w:rPr>
              <w:t xml:space="preserve">Microsoft Windows Server 2022 (64-bit)</w:t>
            </w:r>
          </w:p>
        </w:tc>
        <w:tc>
          <w:tcPr>
            <w:tcW w:w="1950" w:type="dxa"/>
          </w:tcPr>
          <w:p>
            <w:pPr>
              <w:pStyle w:val="TableText"/>
              <w:jc w:val="right"/>
            </w:pPr>
            <w:r>
              <w:rPr>
                <w:sz w:val="17"/>
                <w:szCs w:val="17"/>
              </w:rPr>
              <w:t xml:space="preserve">3</w:t>
            </w:r>
          </w:p>
        </w:tc>
        <w:tc>
          <w:tcPr>
            <w:tcW w:w="1951" w:type="dxa"/>
          </w:tcPr>
          <w:p>
            <w:pPr>
              <w:pStyle w:val="TableText"/>
              <w:jc w:val="right"/>
            </w:pPr>
            <w:r>
              <w:rPr>
                <w:sz w:val="17"/>
                <w:szCs w:val="17"/>
              </w:rPr>
              <w:t xml:space="preserve">2</w:t>
            </w:r>
          </w:p>
        </w:tc>
      </w:tr>
      <w:tr>
        <w:trPr>
          <w:cantSplit/>
        </w:trPr>
        <w:tc>
          <w:tcPr>
            <w:tcW w:w="5851" w:type="dxa"/>
            <w:shd w:val="clear" w:color="auto" w:fill="F7F9FB"/>
          </w:tcPr>
          <w:p>
            <w:pPr>
              <w:pStyle w:val="TableText"/>
            </w:pPr>
            <w:r>
              <w:rPr>
                <w:sz w:val="17"/>
                <w:szCs w:val="17"/>
              </w:rPr>
              <w:t xml:space="preserve">Ubuntu Linux (64-bit)</w:t>
            </w:r>
          </w:p>
        </w:tc>
        <w:tc>
          <w:tcPr>
            <w:tcW w:w="1950" w:type="dxa"/>
            <w:shd w:val="clear" w:color="auto" w:fill="F7F9FB"/>
          </w:tcPr>
          <w:p>
            <w:pPr>
              <w:pStyle w:val="TableText"/>
              <w:jc w:val="right"/>
            </w:pPr>
            <w:r>
              <w:rPr>
                <w:sz w:val="17"/>
                <w:szCs w:val="17"/>
              </w:rPr>
              <w:t xml:space="preserve">2</w:t>
            </w:r>
          </w:p>
        </w:tc>
        <w:tc>
          <w:tcPr>
            <w:tcW w:w="1951" w:type="dxa"/>
            <w:shd w:val="clear" w:color="auto" w:fill="F7F9FB"/>
          </w:tcPr>
          <w:p>
            <w:pPr>
              <w:pStyle w:val="TableText"/>
              <w:jc w:val="right"/>
            </w:pPr>
            <w:r>
              <w:rPr>
                <w:sz w:val="17"/>
                <w:szCs w:val="17"/>
              </w:rPr>
              <w:t xml:space="preserve">2</w:t>
            </w:r>
          </w:p>
        </w:tc>
      </w:tr>
      <w:tr>
        <w:trPr>
          <w:cantSplit/>
        </w:trPr>
        <w:tc>
          <w:tcPr>
            <w:tcW w:w="5851" w:type="dxa"/>
          </w:tcPr>
          <w:p>
            <w:pPr>
              <w:pStyle w:val="TableText"/>
            </w:pPr>
            <w:r>
              <w:rPr>
                <w:sz w:val="17"/>
                <w:szCs w:val="17"/>
              </w:rPr>
              <w:t xml:space="preserve">Microsoft Windows Server 2019 (64-bit)</w:t>
            </w:r>
          </w:p>
        </w:tc>
        <w:tc>
          <w:tcPr>
            <w:tcW w:w="1950" w:type="dxa"/>
          </w:tcPr>
          <w:p>
            <w:pPr>
              <w:pStyle w:val="TableText"/>
              <w:jc w:val="right"/>
            </w:pPr>
            <w:r>
              <w:rPr>
                <w:sz w:val="17"/>
                <w:szCs w:val="17"/>
              </w:rPr>
              <w:t xml:space="preserve">1</w:t>
            </w:r>
          </w:p>
        </w:tc>
        <w:tc>
          <w:tcPr>
            <w:tcW w:w="1951" w:type="dxa"/>
          </w:tcPr>
          <w:p>
            <w:pPr>
              <w:pStyle w:val="TableText"/>
              <w:jc w:val="right"/>
            </w:pPr>
            <w:r>
              <w:rPr>
                <w:sz w:val="17"/>
                <w:szCs w:val="17"/>
              </w:rPr>
              <w:t xml:space="preserve">1</w:t>
            </w:r>
          </w:p>
        </w:tc>
      </w:tr>
      <w:tr>
        <w:trPr>
          <w:cantSplit/>
        </w:trPr>
        <w:tc>
          <w:tcPr>
            <w:tcW w:w="5851" w:type="dxa"/>
            <w:shd w:val="clear" w:color="auto" w:fill="F7F9FB"/>
          </w:tcPr>
          <w:p>
            <w:pPr>
              <w:pStyle w:val="TableText"/>
            </w:pPr>
            <w:r>
              <w:rPr>
                <w:sz w:val="17"/>
                <w:szCs w:val="17"/>
              </w:rPr>
              <w:t xml:space="preserve">Microsoft Windows Server 2016 (64-bit)</w:t>
            </w:r>
          </w:p>
        </w:tc>
        <w:tc>
          <w:tcPr>
            <w:tcW w:w="1950" w:type="dxa"/>
            <w:shd w:val="clear" w:color="auto" w:fill="F7F9FB"/>
          </w:tcPr>
          <w:p>
            <w:pPr>
              <w:pStyle w:val="TableText"/>
              <w:jc w:val="right"/>
            </w:pPr>
            <w:r>
              <w:rPr>
                <w:sz w:val="17"/>
                <w:szCs w:val="17"/>
              </w:rPr>
              <w:t xml:space="preserve">1</w:t>
            </w:r>
          </w:p>
        </w:tc>
        <w:tc>
          <w:tcPr>
            <w:tcW w:w="1951" w:type="dxa"/>
            <w:shd w:val="clear" w:color="auto" w:fill="F7F9FB"/>
          </w:tcPr>
          <w:p>
            <w:pPr>
              <w:pStyle w:val="TableText"/>
              <w:jc w:val="right"/>
            </w:pPr>
            <w:r>
              <w:rPr>
                <w:sz w:val="17"/>
                <w:szCs w:val="17"/>
              </w:rPr>
              <w:t xml:space="preserve">1</w:t>
            </w:r>
          </w:p>
        </w:tc>
      </w:tr>
      <w:tr>
        <w:trPr>
          <w:cantSplit/>
        </w:trPr>
        <w:tc>
          <w:tcPr>
            <w:tcW w:w="5851" w:type="dxa"/>
          </w:tcPr>
          <w:p>
            <w:pPr>
              <w:pStyle w:val="TableText"/>
            </w:pPr>
            <w:r>
              <w:rPr>
                <w:sz w:val="17"/>
                <w:szCs w:val="17"/>
              </w:rPr>
              <w:t xml:space="preserve">Unknown</w:t>
            </w:r>
          </w:p>
        </w:tc>
        <w:tc>
          <w:tcPr>
            <w:tcW w:w="1950" w:type="dxa"/>
          </w:tcPr>
          <w:p>
            <w:pPr>
              <w:pStyle w:val="TableText"/>
              <w:jc w:val="right"/>
            </w:pPr>
            <w:r>
              <w:rPr>
                <w:sz w:val="17"/>
                <w:szCs w:val="17"/>
              </w:rPr>
              <w:t xml:space="preserve">1</w:t>
            </w:r>
          </w:p>
        </w:tc>
        <w:tc>
          <w:tcPr>
            <w:tcW w:w="1951" w:type="dxa"/>
          </w:tcPr>
          <w:p>
            <w:pPr>
              <w:pStyle w:val="TableText"/>
              <w:jc w:val="right"/>
            </w:pPr>
            <w:r>
              <w:rPr>
                <w:sz w:val="17"/>
                <w:szCs w:val="17"/>
              </w:rPr>
              <w:t xml:space="preserve">0</w:t>
            </w:r>
          </w:p>
        </w:tc>
      </w:tr>
    </w:tbl>
    <w:p>
      <w:pPr>
        <w:spacing w:before="0" w:after="0" w:line="240" w:lineRule="auto"/>
        <w:rPr>
          <w:sz w:val="12"/>
          <w:szCs w:val="12"/>
        </w:rPr>
      </w:pPr>
    </w:p>
    <w:p>
      <w:pPr>
        <w:pStyle w:val="Heading2"/>
      </w:pPr>
      <w:bookmarkStart w:id="132" w:name="_TocMlat00132"/>
      <w:r>
        <w:t xml:space="preserve">Other Microsoft server and developer products</w:t>
      </w:r>
      <w:bookmarkEnd w:id="132"/>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755"/>
        <w:gridCol w:w="1950"/>
        <w:gridCol w:w="1365"/>
        <w:gridCol w:w="975"/>
        <w:gridCol w:w="3707"/>
      </w:tblGrid>
      <w:tr>
        <w:trPr>
          <w:cantSplit/>
          <w:tblHeader/>
        </w:trPr>
        <w:tc>
          <w:tcPr>
            <w:tcW w:w="1755" w:type="dxa"/>
            <w:shd w:val="clear" w:color="auto" w:fill="1F3A5F"/>
            <w:vAlign w:val="bottom"/>
          </w:tcPr>
          <w:p>
            <w:pPr>
              <w:pStyle w:val="TableText"/>
              <w:keepNext/>
            </w:pPr>
            <w:r>
              <w:rPr>
                <w:b/>
                <w:bCs/>
                <w:color w:val="FFFFFF"/>
                <w:sz w:val="17"/>
                <w:szCs w:val="17"/>
              </w:rPr>
              <w:t xml:space="preserve">Machine</w:t>
            </w:r>
          </w:p>
        </w:tc>
        <w:tc>
          <w:tcPr>
            <w:tcW w:w="1950" w:type="dxa"/>
            <w:shd w:val="clear" w:color="auto" w:fill="1F3A5F"/>
            <w:vAlign w:val="bottom"/>
          </w:tcPr>
          <w:p>
            <w:pPr>
              <w:pStyle w:val="TableText"/>
              <w:keepNext/>
            </w:pPr>
            <w:r>
              <w:rPr>
                <w:b/>
                <w:bCs/>
                <w:color w:val="FFFFFF"/>
                <w:sz w:val="17"/>
                <w:szCs w:val="17"/>
              </w:rPr>
              <w:t xml:space="preserve">Family</w:t>
            </w:r>
          </w:p>
        </w:tc>
        <w:tc>
          <w:tcPr>
            <w:tcW w:w="1365" w:type="dxa"/>
            <w:shd w:val="clear" w:color="auto" w:fill="1F3A5F"/>
            <w:vAlign w:val="bottom"/>
          </w:tcPr>
          <w:p>
            <w:pPr>
              <w:pStyle w:val="TableText"/>
              <w:keepNext/>
            </w:pPr>
            <w:r>
              <w:rPr>
                <w:b/>
                <w:bCs/>
                <w:color w:val="FFFFFF"/>
                <w:sz w:val="17"/>
                <w:szCs w:val="17"/>
              </w:rPr>
              <w:t xml:space="preserve">Edition</w:t>
            </w:r>
          </w:p>
        </w:tc>
        <w:tc>
          <w:tcPr>
            <w:tcW w:w="975" w:type="dxa"/>
            <w:shd w:val="clear" w:color="auto" w:fill="1F3A5F"/>
            <w:vAlign w:val="bottom"/>
          </w:tcPr>
          <w:p>
            <w:pPr>
              <w:pStyle w:val="TableText"/>
              <w:keepNext/>
            </w:pPr>
            <w:r>
              <w:rPr>
                <w:b/>
                <w:bCs/>
                <w:color w:val="FFFFFF"/>
                <w:sz w:val="17"/>
                <w:szCs w:val="17"/>
              </w:rPr>
              <w:t xml:space="preserve">Version</w:t>
            </w:r>
          </w:p>
        </w:tc>
        <w:tc>
          <w:tcPr>
            <w:tcW w:w="3707" w:type="dxa"/>
            <w:shd w:val="clear" w:color="auto" w:fill="1F3A5F"/>
            <w:vAlign w:val="bottom"/>
          </w:tcPr>
          <w:p>
            <w:pPr>
              <w:pStyle w:val="TableText"/>
              <w:keepNext/>
            </w:pPr>
            <w:r>
              <w:rPr>
                <w:b/>
                <w:bCs/>
                <w:color w:val="FFFFFF"/>
                <w:sz w:val="17"/>
                <w:szCs w:val="17"/>
              </w:rPr>
              <w:t xml:space="preserve">Product</w:t>
            </w:r>
          </w:p>
        </w:tc>
      </w:tr>
      <w:tr>
        <w:trPr>
          <w:cantSplit/>
        </w:trPr>
        <w:tc>
          <w:tcPr>
            <w:tcW w:w="1755" w:type="dxa"/>
          </w:tcPr>
          <w:p>
            <w:pPr>
              <w:pStyle w:val="TableText"/>
            </w:pPr>
            <w:r>
              <w:rPr>
                <w:b/>
                <w:bCs/>
                <w:sz w:val="17"/>
                <w:szCs w:val="17"/>
              </w:rPr>
              <w:t xml:space="preserve">EXCH01</w:t>
            </w:r>
          </w:p>
        </w:tc>
        <w:tc>
          <w:tcPr>
            <w:tcW w:w="1950" w:type="dxa"/>
          </w:tcPr>
          <w:p>
            <w:pPr>
              <w:pStyle w:val="TableText"/>
            </w:pPr>
            <w:r>
              <w:rPr>
                <w:sz w:val="17"/>
                <w:szCs w:val="17"/>
              </w:rPr>
              <w:t xml:space="preserve">Exchange Server</w:t>
            </w:r>
          </w:p>
        </w:tc>
        <w:tc>
          <w:tcPr>
            <w:tcW w:w="1365" w:type="dxa"/>
          </w:tcPr>
          <w:p>
            <w:pPr>
              <w:pStyle w:val="TableText"/>
            </w:pPr>
          </w:p>
        </w:tc>
        <w:tc>
          <w:tcPr>
            <w:tcW w:w="975" w:type="dxa"/>
          </w:tcPr>
          <w:p>
            <w:pPr>
              <w:pStyle w:val="TableText"/>
            </w:pPr>
            <w:r>
              <w:rPr>
                <w:sz w:val="17"/>
                <w:szCs w:val="17"/>
              </w:rPr>
              <w:t xml:space="preserve">2019</w:t>
            </w:r>
          </w:p>
        </w:tc>
        <w:tc>
          <w:tcPr>
            <w:tcW w:w="3707" w:type="dxa"/>
          </w:tcPr>
          <w:p>
            <w:pPr>
              <w:pStyle w:val="TableText"/>
            </w:pPr>
            <w:r>
              <w:rPr>
                <w:sz w:val="17"/>
                <w:szCs w:val="17"/>
              </w:rPr>
              <w:t xml:space="preserve">Microsoft Exchange Server 2019 Cumulative Update 14</w:t>
            </w:r>
          </w:p>
        </w:tc>
      </w:tr>
      <w:tr>
        <w:trPr>
          <w:cantSplit/>
        </w:trPr>
        <w:tc>
          <w:tcPr>
            <w:tcW w:w="1755" w:type="dxa"/>
            <w:shd w:val="clear" w:color="auto" w:fill="F7F9FB"/>
          </w:tcPr>
          <w:p>
            <w:pPr>
              <w:pStyle w:val="TableText"/>
            </w:pPr>
            <w:r>
              <w:rPr>
                <w:b/>
                <w:bCs/>
                <w:sz w:val="17"/>
                <w:szCs w:val="17"/>
              </w:rPr>
              <w:t xml:space="preserve">PC-010</w:t>
            </w:r>
          </w:p>
        </w:tc>
        <w:tc>
          <w:tcPr>
            <w:tcW w:w="1950" w:type="dxa"/>
            <w:shd w:val="clear" w:color="auto" w:fill="F7F9FB"/>
          </w:tcPr>
          <w:p>
            <w:pPr>
              <w:pStyle w:val="TableText"/>
            </w:pPr>
            <w:r>
              <w:rPr>
                <w:sz w:val="17"/>
                <w:szCs w:val="17"/>
              </w:rPr>
              <w:t xml:space="preserve">Visual Studio</w:t>
            </w:r>
          </w:p>
        </w:tc>
        <w:tc>
          <w:tcPr>
            <w:tcW w:w="1365" w:type="dxa"/>
            <w:shd w:val="clear" w:color="auto" w:fill="F7F9FB"/>
          </w:tcPr>
          <w:p>
            <w:pPr>
              <w:pStyle w:val="TableText"/>
            </w:pPr>
            <w:r>
              <w:rPr>
                <w:sz w:val="17"/>
                <w:szCs w:val="17"/>
              </w:rPr>
              <w:t xml:space="preserve">Professional</w:t>
            </w:r>
          </w:p>
        </w:tc>
        <w:tc>
          <w:tcPr>
            <w:tcW w:w="975" w:type="dxa"/>
            <w:shd w:val="clear" w:color="auto" w:fill="F7F9FB"/>
          </w:tcPr>
          <w:p>
            <w:pPr>
              <w:pStyle w:val="TableText"/>
            </w:pPr>
            <w:r>
              <w:rPr>
                <w:sz w:val="17"/>
                <w:szCs w:val="17"/>
              </w:rPr>
              <w:t xml:space="preserve">2022</w:t>
            </w:r>
          </w:p>
        </w:tc>
        <w:tc>
          <w:tcPr>
            <w:tcW w:w="3707" w:type="dxa"/>
            <w:shd w:val="clear" w:color="auto" w:fill="F7F9FB"/>
          </w:tcPr>
          <w:p>
            <w:pPr>
              <w:pStyle w:val="TableText"/>
            </w:pPr>
            <w:r>
              <w:rPr>
                <w:sz w:val="17"/>
                <w:szCs w:val="17"/>
              </w:rPr>
              <w:t xml:space="preserve">Visual Studio Professional 2022</w:t>
            </w:r>
          </w:p>
        </w:tc>
      </w:tr>
    </w:tbl>
    <w:p>
      <w:pPr>
        <w:spacing w:before="0" w:after="0" w:line="240" w:lineRule="auto"/>
        <w:rPr>
          <w:sz w:val="12"/>
          <w:szCs w:val="12"/>
        </w:rPr>
      </w:pPr>
    </w:p>
    <w:p>
      <w:pPr>
        <w:pStyle w:val="Heading2"/>
      </w:pPr>
      <w:bookmarkStart w:id="133" w:name="_TocMlat00133"/>
      <w:r>
        <w:t xml:space="preserve">Active Directory</w:t>
      </w:r>
      <w:bookmarkEnd w:id="133"/>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705"/>
        <w:gridCol w:w="6047"/>
      </w:tblGrid>
      <w:tr>
        <w:trPr>
          <w:cantSplit/>
        </w:trPr>
        <w:tc>
          <w:tcPr>
            <w:tcW w:w="3705" w:type="dxa"/>
          </w:tcPr>
          <w:p>
            <w:pPr>
              <w:pStyle w:val="TableText"/>
              <w:keepNext/>
            </w:pPr>
            <w:r>
              <w:rPr>
                <w:color w:val="5B6475"/>
                <w:sz w:val="18"/>
                <w:szCs w:val="18"/>
              </w:rPr>
              <w:t xml:space="preserve">Forest / domain</w:t>
            </w:r>
          </w:p>
        </w:tc>
        <w:tc>
          <w:tcPr>
            <w:tcW w:w="6047" w:type="dxa"/>
          </w:tcPr>
          <w:p>
            <w:pPr>
              <w:pStyle w:val="TableText"/>
              <w:keepNext/>
            </w:pPr>
            <w:r>
              <w:rPr>
                <w:sz w:val="18"/>
                <w:szCs w:val="18"/>
              </w:rPr>
              <w:t xml:space="preserve">demo.local / demo.local (DEMO)</w:t>
            </w:r>
          </w:p>
        </w:tc>
      </w:tr>
      <w:tr>
        <w:trPr>
          <w:cantSplit/>
        </w:trPr>
        <w:tc>
          <w:tcPr>
            <w:tcW w:w="3705" w:type="dxa"/>
          </w:tcPr>
          <w:p>
            <w:pPr>
              <w:pStyle w:val="TableText"/>
              <w:keepNext/>
            </w:pPr>
            <w:r>
              <w:rPr>
                <w:color w:val="5B6475"/>
                <w:sz w:val="18"/>
                <w:szCs w:val="18"/>
              </w:rPr>
              <w:t xml:space="preserve">Functional level (forest / domain)</w:t>
            </w:r>
          </w:p>
        </w:tc>
        <w:tc>
          <w:tcPr>
            <w:tcW w:w="6047" w:type="dxa"/>
          </w:tcPr>
          <w:p>
            <w:pPr>
              <w:pStyle w:val="TableText"/>
              <w:keepNext/>
            </w:pPr>
            <w:r>
              <w:rPr>
                <w:sz w:val="18"/>
                <w:szCs w:val="18"/>
              </w:rPr>
              <w:t xml:space="preserve">Windows2016Forest / Windows2016Domain</w:t>
            </w:r>
          </w:p>
        </w:tc>
      </w:tr>
      <w:tr>
        <w:trPr>
          <w:cantSplit/>
        </w:trPr>
        <w:tc>
          <w:tcPr>
            <w:tcW w:w="3705" w:type="dxa"/>
          </w:tcPr>
          <w:p>
            <w:pPr>
              <w:pStyle w:val="TableText"/>
              <w:keepNext/>
            </w:pPr>
            <w:r>
              <w:rPr>
                <w:color w:val="5B6475"/>
                <w:sz w:val="18"/>
                <w:szCs w:val="18"/>
              </w:rPr>
              <w:t xml:space="preserve">Users (total / enabled / disabled)</w:t>
            </w:r>
          </w:p>
        </w:tc>
        <w:tc>
          <w:tcPr>
            <w:tcW w:w="6047" w:type="dxa"/>
          </w:tcPr>
          <w:p>
            <w:pPr>
              <w:pStyle w:val="TableText"/>
              <w:keepNext/>
            </w:pPr>
            <w:r>
              <w:rPr>
                <w:sz w:val="18"/>
                <w:szCs w:val="18"/>
              </w:rPr>
              <w:t xml:space="preserve">214 / 182 / 32</w:t>
            </w:r>
          </w:p>
        </w:tc>
      </w:tr>
      <w:tr>
        <w:trPr>
          <w:cantSplit/>
        </w:trPr>
        <w:tc>
          <w:tcPr>
            <w:tcW w:w="3705" w:type="dxa"/>
          </w:tcPr>
          <w:p>
            <w:pPr>
              <w:pStyle w:val="TableText"/>
              <w:keepNext/>
            </w:pPr>
            <w:r>
              <w:rPr>
                <w:color w:val="5B6475"/>
                <w:sz w:val="18"/>
                <w:szCs w:val="18"/>
              </w:rPr>
              <w:t xml:space="preserve">Users active (90 days) / never logged on</w:t>
            </w:r>
          </w:p>
        </w:tc>
        <w:tc>
          <w:tcPr>
            <w:tcW w:w="6047" w:type="dxa"/>
          </w:tcPr>
          <w:p>
            <w:pPr>
              <w:pStyle w:val="TableText"/>
              <w:keepNext/>
            </w:pPr>
            <w:r>
              <w:rPr>
                <w:sz w:val="18"/>
                <w:szCs w:val="18"/>
              </w:rPr>
              <w:t xml:space="preserve">168 / 6</w:t>
            </w:r>
          </w:p>
        </w:tc>
      </w:tr>
      <w:tr>
        <w:trPr>
          <w:cantSplit/>
        </w:trPr>
        <w:tc>
          <w:tcPr>
            <w:tcW w:w="3705" w:type="dxa"/>
          </w:tcPr>
          <w:p>
            <w:pPr>
              <w:pStyle w:val="TableText"/>
              <w:keepNext/>
            </w:pPr>
            <w:r>
              <w:rPr>
                <w:color w:val="5B6475"/>
                <w:sz w:val="18"/>
                <w:szCs w:val="18"/>
              </w:rPr>
              <w:t xml:space="preserve">Computers (total / enabled)</w:t>
            </w:r>
          </w:p>
        </w:tc>
        <w:tc>
          <w:tcPr>
            <w:tcW w:w="6047" w:type="dxa"/>
          </w:tcPr>
          <w:p>
            <w:pPr>
              <w:pStyle w:val="TableText"/>
              <w:keepNext/>
            </w:pPr>
            <w:r>
              <w:rPr>
                <w:sz w:val="18"/>
                <w:szCs w:val="18"/>
              </w:rPr>
              <w:t xml:space="preserve">171 / 158</w:t>
            </w:r>
          </w:p>
        </w:tc>
      </w:tr>
      <w:tr>
        <w:trPr>
          <w:cantSplit/>
        </w:trPr>
        <w:tc>
          <w:tcPr>
            <w:tcW w:w="3705" w:type="dxa"/>
          </w:tcPr>
          <w:p>
            <w:pPr>
              <w:pStyle w:val="TableText"/>
              <w:keepNext/>
            </w:pPr>
            <w:r>
              <w:rPr>
                <w:color w:val="5B6475"/>
                <w:sz w:val="18"/>
                <w:szCs w:val="18"/>
              </w:rPr>
              <w:t xml:space="preserve">Servers enabled / active</w:t>
            </w:r>
          </w:p>
        </w:tc>
        <w:tc>
          <w:tcPr>
            <w:tcW w:w="6047" w:type="dxa"/>
          </w:tcPr>
          <w:p>
            <w:pPr>
              <w:pStyle w:val="TableText"/>
              <w:keepNext/>
            </w:pPr>
            <w:r>
              <w:rPr>
                <w:sz w:val="18"/>
                <w:szCs w:val="18"/>
              </w:rPr>
              <w:t xml:space="preserve">13 / 12</w:t>
            </w:r>
          </w:p>
        </w:tc>
      </w:tr>
      <w:tr>
        <w:trPr>
          <w:cantSplit/>
        </w:trPr>
        <w:tc>
          <w:tcPr>
            <w:tcW w:w="3705" w:type="dxa"/>
          </w:tcPr>
          <w:p>
            <w:pPr>
              <w:pStyle w:val="TableText"/>
              <w:keepNext/>
            </w:pPr>
            <w:r>
              <w:rPr>
                <w:color w:val="5B6475"/>
                <w:sz w:val="18"/>
                <w:szCs w:val="18"/>
              </w:rPr>
              <w:t xml:space="preserve">Workstations enabled / active</w:t>
            </w:r>
          </w:p>
        </w:tc>
        <w:tc>
          <w:tcPr>
            <w:tcW w:w="6047" w:type="dxa"/>
          </w:tcPr>
          <w:p>
            <w:pPr>
              <w:pStyle w:val="TableText"/>
              <w:keepNext/>
            </w:pPr>
            <w:r>
              <w:rPr>
                <w:sz w:val="18"/>
                <w:szCs w:val="18"/>
              </w:rPr>
              <w:t xml:space="preserve">145 / 138</w:t>
            </w:r>
          </w:p>
        </w:tc>
      </w:tr>
      <w:tr>
        <w:trPr>
          <w:cantSplit/>
        </w:trPr>
        <w:tc>
          <w:tcPr>
            <w:tcW w:w="3705" w:type="dxa"/>
          </w:tcPr>
          <w:p>
            <w:pPr>
              <w:pStyle w:val="TableText"/>
              <w:keepNext/>
            </w:pPr>
            <w:r>
              <w:rPr>
                <w:color w:val="5B6475"/>
                <w:sz w:val="18"/>
                <w:szCs w:val="18"/>
              </w:rPr>
              <w:t xml:space="preserve">Domain controllers</w:t>
            </w:r>
          </w:p>
        </w:tc>
        <w:tc>
          <w:tcPr>
            <w:tcW w:w="6047" w:type="dxa"/>
          </w:tcPr>
          <w:p>
            <w:pPr>
              <w:pStyle w:val="TableText"/>
              <w:keepNext/>
            </w:pPr>
            <w:r>
              <w:rPr>
                <w:sz w:val="18"/>
                <w:szCs w:val="18"/>
              </w:rPr>
              <w:t xml:space="preserve">1 — DC01.demo.local</w:t>
            </w:r>
          </w:p>
        </w:tc>
      </w:tr>
      <w:tr>
        <w:trPr>
          <w:cantSplit/>
        </w:trPr>
        <w:tc>
          <w:tcPr>
            <w:tcW w:w="3705" w:type="dxa"/>
          </w:tcPr>
          <w:p>
            <w:pPr>
              <w:pStyle w:val="TableText"/>
            </w:pPr>
            <w:r>
              <w:rPr>
                <w:color w:val="5B6475"/>
                <w:sz w:val="18"/>
                <w:szCs w:val="18"/>
              </w:rPr>
              <w:t xml:space="preserve">Sites / trusts</w:t>
            </w:r>
          </w:p>
        </w:tc>
        <w:tc>
          <w:tcPr>
            <w:tcW w:w="6047" w:type="dxa"/>
          </w:tcPr>
          <w:p>
            <w:pPr>
              <w:pStyle w:val="TableText"/>
            </w:pPr>
            <w:r>
              <w:rPr>
                <w:sz w:val="18"/>
                <w:szCs w:val="18"/>
              </w:rPr>
              <w:t xml:space="preserve">2 / 0</w:t>
            </w:r>
          </w:p>
        </w:tc>
      </w:tr>
    </w:tbl>
    <w:p>
      <w:pPr>
        <w:spacing w:before="0" w:after="0" w:line="240" w:lineRule="auto"/>
        <w:rPr>
          <w:sz w:val="12"/>
          <w:szCs w:val="12"/>
        </w:rPr>
      </w:pPr>
    </w:p>
    <w:p>
      <w:pPr>
        <w:pStyle w:val="Heading2"/>
      </w:pPr>
      <w:bookmarkStart w:id="134" w:name="_TocMlat00134"/>
      <w:r>
        <w:t xml:space="preserve">Microsoft 365</w:t>
      </w:r>
      <w:bookmarkEnd w:id="134"/>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705"/>
        <w:gridCol w:w="6047"/>
      </w:tblGrid>
      <w:tr>
        <w:trPr>
          <w:cantSplit/>
        </w:trPr>
        <w:tc>
          <w:tcPr>
            <w:tcW w:w="3705" w:type="dxa"/>
          </w:tcPr>
          <w:p>
            <w:pPr>
              <w:pStyle w:val="TableText"/>
              <w:keepNext/>
            </w:pPr>
            <w:r>
              <w:rPr>
                <w:color w:val="5B6475"/>
                <w:sz w:val="18"/>
                <w:szCs w:val="18"/>
              </w:rPr>
              <w:t xml:space="preserve">Tenant</w:t>
            </w:r>
          </w:p>
        </w:tc>
        <w:tc>
          <w:tcPr>
            <w:tcW w:w="6047" w:type="dxa"/>
          </w:tcPr>
          <w:p>
            <w:pPr>
              <w:pStyle w:val="TableText"/>
              <w:keepNext/>
            </w:pPr>
            <w:r>
              <w:rPr>
                <w:sz w:val="18"/>
                <w:szCs w:val="18"/>
              </w:rPr>
              <w:t xml:space="preserve">Demo Company (demo tenant) (00000000-0000-4000-8000-000000000001)</w:t>
            </w:r>
          </w:p>
        </w:tc>
      </w:tr>
      <w:tr>
        <w:trPr>
          <w:cantSplit/>
        </w:trPr>
        <w:tc>
          <w:tcPr>
            <w:tcW w:w="3705" w:type="dxa"/>
          </w:tcPr>
          <w:p>
            <w:pPr>
              <w:pStyle w:val="TableText"/>
              <w:keepNext/>
            </w:pPr>
            <w:r>
              <w:rPr>
                <w:color w:val="5B6475"/>
                <w:sz w:val="18"/>
                <w:szCs w:val="18"/>
              </w:rPr>
              <w:t xml:space="preserve">Users total (members / guests)</w:t>
            </w:r>
          </w:p>
        </w:tc>
        <w:tc>
          <w:tcPr>
            <w:tcW w:w="6047" w:type="dxa"/>
          </w:tcPr>
          <w:p>
            <w:pPr>
              <w:pStyle w:val="TableText"/>
              <w:keepNext/>
            </w:pPr>
            <w:r>
              <w:rPr>
                <w:sz w:val="18"/>
                <w:szCs w:val="18"/>
              </w:rPr>
              <w:t xml:space="preserve">175 (172 / 3)</w:t>
            </w:r>
          </w:p>
        </w:tc>
      </w:tr>
      <w:tr>
        <w:trPr>
          <w:cantSplit/>
        </w:trPr>
        <w:tc>
          <w:tcPr>
            <w:tcW w:w="3705" w:type="dxa"/>
          </w:tcPr>
          <w:p>
            <w:pPr>
              <w:pStyle w:val="TableText"/>
              <w:keepNext/>
            </w:pPr>
            <w:r>
              <w:rPr>
                <w:color w:val="5B6475"/>
                <w:sz w:val="18"/>
                <w:szCs w:val="18"/>
              </w:rPr>
              <w:t xml:space="preserve">Licensed / unlicensed / licensed but disabled</w:t>
            </w:r>
          </w:p>
        </w:tc>
        <w:tc>
          <w:tcPr>
            <w:tcW w:w="6047" w:type="dxa"/>
          </w:tcPr>
          <w:p>
            <w:pPr>
              <w:pStyle w:val="TableText"/>
              <w:keepNext/>
            </w:pPr>
            <w:r>
              <w:rPr>
                <w:sz w:val="18"/>
                <w:szCs w:val="18"/>
              </w:rPr>
              <w:t xml:space="preserve">165 / 10 / 0</w:t>
            </w:r>
          </w:p>
        </w:tc>
      </w:tr>
      <w:tr>
        <w:trPr>
          <w:cantSplit/>
        </w:trPr>
        <w:tc>
          <w:tcPr>
            <w:tcW w:w="3705" w:type="dxa"/>
          </w:tcPr>
          <w:p>
            <w:pPr>
              <w:pStyle w:val="TableText"/>
              <w:keepNext/>
            </w:pPr>
            <w:r>
              <w:rPr>
                <w:color w:val="5B6475"/>
                <w:sz w:val="18"/>
                <w:szCs w:val="18"/>
              </w:rPr>
              <w:t xml:space="preserve">Active last 30 days / inactive over 90 days</w:t>
            </w:r>
          </w:p>
        </w:tc>
        <w:tc>
          <w:tcPr>
            <w:tcW w:w="6047" w:type="dxa"/>
          </w:tcPr>
          <w:p>
            <w:pPr>
              <w:pStyle w:val="TableText"/>
              <w:keepNext/>
            </w:pPr>
            <w:r>
              <w:rPr>
                <w:sz w:val="18"/>
                <w:szCs w:val="18"/>
              </w:rPr>
              <w:t xml:space="preserve">151 / 9</w:t>
            </w:r>
          </w:p>
        </w:tc>
      </w:tr>
      <w:tr>
        <w:trPr>
          <w:cantSplit/>
        </w:trPr>
        <w:tc>
          <w:tcPr>
            <w:tcW w:w="3705" w:type="dxa"/>
          </w:tcPr>
          <w:p>
            <w:pPr>
              <w:pStyle w:val="TableText"/>
              <w:keepNext/>
            </w:pPr>
            <w:r>
              <w:rPr>
                <w:color w:val="5B6475"/>
                <w:sz w:val="18"/>
                <w:szCs w:val="18"/>
              </w:rPr>
              <w:t xml:space="preserve">Intune managed devices</w:t>
            </w:r>
          </w:p>
        </w:tc>
        <w:tc>
          <w:tcPr>
            <w:tcW w:w="6047" w:type="dxa"/>
          </w:tcPr>
          <w:p>
            <w:pPr>
              <w:pStyle w:val="TableText"/>
              <w:keepNext/>
            </w:pPr>
            <w:r>
              <w:rPr>
                <w:sz w:val="18"/>
                <w:szCs w:val="18"/>
              </w:rPr>
              <w:t xml:space="preserve">163</w:t>
            </w:r>
          </w:p>
        </w:tc>
      </w:tr>
      <w:tr>
        <w:trPr>
          <w:cantSplit/>
        </w:trPr>
        <w:tc>
          <w:tcPr>
            <w:tcW w:w="3705" w:type="dxa"/>
          </w:tcPr>
          <w:p>
            <w:pPr>
              <w:pStyle w:val="TableText"/>
            </w:pPr>
            <w:r>
              <w:rPr>
                <w:color w:val="5B6475"/>
                <w:sz w:val="18"/>
                <w:szCs w:val="18"/>
              </w:rPr>
              <w:t xml:space="preserve">Collected</w:t>
            </w:r>
          </w:p>
        </w:tc>
        <w:tc>
          <w:tcPr>
            <w:tcW w:w="6047" w:type="dxa"/>
          </w:tcPr>
          <w:p>
            <w:pPr>
              <w:pStyle w:val="TableText"/>
            </w:pPr>
            <w:r>
              <w:rPr>
                <w:sz w:val="18"/>
                <w:szCs w:val="18"/>
              </w:rPr>
              <w:t xml:space="preserve">2026-10-02 01:33 UTC</w:t>
            </w:r>
          </w:p>
        </w:tc>
      </w:tr>
    </w:tbl>
    <w:p>
      <w:pPr>
        <w:spacing w:before="0" w:after="0" w:line="240" w:lineRule="auto"/>
        <w:rPr>
          <w:sz w:val="12"/>
          <w:szCs w:val="12"/>
        </w:rPr>
      </w:pPr>
    </w:p>
    <w:p>
      <w:pPr>
        <w:keepNext/>
        <w:spacing w:after="80"/>
      </w:pPr>
      <w:r>
        <w:rPr>
          <w:b/>
          <w:bCs/>
        </w:rPr>
        <w:t xml:space="preserve">Subscribed SKUs</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058"/>
        <w:gridCol w:w="961"/>
        <w:gridCol w:w="1045"/>
        <w:gridCol w:w="972"/>
        <w:gridCol w:w="1080"/>
        <w:gridCol w:w="964"/>
        <w:gridCol w:w="1672"/>
      </w:tblGrid>
      <w:tr>
        <w:trPr>
          <w:cantSplit/>
          <w:tblHeader/>
        </w:trPr>
        <w:tc>
          <w:tcPr>
            <w:tcW w:w="3058" w:type="dxa"/>
            <w:shd w:val="clear" w:color="auto" w:fill="1F3A5F"/>
            <w:vAlign w:val="bottom"/>
          </w:tcPr>
          <w:p>
            <w:pPr>
              <w:pStyle w:val="TableText"/>
              <w:keepNext/>
            </w:pPr>
            <w:r>
              <w:rPr>
                <w:b/>
                <w:bCs/>
                <w:color w:val="FFFFFF"/>
                <w:sz w:val="17"/>
                <w:szCs w:val="17"/>
              </w:rPr>
              <w:t xml:space="preserve">SKU (part number)</w:t>
            </w:r>
          </w:p>
        </w:tc>
        <w:tc>
          <w:tcPr>
            <w:tcW w:w="961" w:type="dxa"/>
            <w:shd w:val="clear" w:color="auto" w:fill="1F3A5F"/>
            <w:vAlign w:val="bottom"/>
          </w:tcPr>
          <w:p>
            <w:pPr>
              <w:pStyle w:val="TableText"/>
              <w:keepNext/>
              <w:jc w:val="right"/>
            </w:pPr>
            <w:r>
              <w:rPr>
                <w:b/>
                <w:bCs/>
                <w:color w:val="FFFFFF"/>
                <w:sz w:val="17"/>
                <w:szCs w:val="17"/>
              </w:rPr>
              <w:t xml:space="preserve">Enabled</w:t>
            </w:r>
          </w:p>
        </w:tc>
        <w:tc>
          <w:tcPr>
            <w:tcW w:w="1045" w:type="dxa"/>
            <w:shd w:val="clear" w:color="auto" w:fill="1F3A5F"/>
            <w:vAlign w:val="bottom"/>
          </w:tcPr>
          <w:p>
            <w:pPr>
              <w:pStyle w:val="TableText"/>
              <w:keepNext/>
              <w:jc w:val="right"/>
            </w:pPr>
            <w:r>
              <w:rPr>
                <w:b/>
                <w:bCs/>
                <w:color w:val="FFFFFF"/>
                <w:sz w:val="17"/>
                <w:szCs w:val="17"/>
              </w:rPr>
              <w:t xml:space="preserve">Consumed</w:t>
            </w:r>
          </w:p>
        </w:tc>
        <w:tc>
          <w:tcPr>
            <w:tcW w:w="972" w:type="dxa"/>
            <w:shd w:val="clear" w:color="auto" w:fill="1F3A5F"/>
            <w:vAlign w:val="bottom"/>
          </w:tcPr>
          <w:p>
            <w:pPr>
              <w:pStyle w:val="TableText"/>
              <w:keepNext/>
              <w:jc w:val="right"/>
            </w:pPr>
            <w:r>
              <w:rPr>
                <w:b/>
                <w:bCs/>
                <w:color w:val="FFFFFF"/>
                <w:sz w:val="17"/>
                <w:szCs w:val="17"/>
              </w:rPr>
              <w:t xml:space="preserve">Available</w:t>
            </w:r>
          </w:p>
        </w:tc>
        <w:tc>
          <w:tcPr>
            <w:tcW w:w="1080" w:type="dxa"/>
            <w:shd w:val="clear" w:color="auto" w:fill="1F3A5F"/>
            <w:vAlign w:val="bottom"/>
          </w:tcPr>
          <w:p>
            <w:pPr>
              <w:pStyle w:val="TableText"/>
              <w:keepNext/>
              <w:jc w:val="right"/>
            </w:pPr>
            <w:r>
              <w:rPr>
                <w:b/>
                <w:bCs/>
                <w:color w:val="FFFFFF"/>
                <w:sz w:val="17"/>
                <w:szCs w:val="17"/>
              </w:rPr>
              <w:t xml:space="preserve">Suspended</w:t>
            </w:r>
          </w:p>
        </w:tc>
        <w:tc>
          <w:tcPr>
            <w:tcW w:w="964" w:type="dxa"/>
            <w:shd w:val="clear" w:color="auto" w:fill="1F3A5F"/>
            <w:vAlign w:val="bottom"/>
          </w:tcPr>
          <w:p>
            <w:pPr>
              <w:pStyle w:val="TableText"/>
              <w:keepNext/>
              <w:jc w:val="right"/>
            </w:pPr>
            <w:r>
              <w:rPr>
                <w:b/>
                <w:bCs/>
                <w:color w:val="FFFFFF"/>
                <w:sz w:val="17"/>
                <w:szCs w:val="17"/>
              </w:rPr>
              <w:t xml:space="preserve">Warning</w:t>
            </w:r>
          </w:p>
        </w:tc>
        <w:tc>
          <w:tcPr>
            <w:tcW w:w="1672" w:type="dxa"/>
            <w:shd w:val="clear" w:color="auto" w:fill="1F3A5F"/>
            <w:vAlign w:val="bottom"/>
          </w:tcPr>
          <w:p>
            <w:pPr>
              <w:pStyle w:val="TableText"/>
              <w:keepNext/>
            </w:pPr>
            <w:r>
              <w:rPr>
                <w:b/>
                <w:bCs/>
                <w:color w:val="FFFFFF"/>
                <w:sz w:val="17"/>
                <w:szCs w:val="17"/>
              </w:rPr>
              <w:t xml:space="preserve">Capability status</w:t>
            </w:r>
          </w:p>
        </w:tc>
      </w:tr>
      <w:tr>
        <w:trPr>
          <w:cantSplit/>
        </w:trPr>
        <w:tc>
          <w:tcPr>
            <w:tcW w:w="3058" w:type="dxa"/>
          </w:tcPr>
          <w:p>
            <w:pPr>
              <w:pStyle w:val="TableText"/>
            </w:pPr>
            <w:r>
              <w:rPr>
                <w:b/>
                <w:bCs/>
                <w:sz w:val="17"/>
                <w:szCs w:val="17"/>
              </w:rPr>
              <w:t xml:space="preserve">ENTERPRISEPREMIUM</w:t>
            </w:r>
          </w:p>
        </w:tc>
        <w:tc>
          <w:tcPr>
            <w:tcW w:w="961" w:type="dxa"/>
          </w:tcPr>
          <w:p>
            <w:pPr>
              <w:pStyle w:val="TableText"/>
              <w:jc w:val="right"/>
            </w:pPr>
            <w:r>
              <w:rPr>
                <w:sz w:val="17"/>
                <w:szCs w:val="17"/>
              </w:rPr>
              <w:t xml:space="preserve">10</w:t>
            </w:r>
          </w:p>
        </w:tc>
        <w:tc>
          <w:tcPr>
            <w:tcW w:w="1045" w:type="dxa"/>
          </w:tcPr>
          <w:p>
            <w:pPr>
              <w:pStyle w:val="TableText"/>
              <w:jc w:val="right"/>
            </w:pPr>
            <w:r>
              <w:rPr>
                <w:sz w:val="17"/>
                <w:szCs w:val="17"/>
              </w:rPr>
              <w:t xml:space="preserve">4</w:t>
            </w:r>
          </w:p>
        </w:tc>
        <w:tc>
          <w:tcPr>
            <w:tcW w:w="972" w:type="dxa"/>
          </w:tcPr>
          <w:p>
            <w:pPr>
              <w:pStyle w:val="TableText"/>
              <w:jc w:val="right"/>
            </w:pPr>
            <w:r>
              <w:rPr>
                <w:sz w:val="17"/>
                <w:szCs w:val="17"/>
              </w:rPr>
              <w:t xml:space="preserve">6</w:t>
            </w:r>
          </w:p>
        </w:tc>
        <w:tc>
          <w:tcPr>
            <w:tcW w:w="1080" w:type="dxa"/>
          </w:tcPr>
          <w:p>
            <w:pPr>
              <w:pStyle w:val="TableText"/>
              <w:jc w:val="right"/>
            </w:pPr>
            <w:r>
              <w:rPr>
                <w:sz w:val="17"/>
                <w:szCs w:val="17"/>
              </w:rPr>
              <w:t xml:space="preserve">0</w:t>
            </w:r>
          </w:p>
        </w:tc>
        <w:tc>
          <w:tcPr>
            <w:tcW w:w="964" w:type="dxa"/>
          </w:tcPr>
          <w:p>
            <w:pPr>
              <w:pStyle w:val="TableText"/>
              <w:jc w:val="right"/>
            </w:pPr>
            <w:r>
              <w:rPr>
                <w:sz w:val="17"/>
                <w:szCs w:val="17"/>
              </w:rPr>
              <w:t xml:space="preserve">0</w:t>
            </w:r>
          </w:p>
        </w:tc>
        <w:tc>
          <w:tcPr>
            <w:tcW w:w="1672" w:type="dxa"/>
          </w:tcPr>
          <w:p>
            <w:pPr>
              <w:pStyle w:val="TableText"/>
            </w:pPr>
            <w:r>
              <w:rPr>
                <w:sz w:val="17"/>
                <w:szCs w:val="17"/>
              </w:rPr>
              <w:t xml:space="preserve">Enabled</w:t>
            </w:r>
          </w:p>
        </w:tc>
      </w:tr>
      <w:tr>
        <w:trPr>
          <w:cantSplit/>
        </w:trPr>
        <w:tc>
          <w:tcPr>
            <w:tcW w:w="3058" w:type="dxa"/>
            <w:shd w:val="clear" w:color="auto" w:fill="F7F9FB"/>
          </w:tcPr>
          <w:p>
            <w:pPr>
              <w:pStyle w:val="TableText"/>
            </w:pPr>
            <w:r>
              <w:rPr>
                <w:b/>
                <w:bCs/>
                <w:sz w:val="17"/>
                <w:szCs w:val="17"/>
              </w:rPr>
              <w:t xml:space="preserve">O365_BUSINESS_PREMIUM</w:t>
            </w:r>
          </w:p>
        </w:tc>
        <w:tc>
          <w:tcPr>
            <w:tcW w:w="961" w:type="dxa"/>
            <w:shd w:val="clear" w:color="auto" w:fill="F7F9FB"/>
          </w:tcPr>
          <w:p>
            <w:pPr>
              <w:pStyle w:val="TableText"/>
              <w:jc w:val="right"/>
            </w:pPr>
            <w:r>
              <w:rPr>
                <w:sz w:val="17"/>
                <w:szCs w:val="17"/>
              </w:rPr>
              <w:t xml:space="preserve">20</w:t>
            </w:r>
          </w:p>
        </w:tc>
        <w:tc>
          <w:tcPr>
            <w:tcW w:w="1045" w:type="dxa"/>
            <w:shd w:val="clear" w:color="auto" w:fill="F7F9FB"/>
          </w:tcPr>
          <w:p>
            <w:pPr>
              <w:pStyle w:val="TableText"/>
              <w:jc w:val="right"/>
            </w:pPr>
            <w:r>
              <w:rPr>
                <w:sz w:val="17"/>
                <w:szCs w:val="17"/>
              </w:rPr>
              <w:t xml:space="preserve">20</w:t>
            </w:r>
          </w:p>
        </w:tc>
        <w:tc>
          <w:tcPr>
            <w:tcW w:w="972" w:type="dxa"/>
            <w:shd w:val="clear" w:color="auto" w:fill="F7F9FB"/>
          </w:tcPr>
          <w:p>
            <w:pPr>
              <w:pStyle w:val="TableText"/>
              <w:jc w:val="right"/>
            </w:pPr>
            <w:r>
              <w:rPr>
                <w:sz w:val="17"/>
                <w:szCs w:val="17"/>
              </w:rPr>
              <w:t xml:space="preserve">0</w:t>
            </w:r>
          </w:p>
        </w:tc>
        <w:tc>
          <w:tcPr>
            <w:tcW w:w="1080" w:type="dxa"/>
            <w:shd w:val="clear" w:color="auto" w:fill="F7F9FB"/>
          </w:tcPr>
          <w:p>
            <w:pPr>
              <w:pStyle w:val="TableText"/>
              <w:jc w:val="right"/>
            </w:pPr>
            <w:r>
              <w:rPr>
                <w:sz w:val="17"/>
                <w:szCs w:val="17"/>
              </w:rPr>
              <w:t xml:space="preserve">0</w:t>
            </w:r>
          </w:p>
        </w:tc>
        <w:tc>
          <w:tcPr>
            <w:tcW w:w="964" w:type="dxa"/>
            <w:shd w:val="clear" w:color="auto" w:fill="F7F9FB"/>
          </w:tcPr>
          <w:p>
            <w:pPr>
              <w:pStyle w:val="TableText"/>
              <w:jc w:val="right"/>
            </w:pPr>
            <w:r>
              <w:rPr>
                <w:sz w:val="17"/>
                <w:szCs w:val="17"/>
              </w:rPr>
              <w:t xml:space="preserve">0</w:t>
            </w:r>
          </w:p>
        </w:tc>
        <w:tc>
          <w:tcPr>
            <w:tcW w:w="1672" w:type="dxa"/>
            <w:shd w:val="clear" w:color="auto" w:fill="F7F9FB"/>
          </w:tcPr>
          <w:p>
            <w:pPr>
              <w:pStyle w:val="TableText"/>
            </w:pPr>
            <w:r>
              <w:rPr>
                <w:sz w:val="17"/>
                <w:szCs w:val="17"/>
              </w:rPr>
              <w:t xml:space="preserve">Enabled</w:t>
            </w:r>
          </w:p>
        </w:tc>
      </w:tr>
      <w:tr>
        <w:trPr>
          <w:cantSplit/>
        </w:trPr>
        <w:tc>
          <w:tcPr>
            <w:tcW w:w="3058" w:type="dxa"/>
          </w:tcPr>
          <w:p>
            <w:pPr>
              <w:pStyle w:val="TableText"/>
            </w:pPr>
            <w:r>
              <w:rPr>
                <w:b/>
                <w:bCs/>
                <w:sz w:val="17"/>
                <w:szCs w:val="17"/>
              </w:rPr>
              <w:t xml:space="preserve">SPE_E3</w:t>
            </w:r>
          </w:p>
        </w:tc>
        <w:tc>
          <w:tcPr>
            <w:tcW w:w="961" w:type="dxa"/>
          </w:tcPr>
          <w:p>
            <w:pPr>
              <w:pStyle w:val="TableText"/>
              <w:jc w:val="right"/>
            </w:pPr>
            <w:r>
              <w:rPr>
                <w:sz w:val="17"/>
                <w:szCs w:val="17"/>
              </w:rPr>
              <w:t xml:space="preserve">150</w:t>
            </w:r>
          </w:p>
        </w:tc>
        <w:tc>
          <w:tcPr>
            <w:tcW w:w="1045" w:type="dxa"/>
          </w:tcPr>
          <w:p>
            <w:pPr>
              <w:pStyle w:val="TableText"/>
              <w:jc w:val="right"/>
            </w:pPr>
            <w:r>
              <w:rPr>
                <w:sz w:val="17"/>
                <w:szCs w:val="17"/>
              </w:rPr>
              <w:t xml:space="preserve">141</w:t>
            </w:r>
          </w:p>
        </w:tc>
        <w:tc>
          <w:tcPr>
            <w:tcW w:w="972" w:type="dxa"/>
          </w:tcPr>
          <w:p>
            <w:pPr>
              <w:pStyle w:val="TableText"/>
              <w:jc w:val="right"/>
            </w:pPr>
            <w:r>
              <w:rPr>
                <w:sz w:val="17"/>
                <w:szCs w:val="17"/>
              </w:rPr>
              <w:t xml:space="preserve">9</w:t>
            </w:r>
          </w:p>
        </w:tc>
        <w:tc>
          <w:tcPr>
            <w:tcW w:w="1080" w:type="dxa"/>
          </w:tcPr>
          <w:p>
            <w:pPr>
              <w:pStyle w:val="TableText"/>
              <w:jc w:val="right"/>
            </w:pPr>
            <w:r>
              <w:rPr>
                <w:sz w:val="17"/>
                <w:szCs w:val="17"/>
              </w:rPr>
              <w:t xml:space="preserve">0</w:t>
            </w:r>
          </w:p>
        </w:tc>
        <w:tc>
          <w:tcPr>
            <w:tcW w:w="964" w:type="dxa"/>
          </w:tcPr>
          <w:p>
            <w:pPr>
              <w:pStyle w:val="TableText"/>
              <w:jc w:val="right"/>
            </w:pPr>
            <w:r>
              <w:rPr>
                <w:sz w:val="17"/>
                <w:szCs w:val="17"/>
              </w:rPr>
              <w:t xml:space="preserve">0</w:t>
            </w:r>
          </w:p>
        </w:tc>
        <w:tc>
          <w:tcPr>
            <w:tcW w:w="1672" w:type="dxa"/>
          </w:tcPr>
          <w:p>
            <w:pPr>
              <w:pStyle w:val="TableText"/>
            </w:pPr>
            <w:r>
              <w:rPr>
                <w:sz w:val="17"/>
                <w:szCs w:val="17"/>
              </w:rPr>
              <w:t xml:space="preserve">Enabled</w:t>
            </w:r>
          </w:p>
        </w:tc>
      </w:tr>
    </w:tbl>
    <w:p>
      <w:pPr>
        <w:spacing w:before="0" w:after="0" w:line="240" w:lineRule="auto"/>
        <w:rPr>
          <w:sz w:val="12"/>
          <w:szCs w:val="12"/>
        </w:rPr>
      </w:pPr>
    </w:p>
    <w:p>
      <w:pPr>
        <w:keepNext/>
        <w:spacing w:after="80"/>
      </w:pPr>
      <w:r>
        <w:rPr>
          <w:b/>
          <w:bCs/>
        </w:rPr>
        <w:t xml:space="preserve">Subscriptions (Microsoft 365 admin center)</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925"/>
        <w:gridCol w:w="1170"/>
        <w:gridCol w:w="975"/>
        <w:gridCol w:w="780"/>
        <w:gridCol w:w="1365"/>
        <w:gridCol w:w="1560"/>
        <w:gridCol w:w="977"/>
      </w:tblGrid>
      <w:tr>
        <w:trPr>
          <w:cantSplit/>
          <w:tblHeader/>
        </w:trPr>
        <w:tc>
          <w:tcPr>
            <w:tcW w:w="2925" w:type="dxa"/>
            <w:shd w:val="clear" w:color="auto" w:fill="1F3A5F"/>
            <w:vAlign w:val="bottom"/>
          </w:tcPr>
          <w:p>
            <w:pPr>
              <w:pStyle w:val="TableText"/>
              <w:keepNext/>
            </w:pPr>
            <w:r>
              <w:rPr>
                <w:b/>
                <w:bCs/>
                <w:color w:val="FFFFFF"/>
                <w:sz w:val="17"/>
                <w:szCs w:val="17"/>
              </w:rPr>
              <w:t xml:space="preserve">SKU (part number)</w:t>
            </w:r>
          </w:p>
        </w:tc>
        <w:tc>
          <w:tcPr>
            <w:tcW w:w="1170" w:type="dxa"/>
            <w:shd w:val="clear" w:color="auto" w:fill="1F3A5F"/>
            <w:vAlign w:val="bottom"/>
          </w:tcPr>
          <w:p>
            <w:pPr>
              <w:pStyle w:val="TableText"/>
              <w:keepNext/>
            </w:pPr>
            <w:r>
              <w:rPr>
                <w:b/>
                <w:bCs/>
                <w:color w:val="FFFFFF"/>
                <w:sz w:val="17"/>
                <w:szCs w:val="17"/>
              </w:rPr>
              <w:t xml:space="preserve">Status</w:t>
            </w:r>
          </w:p>
        </w:tc>
        <w:tc>
          <w:tcPr>
            <w:tcW w:w="975" w:type="dxa"/>
            <w:shd w:val="clear" w:color="auto" w:fill="1F3A5F"/>
            <w:vAlign w:val="bottom"/>
          </w:tcPr>
          <w:p>
            <w:pPr>
              <w:pStyle w:val="TableText"/>
              <w:keepNext/>
              <w:jc w:val="right"/>
            </w:pPr>
            <w:r>
              <w:rPr>
                <w:b/>
                <w:bCs/>
                <w:color w:val="FFFFFF"/>
                <w:sz w:val="17"/>
                <w:szCs w:val="17"/>
              </w:rPr>
              <w:t xml:space="preserve">Licenses</w:t>
            </w:r>
          </w:p>
        </w:tc>
        <w:tc>
          <w:tcPr>
            <w:tcW w:w="780" w:type="dxa"/>
            <w:shd w:val="clear" w:color="auto" w:fill="1F3A5F"/>
            <w:vAlign w:val="bottom"/>
          </w:tcPr>
          <w:p>
            <w:pPr>
              <w:pStyle w:val="TableText"/>
              <w:keepNext/>
            </w:pPr>
            <w:r>
              <w:rPr>
                <w:b/>
                <w:bCs/>
                <w:color w:val="FFFFFF"/>
                <w:sz w:val="17"/>
                <w:szCs w:val="17"/>
              </w:rPr>
              <w:t xml:space="preserve">Trial</w:t>
            </w:r>
          </w:p>
        </w:tc>
        <w:tc>
          <w:tcPr>
            <w:tcW w:w="1365" w:type="dxa"/>
            <w:shd w:val="clear" w:color="auto" w:fill="1F3A5F"/>
            <w:vAlign w:val="bottom"/>
          </w:tcPr>
          <w:p>
            <w:pPr>
              <w:pStyle w:val="TableText"/>
              <w:keepNext/>
            </w:pPr>
            <w:r>
              <w:rPr>
                <w:b/>
                <w:bCs/>
                <w:color w:val="FFFFFF"/>
                <w:sz w:val="17"/>
                <w:szCs w:val="17"/>
              </w:rPr>
              <w:t xml:space="preserve">Created</w:t>
            </w:r>
          </w:p>
        </w:tc>
        <w:tc>
          <w:tcPr>
            <w:tcW w:w="1560" w:type="dxa"/>
            <w:shd w:val="clear" w:color="auto" w:fill="1F3A5F"/>
            <w:vAlign w:val="bottom"/>
          </w:tcPr>
          <w:p>
            <w:pPr>
              <w:pStyle w:val="TableText"/>
              <w:keepNext/>
            </w:pPr>
            <w:r>
              <w:rPr>
                <w:b/>
                <w:bCs/>
                <w:color w:val="FFFFFF"/>
                <w:sz w:val="17"/>
                <w:szCs w:val="17"/>
              </w:rPr>
              <w:t xml:space="preserve">Next lifecycle</w:t>
            </w:r>
          </w:p>
        </w:tc>
        <w:tc>
          <w:tcPr>
            <w:tcW w:w="977" w:type="dxa"/>
            <w:shd w:val="clear" w:color="auto" w:fill="1F3A5F"/>
            <w:vAlign w:val="bottom"/>
          </w:tcPr>
          <w:p>
            <w:pPr>
              <w:pStyle w:val="TableText"/>
              <w:keepNext/>
            </w:pPr>
            <w:r>
              <w:rPr>
                <w:b/>
                <w:bCs/>
                <w:color w:val="FFFFFF"/>
                <w:sz w:val="17"/>
                <w:szCs w:val="17"/>
              </w:rPr>
              <w:t xml:space="preserve">Owner</w:t>
            </w:r>
          </w:p>
        </w:tc>
      </w:tr>
      <w:tr>
        <w:trPr>
          <w:cantSplit/>
        </w:trPr>
        <w:tc>
          <w:tcPr>
            <w:tcW w:w="2925" w:type="dxa"/>
          </w:tcPr>
          <w:p>
            <w:pPr>
              <w:pStyle w:val="TableText"/>
            </w:pPr>
            <w:r>
              <w:rPr>
                <w:b/>
                <w:bCs/>
                <w:sz w:val="17"/>
                <w:szCs w:val="17"/>
              </w:rPr>
              <w:t xml:space="preserve">ENTERPRISEPREMIUM</w:t>
            </w:r>
          </w:p>
        </w:tc>
        <w:tc>
          <w:tcPr>
            <w:tcW w:w="1170" w:type="dxa"/>
          </w:tcPr>
          <w:p>
            <w:pPr>
              <w:pStyle w:val="TableText"/>
            </w:pPr>
            <w:r>
              <w:rPr>
                <w:sz w:val="17"/>
                <w:szCs w:val="17"/>
              </w:rPr>
              <w:t xml:space="preserve">Enabled</w:t>
            </w:r>
          </w:p>
        </w:tc>
        <w:tc>
          <w:tcPr>
            <w:tcW w:w="975" w:type="dxa"/>
          </w:tcPr>
          <w:p>
            <w:pPr>
              <w:pStyle w:val="TableText"/>
              <w:jc w:val="right"/>
            </w:pPr>
            <w:r>
              <w:rPr>
                <w:sz w:val="17"/>
                <w:szCs w:val="17"/>
              </w:rPr>
              <w:t xml:space="preserve">10</w:t>
            </w:r>
          </w:p>
        </w:tc>
        <w:tc>
          <w:tcPr>
            <w:tcW w:w="780" w:type="dxa"/>
          </w:tcPr>
          <w:p>
            <w:pPr>
              <w:pStyle w:val="TableText"/>
            </w:pPr>
            <w:r>
              <w:rPr>
                <w:sz w:val="17"/>
                <w:szCs w:val="17"/>
              </w:rPr>
              <w:t xml:space="preserve">Yes</w:t>
            </w:r>
          </w:p>
        </w:tc>
        <w:tc>
          <w:tcPr>
            <w:tcW w:w="1365" w:type="dxa"/>
          </w:tcPr>
          <w:p>
            <w:pPr>
              <w:pStyle w:val="TableText"/>
            </w:pPr>
            <w:r>
              <w:rPr>
                <w:sz w:val="17"/>
                <w:szCs w:val="17"/>
              </w:rPr>
              <w:t xml:space="preserve">2026-09-12</w:t>
            </w:r>
          </w:p>
        </w:tc>
        <w:tc>
          <w:tcPr>
            <w:tcW w:w="1560" w:type="dxa"/>
          </w:tcPr>
          <w:p>
            <w:pPr>
              <w:pStyle w:val="TableText"/>
            </w:pPr>
            <w:r>
              <w:rPr>
                <w:sz w:val="17"/>
                <w:szCs w:val="17"/>
              </w:rPr>
              <w:t xml:space="preserve">2026-10-12</w:t>
            </w:r>
          </w:p>
        </w:tc>
        <w:tc>
          <w:tcPr>
            <w:tcW w:w="977" w:type="dxa"/>
          </w:tcPr>
          <w:p>
            <w:pPr>
              <w:pStyle w:val="TableText"/>
            </w:pPr>
            <w:r>
              <w:rPr>
                <w:sz w:val="17"/>
                <w:szCs w:val="17"/>
              </w:rPr>
              <w:t xml:space="preserve">Company</w:t>
            </w:r>
          </w:p>
        </w:tc>
      </w:tr>
      <w:tr>
        <w:trPr>
          <w:cantSplit/>
        </w:trPr>
        <w:tc>
          <w:tcPr>
            <w:tcW w:w="2925" w:type="dxa"/>
            <w:shd w:val="clear" w:color="auto" w:fill="F7F9FB"/>
          </w:tcPr>
          <w:p>
            <w:pPr>
              <w:pStyle w:val="TableText"/>
            </w:pPr>
            <w:r>
              <w:rPr>
                <w:b/>
                <w:bCs/>
                <w:sz w:val="17"/>
                <w:szCs w:val="17"/>
              </w:rPr>
              <w:t xml:space="preserve">O365_BUSINESS_PREMIUM</w:t>
            </w:r>
          </w:p>
        </w:tc>
        <w:tc>
          <w:tcPr>
            <w:tcW w:w="1170" w:type="dxa"/>
            <w:shd w:val="clear" w:color="auto" w:fill="F7F9FB"/>
          </w:tcPr>
          <w:p>
            <w:pPr>
              <w:pStyle w:val="TableText"/>
            </w:pPr>
            <w:r>
              <w:rPr>
                <w:sz w:val="17"/>
                <w:szCs w:val="17"/>
              </w:rPr>
              <w:t xml:space="preserve">Enabled</w:t>
            </w:r>
          </w:p>
        </w:tc>
        <w:tc>
          <w:tcPr>
            <w:tcW w:w="975" w:type="dxa"/>
            <w:shd w:val="clear" w:color="auto" w:fill="F7F9FB"/>
          </w:tcPr>
          <w:p>
            <w:pPr>
              <w:pStyle w:val="TableText"/>
              <w:jc w:val="right"/>
            </w:pPr>
            <w:r>
              <w:rPr>
                <w:sz w:val="17"/>
                <w:szCs w:val="17"/>
              </w:rPr>
              <w:t xml:space="preserve">20</w:t>
            </w:r>
          </w:p>
        </w:tc>
        <w:tc>
          <w:tcPr>
            <w:tcW w:w="780" w:type="dxa"/>
            <w:shd w:val="clear" w:color="auto" w:fill="F7F9FB"/>
          </w:tcPr>
          <w:p>
            <w:pPr>
              <w:pStyle w:val="TableText"/>
            </w:pPr>
            <w:r>
              <w:rPr>
                <w:sz w:val="17"/>
                <w:szCs w:val="17"/>
              </w:rPr>
              <w:t xml:space="preserve">No</w:t>
            </w:r>
          </w:p>
        </w:tc>
        <w:tc>
          <w:tcPr>
            <w:tcW w:w="1365" w:type="dxa"/>
            <w:shd w:val="clear" w:color="auto" w:fill="F7F9FB"/>
          </w:tcPr>
          <w:p>
            <w:pPr>
              <w:pStyle w:val="TableText"/>
            </w:pPr>
            <w:r>
              <w:rPr>
                <w:sz w:val="17"/>
                <w:szCs w:val="17"/>
              </w:rPr>
              <w:t xml:space="preserve">2026-06-02</w:t>
            </w:r>
          </w:p>
        </w:tc>
        <w:tc>
          <w:tcPr>
            <w:tcW w:w="1560" w:type="dxa"/>
            <w:shd w:val="clear" w:color="auto" w:fill="F7F9FB"/>
          </w:tcPr>
          <w:p>
            <w:pPr>
              <w:pStyle w:val="TableText"/>
            </w:pPr>
            <w:r>
              <w:rPr>
                <w:sz w:val="17"/>
                <w:szCs w:val="17"/>
              </w:rPr>
              <w:t xml:space="preserve">2027-06-02</w:t>
            </w:r>
          </w:p>
        </w:tc>
        <w:tc>
          <w:tcPr>
            <w:tcW w:w="977" w:type="dxa"/>
            <w:shd w:val="clear" w:color="auto" w:fill="F7F9FB"/>
          </w:tcPr>
          <w:p>
            <w:pPr>
              <w:pStyle w:val="TableText"/>
            </w:pPr>
            <w:r>
              <w:rPr>
                <w:sz w:val="17"/>
                <w:szCs w:val="17"/>
              </w:rPr>
              <w:t xml:space="preserve">Company</w:t>
            </w:r>
          </w:p>
        </w:tc>
      </w:tr>
      <w:tr>
        <w:trPr>
          <w:cantSplit/>
        </w:trPr>
        <w:tc>
          <w:tcPr>
            <w:tcW w:w="2925" w:type="dxa"/>
          </w:tcPr>
          <w:p>
            <w:pPr>
              <w:pStyle w:val="TableText"/>
            </w:pPr>
            <w:r>
              <w:rPr>
                <w:b/>
                <w:bCs/>
                <w:sz w:val="17"/>
                <w:szCs w:val="17"/>
              </w:rPr>
              <w:t xml:space="preserve">SPE_E3</w:t>
            </w:r>
          </w:p>
        </w:tc>
        <w:tc>
          <w:tcPr>
            <w:tcW w:w="1170" w:type="dxa"/>
          </w:tcPr>
          <w:p>
            <w:pPr>
              <w:pStyle w:val="TableText"/>
            </w:pPr>
            <w:r>
              <w:rPr>
                <w:sz w:val="17"/>
                <w:szCs w:val="17"/>
              </w:rPr>
              <w:t xml:space="preserve">Enabled</w:t>
            </w:r>
          </w:p>
        </w:tc>
        <w:tc>
          <w:tcPr>
            <w:tcW w:w="975" w:type="dxa"/>
          </w:tcPr>
          <w:p>
            <w:pPr>
              <w:pStyle w:val="TableText"/>
              <w:jc w:val="right"/>
            </w:pPr>
            <w:r>
              <w:rPr>
                <w:sz w:val="17"/>
                <w:szCs w:val="17"/>
              </w:rPr>
              <w:t xml:space="preserve">150</w:t>
            </w:r>
          </w:p>
        </w:tc>
        <w:tc>
          <w:tcPr>
            <w:tcW w:w="780" w:type="dxa"/>
          </w:tcPr>
          <w:p>
            <w:pPr>
              <w:pStyle w:val="TableText"/>
            </w:pPr>
            <w:r>
              <w:rPr>
                <w:sz w:val="17"/>
                <w:szCs w:val="17"/>
              </w:rPr>
              <w:t xml:space="preserve">No</w:t>
            </w:r>
          </w:p>
        </w:tc>
        <w:tc>
          <w:tcPr>
            <w:tcW w:w="1365" w:type="dxa"/>
          </w:tcPr>
          <w:p>
            <w:pPr>
              <w:pStyle w:val="TableText"/>
            </w:pPr>
            <w:r>
              <w:rPr>
                <w:sz w:val="17"/>
                <w:szCs w:val="17"/>
              </w:rPr>
              <w:t xml:space="preserve">2025-11-02</w:t>
            </w:r>
          </w:p>
        </w:tc>
        <w:tc>
          <w:tcPr>
            <w:tcW w:w="1560" w:type="dxa"/>
          </w:tcPr>
          <w:p>
            <w:pPr>
              <w:pStyle w:val="TableText"/>
            </w:pPr>
            <w:r>
              <w:rPr>
                <w:sz w:val="17"/>
                <w:szCs w:val="17"/>
              </w:rPr>
              <w:t xml:space="preserve">2026-11-16</w:t>
            </w:r>
          </w:p>
        </w:tc>
        <w:tc>
          <w:tcPr>
            <w:tcW w:w="977" w:type="dxa"/>
          </w:tcPr>
          <w:p>
            <w:pPr>
              <w:pStyle w:val="TableText"/>
            </w:pPr>
            <w:r>
              <w:rPr>
                <w:sz w:val="17"/>
                <w:szCs w:val="17"/>
              </w:rPr>
              <w:t xml:space="preserve">Company</w:t>
            </w:r>
          </w:p>
        </w:tc>
      </w:tr>
    </w:tbl>
    <w:p>
      <w:pPr>
        <w:spacing w:before="0" w:after="0" w:line="240" w:lineRule="auto"/>
        <w:rPr>
          <w:sz w:val="12"/>
          <w:szCs w:val="12"/>
        </w:rPr>
      </w:pPr>
    </w:p>
    <w:p>
      <w:pPr>
        <w:keepNext/>
        <w:spacing w:after="80"/>
      </w:pPr>
      <w:r>
        <w:rPr>
          <w:b/>
          <w:bCs/>
        </w:rPr>
        <w:t xml:space="preserve">Billing products (Microsoft Customer Agreement)</w:t>
      </w:r>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924"/>
        <w:gridCol w:w="1365"/>
        <w:gridCol w:w="880"/>
        <w:gridCol w:w="1170"/>
        <w:gridCol w:w="1170"/>
        <w:gridCol w:w="1170"/>
        <w:gridCol w:w="1073"/>
      </w:tblGrid>
      <w:tr>
        <w:trPr>
          <w:cantSplit/>
          <w:tblHeader/>
        </w:trPr>
        <w:tc>
          <w:tcPr>
            <w:tcW w:w="2924" w:type="dxa"/>
            <w:shd w:val="clear" w:color="auto" w:fill="1F3A5F"/>
            <w:vAlign w:val="bottom"/>
          </w:tcPr>
          <w:p>
            <w:pPr>
              <w:pStyle w:val="TableText"/>
              <w:keepNext/>
            </w:pPr>
            <w:r>
              <w:rPr>
                <w:b/>
                <w:bCs/>
                <w:color w:val="FFFFFF"/>
                <w:sz w:val="17"/>
                <w:szCs w:val="17"/>
              </w:rPr>
              <w:t xml:space="preserve">Product</w:t>
            </w:r>
          </w:p>
        </w:tc>
        <w:tc>
          <w:tcPr>
            <w:tcW w:w="1365" w:type="dxa"/>
            <w:shd w:val="clear" w:color="auto" w:fill="1F3A5F"/>
            <w:vAlign w:val="bottom"/>
          </w:tcPr>
          <w:p>
            <w:pPr>
              <w:pStyle w:val="TableText"/>
              <w:keepNext/>
            </w:pPr>
            <w:r>
              <w:rPr>
                <w:b/>
                <w:bCs/>
                <w:color w:val="FFFFFF"/>
                <w:sz w:val="17"/>
                <w:szCs w:val="17"/>
              </w:rPr>
              <w:t xml:space="preserve">Type</w:t>
            </w:r>
          </w:p>
        </w:tc>
        <w:tc>
          <w:tcPr>
            <w:tcW w:w="880" w:type="dxa"/>
            <w:shd w:val="clear" w:color="auto" w:fill="1F3A5F"/>
            <w:vAlign w:val="bottom"/>
          </w:tcPr>
          <w:p>
            <w:pPr>
              <w:pStyle w:val="TableText"/>
              <w:keepNext/>
              <w:jc w:val="right"/>
            </w:pPr>
            <w:r>
              <w:rPr>
                <w:b/>
                <w:bCs/>
                <w:color w:val="FFFFFF"/>
                <w:sz w:val="17"/>
                <w:szCs w:val="17"/>
              </w:rPr>
              <w:t xml:space="preserve">Quantity</w:t>
            </w:r>
          </w:p>
        </w:tc>
        <w:tc>
          <w:tcPr>
            <w:tcW w:w="1170" w:type="dxa"/>
            <w:shd w:val="clear" w:color="auto" w:fill="1F3A5F"/>
            <w:vAlign w:val="bottom"/>
          </w:tcPr>
          <w:p>
            <w:pPr>
              <w:pStyle w:val="TableText"/>
              <w:keepNext/>
            </w:pPr>
            <w:r>
              <w:rPr>
                <w:b/>
                <w:bCs/>
                <w:color w:val="FFFFFF"/>
                <w:sz w:val="17"/>
                <w:szCs w:val="17"/>
              </w:rPr>
              <w:t xml:space="preserve">Status</w:t>
            </w:r>
          </w:p>
        </w:tc>
        <w:tc>
          <w:tcPr>
            <w:tcW w:w="1170" w:type="dxa"/>
            <w:shd w:val="clear" w:color="auto" w:fill="1F3A5F"/>
            <w:vAlign w:val="bottom"/>
          </w:tcPr>
          <w:p>
            <w:pPr>
              <w:pStyle w:val="TableText"/>
              <w:keepNext/>
            </w:pPr>
            <w:r>
              <w:rPr>
                <w:b/>
                <w:bCs/>
                <w:color w:val="FFFFFF"/>
                <w:sz w:val="17"/>
                <w:szCs w:val="17"/>
              </w:rPr>
              <w:t xml:space="preserve">Start</w:t>
            </w:r>
          </w:p>
        </w:tc>
        <w:tc>
          <w:tcPr>
            <w:tcW w:w="1170" w:type="dxa"/>
            <w:shd w:val="clear" w:color="auto" w:fill="1F3A5F"/>
            <w:vAlign w:val="bottom"/>
          </w:tcPr>
          <w:p>
            <w:pPr>
              <w:pStyle w:val="TableText"/>
              <w:keepNext/>
            </w:pPr>
            <w:r>
              <w:rPr>
                <w:b/>
                <w:bCs/>
                <w:color w:val="FFFFFF"/>
                <w:sz w:val="17"/>
                <w:szCs w:val="17"/>
              </w:rPr>
              <w:t xml:space="preserve">End</w:t>
            </w:r>
          </w:p>
        </w:tc>
        <w:tc>
          <w:tcPr>
            <w:tcW w:w="1073" w:type="dxa"/>
            <w:shd w:val="clear" w:color="auto" w:fill="1F3A5F"/>
            <w:vAlign w:val="bottom"/>
          </w:tcPr>
          <w:p>
            <w:pPr>
              <w:pStyle w:val="TableText"/>
              <w:keepNext/>
            </w:pPr>
            <w:r>
              <w:rPr>
                <w:b/>
                <w:bCs/>
                <w:color w:val="FFFFFF"/>
                <w:sz w:val="17"/>
                <w:szCs w:val="17"/>
              </w:rPr>
              <w:t xml:space="preserve">Auto-renew</w:t>
            </w:r>
          </w:p>
        </w:tc>
      </w:tr>
      <w:tr>
        <w:trPr>
          <w:cantSplit/>
        </w:trPr>
        <w:tc>
          <w:tcPr>
            <w:tcW w:w="2924" w:type="dxa"/>
          </w:tcPr>
          <w:p>
            <w:pPr>
              <w:pStyle w:val="TableText"/>
            </w:pPr>
            <w:r>
              <w:rPr>
                <w:b/>
                <w:bCs/>
                <w:sz w:val="17"/>
                <w:szCs w:val="17"/>
              </w:rPr>
              <w:t xml:space="preserve">Visio Plan 2</w:t>
            </w:r>
          </w:p>
        </w:tc>
        <w:tc>
          <w:tcPr>
            <w:tcW w:w="1365" w:type="dxa"/>
          </w:tcPr>
          <w:p>
            <w:pPr>
              <w:pStyle w:val="TableText"/>
            </w:pPr>
            <w:r>
              <w:rPr>
                <w:sz w:val="17"/>
                <w:szCs w:val="17"/>
              </w:rPr>
              <w:t xml:space="preserve">Subscription</w:t>
            </w:r>
          </w:p>
        </w:tc>
        <w:tc>
          <w:tcPr>
            <w:tcW w:w="880" w:type="dxa"/>
          </w:tcPr>
          <w:p>
            <w:pPr>
              <w:pStyle w:val="TableText"/>
              <w:jc w:val="right"/>
            </w:pPr>
            <w:r>
              <w:rPr>
                <w:sz w:val="17"/>
                <w:szCs w:val="17"/>
              </w:rPr>
              <w:t xml:space="preserve">3</w:t>
            </w:r>
          </w:p>
        </w:tc>
        <w:tc>
          <w:tcPr>
            <w:tcW w:w="1170" w:type="dxa"/>
          </w:tcPr>
          <w:p>
            <w:pPr>
              <w:pStyle w:val="TableText"/>
            </w:pPr>
            <w:r>
              <w:rPr>
                <w:sz w:val="17"/>
                <w:szCs w:val="17"/>
              </w:rPr>
              <w:t xml:space="preserve">Active</w:t>
            </w:r>
          </w:p>
        </w:tc>
        <w:tc>
          <w:tcPr>
            <w:tcW w:w="1170" w:type="dxa"/>
          </w:tcPr>
          <w:p>
            <w:pPr>
              <w:pStyle w:val="TableText"/>
            </w:pPr>
            <w:r>
              <w:rPr>
                <w:sz w:val="17"/>
                <w:szCs w:val="17"/>
              </w:rPr>
              <w:t xml:space="preserve">2026-04-02</w:t>
            </w:r>
          </w:p>
        </w:tc>
        <w:tc>
          <w:tcPr>
            <w:tcW w:w="1170" w:type="dxa"/>
          </w:tcPr>
          <w:p>
            <w:pPr>
              <w:pStyle w:val="TableText"/>
            </w:pPr>
            <w:r>
              <w:rPr>
                <w:sz w:val="17"/>
                <w:szCs w:val="17"/>
              </w:rPr>
              <w:t xml:space="preserve">2027-04-02</w:t>
            </w:r>
          </w:p>
        </w:tc>
        <w:tc>
          <w:tcPr>
            <w:tcW w:w="1073" w:type="dxa"/>
          </w:tcPr>
          <w:p>
            <w:pPr>
              <w:pStyle w:val="TableText"/>
            </w:pPr>
            <w:r>
              <w:rPr>
                <w:sz w:val="17"/>
                <w:szCs w:val="17"/>
              </w:rPr>
              <w:t xml:space="preserve">On</w:t>
            </w:r>
          </w:p>
        </w:tc>
      </w:tr>
    </w:tbl>
    <w:p>
      <w:pPr>
        <w:spacing w:before="0" w:after="0" w:line="240" w:lineRule="auto"/>
        <w:rPr>
          <w:sz w:val="12"/>
          <w:szCs w:val="12"/>
        </w:rPr>
      </w:pPr>
    </w:p>
    <w:p>
      <w:pPr>
        <w:pStyle w:val="Heading2"/>
      </w:pPr>
      <w:bookmarkStart w:id="135" w:name="_TocMlat00135"/>
      <w:r>
        <w:t xml:space="preserve">Customer license inventory</w:t>
      </w:r>
      <w:bookmarkEnd w:id="135"/>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452"/>
        <w:gridCol w:w="1242"/>
        <w:gridCol w:w="1051"/>
        <w:gridCol w:w="938"/>
        <w:gridCol w:w="1348"/>
        <w:gridCol w:w="814"/>
        <w:gridCol w:w="579"/>
        <w:gridCol w:w="1328"/>
      </w:tblGrid>
      <w:tr>
        <w:trPr>
          <w:cantSplit/>
          <w:tblHeader/>
        </w:trPr>
        <w:tc>
          <w:tcPr>
            <w:tcW w:w="2452" w:type="dxa"/>
            <w:shd w:val="clear" w:color="auto" w:fill="1F3A5F"/>
            <w:vAlign w:val="bottom"/>
          </w:tcPr>
          <w:p>
            <w:pPr>
              <w:pStyle w:val="TableText"/>
              <w:keepNext/>
            </w:pPr>
            <w:r>
              <w:rPr>
                <w:b/>
                <w:bCs/>
                <w:color w:val="FFFFFF"/>
                <w:sz w:val="17"/>
                <w:szCs w:val="17"/>
              </w:rPr>
              <w:t xml:space="preserve">License</w:t>
            </w:r>
          </w:p>
        </w:tc>
        <w:tc>
          <w:tcPr>
            <w:tcW w:w="1242" w:type="dxa"/>
            <w:shd w:val="clear" w:color="auto" w:fill="1F3A5F"/>
            <w:vAlign w:val="bottom"/>
          </w:tcPr>
          <w:p>
            <w:pPr>
              <w:pStyle w:val="TableText"/>
              <w:keepNext/>
            </w:pPr>
            <w:r>
              <w:rPr>
                <w:b/>
                <w:bCs/>
                <w:color w:val="FFFFFF"/>
                <w:sz w:val="17"/>
                <w:szCs w:val="17"/>
              </w:rPr>
              <w:t xml:space="preserve">SKU</w:t>
            </w:r>
          </w:p>
        </w:tc>
        <w:tc>
          <w:tcPr>
            <w:tcW w:w="1051" w:type="dxa"/>
            <w:shd w:val="clear" w:color="auto" w:fill="1F3A5F"/>
            <w:vAlign w:val="bottom"/>
          </w:tcPr>
          <w:p>
            <w:pPr>
              <w:pStyle w:val="TableText"/>
              <w:keepNext/>
              <w:jc w:val="right"/>
            </w:pPr>
            <w:r>
              <w:rPr>
                <w:b/>
                <w:bCs/>
                <w:color w:val="FFFFFF"/>
                <w:sz w:val="17"/>
                <w:szCs w:val="17"/>
              </w:rPr>
              <w:t xml:space="preserve">Purchased</w:t>
            </w:r>
          </w:p>
        </w:tc>
        <w:tc>
          <w:tcPr>
            <w:tcW w:w="938" w:type="dxa"/>
            <w:shd w:val="clear" w:color="auto" w:fill="1F3A5F"/>
            <w:vAlign w:val="bottom"/>
          </w:tcPr>
          <w:p>
            <w:pPr>
              <w:pStyle w:val="TableText"/>
              <w:keepNext/>
              <w:jc w:val="right"/>
            </w:pPr>
            <w:r>
              <w:rPr>
                <w:b/>
                <w:bCs/>
                <w:color w:val="FFFFFF"/>
                <w:sz w:val="17"/>
                <w:szCs w:val="17"/>
              </w:rPr>
              <w:t xml:space="preserve">Assigned</w:t>
            </w:r>
          </w:p>
        </w:tc>
        <w:tc>
          <w:tcPr>
            <w:tcW w:w="1348" w:type="dxa"/>
            <w:shd w:val="clear" w:color="auto" w:fill="1F3A5F"/>
            <w:vAlign w:val="bottom"/>
          </w:tcPr>
          <w:p>
            <w:pPr>
              <w:pStyle w:val="TableText"/>
              <w:keepNext/>
            </w:pPr>
            <w:r>
              <w:rPr>
                <w:b/>
                <w:bCs/>
                <w:color w:val="FFFFFF"/>
                <w:sz w:val="17"/>
                <w:szCs w:val="17"/>
              </w:rPr>
              <w:t xml:space="preserve">Agreement</w:t>
            </w:r>
          </w:p>
        </w:tc>
        <w:tc>
          <w:tcPr>
            <w:tcW w:w="814" w:type="dxa"/>
            <w:shd w:val="clear" w:color="auto" w:fill="1F3A5F"/>
            <w:vAlign w:val="bottom"/>
          </w:tcPr>
          <w:p>
            <w:pPr>
              <w:pStyle w:val="TableText"/>
              <w:keepNext/>
            </w:pPr>
            <w:r>
              <w:rPr>
                <w:b/>
                <w:bCs/>
                <w:color w:val="FFFFFF"/>
                <w:sz w:val="17"/>
                <w:szCs w:val="17"/>
              </w:rPr>
              <w:t xml:space="preserve">Version</w:t>
            </w:r>
          </w:p>
        </w:tc>
        <w:tc>
          <w:tcPr>
            <w:tcW w:w="579" w:type="dxa"/>
            <w:shd w:val="clear" w:color="auto" w:fill="1F3A5F"/>
            <w:vAlign w:val="bottom"/>
          </w:tcPr>
          <w:p>
            <w:pPr>
              <w:pStyle w:val="TableText"/>
              <w:keepNext/>
            </w:pPr>
            <w:r>
              <w:rPr>
                <w:b/>
                <w:bCs/>
                <w:color w:val="FFFFFF"/>
                <w:sz w:val="17"/>
                <w:szCs w:val="17"/>
              </w:rPr>
              <w:t xml:space="preserve">SA</w:t>
            </w:r>
          </w:p>
        </w:tc>
        <w:tc>
          <w:tcPr>
            <w:tcW w:w="1328" w:type="dxa"/>
            <w:shd w:val="clear" w:color="auto" w:fill="1F3A5F"/>
            <w:vAlign w:val="bottom"/>
          </w:tcPr>
          <w:p>
            <w:pPr>
              <w:pStyle w:val="TableText"/>
              <w:keepNext/>
            </w:pPr>
            <w:r>
              <w:rPr>
                <w:b/>
                <w:bCs/>
                <w:color w:val="FFFFFF"/>
                <w:sz w:val="17"/>
                <w:szCs w:val="17"/>
              </w:rPr>
              <w:t xml:space="preserve">Source</w:t>
            </w:r>
          </w:p>
        </w:tc>
      </w:tr>
      <w:tr>
        <w:trPr>
          <w:cantSplit/>
        </w:trPr>
        <w:tc>
          <w:tcPr>
            <w:tcW w:w="2452" w:type="dxa"/>
          </w:tcPr>
          <w:p>
            <w:pPr>
              <w:pStyle w:val="TableText"/>
            </w:pPr>
            <w:r>
              <w:rPr>
                <w:b/>
                <w:bCs/>
                <w:sz w:val="17"/>
                <w:szCs w:val="17"/>
              </w:rPr>
              <w:t xml:space="preserve">Windows Server 2022 Datacenter - 16 core pack x3</w:t>
            </w:r>
          </w:p>
        </w:tc>
        <w:tc>
          <w:tcPr>
            <w:tcW w:w="1242" w:type="dxa"/>
          </w:tcPr>
          <w:p>
            <w:pPr>
              <w:pStyle w:val="TableText"/>
            </w:pPr>
            <w:r>
              <w:rPr>
                <w:sz w:val="15"/>
                <w:szCs w:val="15"/>
              </w:rPr>
              <w:t xml:space="preserve">WS-DC-CORE</w:t>
            </w:r>
          </w:p>
        </w:tc>
        <w:tc>
          <w:tcPr>
            <w:tcW w:w="1051" w:type="dxa"/>
          </w:tcPr>
          <w:p>
            <w:pPr>
              <w:pStyle w:val="TableText"/>
              <w:jc w:val="right"/>
            </w:pPr>
            <w:r>
              <w:rPr>
                <w:sz w:val="17"/>
                <w:szCs w:val="17"/>
              </w:rPr>
              <w:t xml:space="preserve">48</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EA 12345678</w:t>
            </w:r>
          </w:p>
        </w:tc>
        <w:tc>
          <w:tcPr>
            <w:tcW w:w="814" w:type="dxa"/>
          </w:tcPr>
          <w:p>
            <w:pPr>
              <w:pStyle w:val="TableText"/>
            </w:pPr>
            <w:r>
              <w:rPr>
                <w:sz w:val="17"/>
                <w:szCs w:val="17"/>
              </w:rPr>
              <w:t xml:space="preserve">2022</w:t>
            </w:r>
          </w:p>
        </w:tc>
        <w:tc>
          <w:tcPr>
            <w:tcW w:w="579" w:type="dxa"/>
          </w:tcPr>
          <w:p>
            <w:pPr>
              <w:pStyle w:val="TableText"/>
            </w:pPr>
            <w:r>
              <w:rPr>
                <w:sz w:val="17"/>
                <w:szCs w:val="17"/>
              </w:rPr>
              <w:t xml:space="preserve">Yes</w:t>
            </w:r>
          </w:p>
        </w:tc>
        <w:tc>
          <w:tcPr>
            <w:tcW w:w="1328" w:type="dxa"/>
          </w:tcPr>
          <w:p>
            <w:pPr>
              <w:pStyle w:val="TableText"/>
            </w:pPr>
            <w:r>
              <w:rPr>
                <w:sz w:val="17"/>
                <w:szCs w:val="17"/>
              </w:rPr>
              <w:t xml:space="preserve">Excel</w:t>
            </w:r>
          </w:p>
        </w:tc>
      </w:tr>
      <w:tr>
        <w:trPr>
          <w:cantSplit/>
        </w:trPr>
        <w:tc>
          <w:tcPr>
            <w:tcW w:w="2452" w:type="dxa"/>
            <w:shd w:val="clear" w:color="auto" w:fill="F7F9FB"/>
          </w:tcPr>
          <w:p>
            <w:pPr>
              <w:pStyle w:val="TableText"/>
            </w:pPr>
            <w:r>
              <w:rPr>
                <w:b/>
                <w:bCs/>
                <w:sz w:val="17"/>
                <w:szCs w:val="17"/>
              </w:rPr>
              <w:t xml:space="preserve">Windows Server 2019 Standard - core licenses</w:t>
            </w:r>
          </w:p>
        </w:tc>
        <w:tc>
          <w:tcPr>
            <w:tcW w:w="1242" w:type="dxa"/>
            <w:shd w:val="clear" w:color="auto" w:fill="F7F9FB"/>
          </w:tcPr>
          <w:p>
            <w:pPr>
              <w:pStyle w:val="TableText"/>
            </w:pPr>
            <w:r>
              <w:rPr>
                <w:sz w:val="15"/>
                <w:szCs w:val="15"/>
              </w:rPr>
              <w:t xml:space="preserve">WS-STD-CORE</w:t>
            </w:r>
          </w:p>
        </w:tc>
        <w:tc>
          <w:tcPr>
            <w:tcW w:w="1051" w:type="dxa"/>
            <w:shd w:val="clear" w:color="auto" w:fill="F7F9FB"/>
          </w:tcPr>
          <w:p>
            <w:pPr>
              <w:pStyle w:val="TableText"/>
              <w:jc w:val="right"/>
            </w:pPr>
            <w:r>
              <w:rPr>
                <w:sz w:val="17"/>
                <w:szCs w:val="17"/>
              </w:rPr>
              <w:t xml:space="preserve">32</w:t>
            </w:r>
          </w:p>
        </w:tc>
        <w:tc>
          <w:tcPr>
            <w:tcW w:w="938" w:type="dxa"/>
            <w:shd w:val="clear" w:color="auto" w:fill="F7F9FB"/>
          </w:tcPr>
          <w:p>
            <w:pPr>
              <w:pStyle w:val="TableText"/>
              <w:jc w:val="right"/>
            </w:pPr>
            <w:r>
              <w:rPr>
                <w:sz w:val="17"/>
                <w:szCs w:val="17"/>
              </w:rPr>
              <w:t xml:space="preserve">–</w:t>
            </w:r>
          </w:p>
        </w:tc>
        <w:tc>
          <w:tcPr>
            <w:tcW w:w="1348" w:type="dxa"/>
            <w:shd w:val="clear" w:color="auto" w:fill="F7F9FB"/>
          </w:tcPr>
          <w:p>
            <w:pPr>
              <w:pStyle w:val="TableText"/>
            </w:pPr>
            <w:r>
              <w:rPr>
                <w:sz w:val="17"/>
                <w:szCs w:val="17"/>
              </w:rPr>
              <w:t xml:space="preserve">Open License 87654321</w:t>
            </w:r>
          </w:p>
        </w:tc>
        <w:tc>
          <w:tcPr>
            <w:tcW w:w="814" w:type="dxa"/>
            <w:shd w:val="clear" w:color="auto" w:fill="F7F9FB"/>
          </w:tcPr>
          <w:p>
            <w:pPr>
              <w:pStyle w:val="TableText"/>
            </w:pPr>
            <w:r>
              <w:rPr>
                <w:sz w:val="17"/>
                <w:szCs w:val="17"/>
              </w:rPr>
              <w:t xml:space="preserve">2019</w:t>
            </w:r>
          </w:p>
        </w:tc>
        <w:tc>
          <w:tcPr>
            <w:tcW w:w="579" w:type="dxa"/>
            <w:shd w:val="clear" w:color="auto" w:fill="F7F9FB"/>
          </w:tcPr>
          <w:p>
            <w:pPr>
              <w:pStyle w:val="TableText"/>
            </w:pPr>
            <w:r>
              <w:rPr>
                <w:sz w:val="17"/>
                <w:szCs w:val="17"/>
              </w:rPr>
              <w:t xml:space="preserve">No</w:t>
            </w:r>
          </w:p>
        </w:tc>
        <w:tc>
          <w:tcPr>
            <w:tcW w:w="1328" w:type="dxa"/>
            <w:shd w:val="clear" w:color="auto" w:fill="F7F9FB"/>
          </w:tcPr>
          <w:p>
            <w:pPr>
              <w:pStyle w:val="TableText"/>
            </w:pPr>
            <w:r>
              <w:rPr>
                <w:sz w:val="17"/>
                <w:szCs w:val="17"/>
              </w:rPr>
              <w:t xml:space="preserve">Excel</w:t>
            </w:r>
          </w:p>
        </w:tc>
      </w:tr>
      <w:tr>
        <w:trPr>
          <w:cantSplit/>
        </w:trPr>
        <w:tc>
          <w:tcPr>
            <w:tcW w:w="2452" w:type="dxa"/>
          </w:tcPr>
          <w:p>
            <w:pPr>
              <w:pStyle w:val="TableText"/>
            </w:pPr>
            <w:r>
              <w:rPr>
                <w:b/>
                <w:bCs/>
                <w:sz w:val="17"/>
                <w:szCs w:val="17"/>
              </w:rPr>
              <w:t xml:space="preserve">Windows Server 2019 CAL - User</w:t>
            </w:r>
          </w:p>
        </w:tc>
        <w:tc>
          <w:tcPr>
            <w:tcW w:w="1242" w:type="dxa"/>
          </w:tcPr>
          <w:p>
            <w:pPr>
              <w:pStyle w:val="TableText"/>
            </w:pPr>
            <w:r>
              <w:rPr>
                <w:sz w:val="15"/>
                <w:szCs w:val="15"/>
              </w:rPr>
              <w:t xml:space="preserve">WS-CAL-USER</w:t>
            </w:r>
          </w:p>
        </w:tc>
        <w:tc>
          <w:tcPr>
            <w:tcW w:w="1051" w:type="dxa"/>
          </w:tcPr>
          <w:p>
            <w:pPr>
              <w:pStyle w:val="TableText"/>
              <w:jc w:val="right"/>
            </w:pPr>
            <w:r>
              <w:rPr>
                <w:sz w:val="17"/>
                <w:szCs w:val="17"/>
              </w:rPr>
              <w:t xml:space="preserve">100</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Open License 87654321</w:t>
            </w:r>
          </w:p>
        </w:tc>
        <w:tc>
          <w:tcPr>
            <w:tcW w:w="814" w:type="dxa"/>
          </w:tcPr>
          <w:p>
            <w:pPr>
              <w:pStyle w:val="TableText"/>
            </w:pPr>
            <w:r>
              <w:rPr>
                <w:sz w:val="17"/>
                <w:szCs w:val="17"/>
              </w:rPr>
              <w:t xml:space="preserve">2019</w:t>
            </w:r>
          </w:p>
        </w:tc>
        <w:tc>
          <w:tcPr>
            <w:tcW w:w="579" w:type="dxa"/>
          </w:tcPr>
          <w:p>
            <w:pPr>
              <w:pStyle w:val="TableText"/>
            </w:pPr>
            <w:r>
              <w:rPr>
                <w:sz w:val="17"/>
                <w:szCs w:val="17"/>
              </w:rPr>
              <w:t xml:space="preserve">No</w:t>
            </w:r>
          </w:p>
        </w:tc>
        <w:tc>
          <w:tcPr>
            <w:tcW w:w="1328" w:type="dxa"/>
          </w:tcPr>
          <w:p>
            <w:pPr>
              <w:pStyle w:val="TableText"/>
            </w:pPr>
            <w:r>
              <w:rPr>
                <w:sz w:val="17"/>
                <w:szCs w:val="17"/>
              </w:rPr>
              <w:t xml:space="preserve">Excel</w:t>
            </w:r>
          </w:p>
        </w:tc>
      </w:tr>
      <w:tr>
        <w:trPr>
          <w:cantSplit/>
        </w:trPr>
        <w:tc>
          <w:tcPr>
            <w:tcW w:w="2452" w:type="dxa"/>
            <w:shd w:val="clear" w:color="auto" w:fill="F7F9FB"/>
          </w:tcPr>
          <w:p>
            <w:pPr>
              <w:pStyle w:val="TableText"/>
            </w:pPr>
            <w:r>
              <w:rPr>
                <w:b/>
                <w:bCs/>
                <w:sz w:val="17"/>
                <w:szCs w:val="17"/>
              </w:rPr>
              <w:t xml:space="preserve">RDS 2019 CAL - User</w:t>
            </w:r>
          </w:p>
        </w:tc>
        <w:tc>
          <w:tcPr>
            <w:tcW w:w="1242" w:type="dxa"/>
            <w:shd w:val="clear" w:color="auto" w:fill="F7F9FB"/>
          </w:tcPr>
          <w:p>
            <w:pPr>
              <w:pStyle w:val="TableText"/>
            </w:pPr>
            <w:r>
              <w:rPr>
                <w:sz w:val="15"/>
                <w:szCs w:val="15"/>
              </w:rPr>
              <w:t xml:space="preserve">RDS-CAL-USER</w:t>
            </w:r>
          </w:p>
        </w:tc>
        <w:tc>
          <w:tcPr>
            <w:tcW w:w="1051" w:type="dxa"/>
            <w:shd w:val="clear" w:color="auto" w:fill="F7F9FB"/>
          </w:tcPr>
          <w:p>
            <w:pPr>
              <w:pStyle w:val="TableText"/>
              <w:jc w:val="right"/>
            </w:pPr>
            <w:r>
              <w:rPr>
                <w:sz w:val="17"/>
                <w:szCs w:val="17"/>
              </w:rPr>
              <w:t xml:space="preserve">25</w:t>
            </w:r>
          </w:p>
        </w:tc>
        <w:tc>
          <w:tcPr>
            <w:tcW w:w="938" w:type="dxa"/>
            <w:shd w:val="clear" w:color="auto" w:fill="F7F9FB"/>
          </w:tcPr>
          <w:p>
            <w:pPr>
              <w:pStyle w:val="TableText"/>
              <w:jc w:val="right"/>
            </w:pPr>
            <w:r>
              <w:rPr>
                <w:sz w:val="17"/>
                <w:szCs w:val="17"/>
              </w:rPr>
              <w:t xml:space="preserve">–</w:t>
            </w:r>
          </w:p>
        </w:tc>
        <w:tc>
          <w:tcPr>
            <w:tcW w:w="1348" w:type="dxa"/>
            <w:shd w:val="clear" w:color="auto" w:fill="F7F9FB"/>
          </w:tcPr>
          <w:p>
            <w:pPr>
              <w:pStyle w:val="TableText"/>
            </w:pPr>
            <w:r>
              <w:rPr>
                <w:sz w:val="17"/>
                <w:szCs w:val="17"/>
              </w:rPr>
              <w:t xml:space="preserve">Open License 87654321</w:t>
            </w:r>
          </w:p>
        </w:tc>
        <w:tc>
          <w:tcPr>
            <w:tcW w:w="814" w:type="dxa"/>
            <w:shd w:val="clear" w:color="auto" w:fill="F7F9FB"/>
          </w:tcPr>
          <w:p>
            <w:pPr>
              <w:pStyle w:val="TableText"/>
            </w:pPr>
            <w:r>
              <w:rPr>
                <w:sz w:val="17"/>
                <w:szCs w:val="17"/>
              </w:rPr>
              <w:t xml:space="preserve">2019</w:t>
            </w:r>
          </w:p>
        </w:tc>
        <w:tc>
          <w:tcPr>
            <w:tcW w:w="579" w:type="dxa"/>
            <w:shd w:val="clear" w:color="auto" w:fill="F7F9FB"/>
          </w:tcPr>
          <w:p>
            <w:pPr>
              <w:pStyle w:val="TableText"/>
            </w:pPr>
            <w:r>
              <w:rPr>
                <w:sz w:val="17"/>
                <w:szCs w:val="17"/>
              </w:rPr>
              <w:t xml:space="preserve">No</w:t>
            </w:r>
          </w:p>
        </w:tc>
        <w:tc>
          <w:tcPr>
            <w:tcW w:w="1328" w:type="dxa"/>
            <w:shd w:val="clear" w:color="auto" w:fill="F7F9FB"/>
          </w:tcPr>
          <w:p>
            <w:pPr>
              <w:pStyle w:val="TableText"/>
            </w:pPr>
            <w:r>
              <w:rPr>
                <w:sz w:val="17"/>
                <w:szCs w:val="17"/>
              </w:rPr>
              <w:t xml:space="preserve">Excel</w:t>
            </w:r>
          </w:p>
        </w:tc>
      </w:tr>
      <w:tr>
        <w:trPr>
          <w:cantSplit/>
        </w:trPr>
        <w:tc>
          <w:tcPr>
            <w:tcW w:w="2452" w:type="dxa"/>
          </w:tcPr>
          <w:p>
            <w:pPr>
              <w:pStyle w:val="TableText"/>
            </w:pPr>
            <w:r>
              <w:rPr>
                <w:b/>
                <w:bCs/>
                <w:sz w:val="17"/>
                <w:szCs w:val="17"/>
              </w:rPr>
              <w:t xml:space="preserve">SQL Server 2019 Enterprise - 2 core pack x2</w:t>
            </w:r>
          </w:p>
        </w:tc>
        <w:tc>
          <w:tcPr>
            <w:tcW w:w="1242" w:type="dxa"/>
          </w:tcPr>
          <w:p>
            <w:pPr>
              <w:pStyle w:val="TableText"/>
            </w:pPr>
            <w:r>
              <w:rPr>
                <w:sz w:val="15"/>
                <w:szCs w:val="15"/>
              </w:rPr>
              <w:t xml:space="preserve">SQL-ENT-CORE</w:t>
            </w:r>
          </w:p>
        </w:tc>
        <w:tc>
          <w:tcPr>
            <w:tcW w:w="1051" w:type="dxa"/>
          </w:tcPr>
          <w:p>
            <w:pPr>
              <w:pStyle w:val="TableText"/>
              <w:jc w:val="right"/>
            </w:pPr>
            <w:r>
              <w:rPr>
                <w:sz w:val="17"/>
                <w:szCs w:val="17"/>
              </w:rPr>
              <w:t xml:space="preserve">4</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EA 12345678</w:t>
            </w:r>
          </w:p>
        </w:tc>
        <w:tc>
          <w:tcPr>
            <w:tcW w:w="814" w:type="dxa"/>
          </w:tcPr>
          <w:p>
            <w:pPr>
              <w:pStyle w:val="TableText"/>
            </w:pPr>
            <w:r>
              <w:rPr>
                <w:sz w:val="17"/>
                <w:szCs w:val="17"/>
              </w:rPr>
              <w:t xml:space="preserve">2019</w:t>
            </w:r>
          </w:p>
        </w:tc>
        <w:tc>
          <w:tcPr>
            <w:tcW w:w="579" w:type="dxa"/>
          </w:tcPr>
          <w:p>
            <w:pPr>
              <w:pStyle w:val="TableText"/>
            </w:pPr>
            <w:r>
              <w:rPr>
                <w:sz w:val="17"/>
                <w:szCs w:val="17"/>
              </w:rPr>
              <w:t xml:space="preserve">No</w:t>
            </w:r>
          </w:p>
        </w:tc>
        <w:tc>
          <w:tcPr>
            <w:tcW w:w="1328" w:type="dxa"/>
          </w:tcPr>
          <w:p>
            <w:pPr>
              <w:pStyle w:val="TableText"/>
            </w:pPr>
            <w:r>
              <w:rPr>
                <w:sz w:val="17"/>
                <w:szCs w:val="17"/>
              </w:rPr>
              <w:t xml:space="preserve">Excel</w:t>
            </w:r>
          </w:p>
        </w:tc>
      </w:tr>
      <w:tr>
        <w:trPr>
          <w:cantSplit/>
        </w:trPr>
        <w:tc>
          <w:tcPr>
            <w:tcW w:w="2452" w:type="dxa"/>
            <w:shd w:val="clear" w:color="auto" w:fill="F7F9FB"/>
          </w:tcPr>
          <w:p>
            <w:pPr>
              <w:pStyle w:val="TableText"/>
            </w:pPr>
            <w:r>
              <w:rPr>
                <w:b/>
                <w:bCs/>
                <w:sz w:val="17"/>
                <w:szCs w:val="17"/>
              </w:rPr>
              <w:t xml:space="preserve">SQL Server 2017 Standard - core</w:t>
            </w:r>
          </w:p>
        </w:tc>
        <w:tc>
          <w:tcPr>
            <w:tcW w:w="1242" w:type="dxa"/>
            <w:shd w:val="clear" w:color="auto" w:fill="F7F9FB"/>
          </w:tcPr>
          <w:p>
            <w:pPr>
              <w:pStyle w:val="TableText"/>
            </w:pPr>
            <w:r>
              <w:rPr>
                <w:sz w:val="15"/>
                <w:szCs w:val="15"/>
              </w:rPr>
              <w:t xml:space="preserve">SQL-STD-CORE</w:t>
            </w:r>
          </w:p>
        </w:tc>
        <w:tc>
          <w:tcPr>
            <w:tcW w:w="1051" w:type="dxa"/>
            <w:shd w:val="clear" w:color="auto" w:fill="F7F9FB"/>
          </w:tcPr>
          <w:p>
            <w:pPr>
              <w:pStyle w:val="TableText"/>
              <w:jc w:val="right"/>
            </w:pPr>
            <w:r>
              <w:rPr>
                <w:sz w:val="17"/>
                <w:szCs w:val="17"/>
              </w:rPr>
              <w:t xml:space="preserve">8</w:t>
            </w:r>
          </w:p>
        </w:tc>
        <w:tc>
          <w:tcPr>
            <w:tcW w:w="938" w:type="dxa"/>
            <w:shd w:val="clear" w:color="auto" w:fill="F7F9FB"/>
          </w:tcPr>
          <w:p>
            <w:pPr>
              <w:pStyle w:val="TableText"/>
              <w:jc w:val="right"/>
            </w:pPr>
            <w:r>
              <w:rPr>
                <w:sz w:val="17"/>
                <w:szCs w:val="17"/>
              </w:rPr>
              <w:t xml:space="preserve">–</w:t>
            </w:r>
          </w:p>
        </w:tc>
        <w:tc>
          <w:tcPr>
            <w:tcW w:w="1348" w:type="dxa"/>
            <w:shd w:val="clear" w:color="auto" w:fill="F7F9FB"/>
          </w:tcPr>
          <w:p>
            <w:pPr>
              <w:pStyle w:val="TableText"/>
            </w:pPr>
            <w:r>
              <w:rPr>
                <w:sz w:val="17"/>
                <w:szCs w:val="17"/>
              </w:rPr>
              <w:t xml:space="preserve">Open License 87654321</w:t>
            </w:r>
          </w:p>
        </w:tc>
        <w:tc>
          <w:tcPr>
            <w:tcW w:w="814" w:type="dxa"/>
            <w:shd w:val="clear" w:color="auto" w:fill="F7F9FB"/>
          </w:tcPr>
          <w:p>
            <w:pPr>
              <w:pStyle w:val="TableText"/>
            </w:pPr>
            <w:r>
              <w:rPr>
                <w:sz w:val="17"/>
                <w:szCs w:val="17"/>
              </w:rPr>
              <w:t xml:space="preserve">2017</w:t>
            </w:r>
          </w:p>
        </w:tc>
        <w:tc>
          <w:tcPr>
            <w:tcW w:w="579" w:type="dxa"/>
            <w:shd w:val="clear" w:color="auto" w:fill="F7F9FB"/>
          </w:tcPr>
          <w:p>
            <w:pPr>
              <w:pStyle w:val="TableText"/>
            </w:pPr>
            <w:r>
              <w:rPr>
                <w:sz w:val="17"/>
                <w:szCs w:val="17"/>
              </w:rPr>
              <w:t xml:space="preserve">No</w:t>
            </w:r>
          </w:p>
        </w:tc>
        <w:tc>
          <w:tcPr>
            <w:tcW w:w="1328" w:type="dxa"/>
            <w:shd w:val="clear" w:color="auto" w:fill="F7F9FB"/>
          </w:tcPr>
          <w:p>
            <w:pPr>
              <w:pStyle w:val="TableText"/>
            </w:pPr>
            <w:r>
              <w:rPr>
                <w:sz w:val="17"/>
                <w:szCs w:val="17"/>
              </w:rPr>
              <w:t xml:space="preserve">Excel</w:t>
            </w:r>
          </w:p>
        </w:tc>
      </w:tr>
      <w:tr>
        <w:trPr>
          <w:cantSplit/>
        </w:trPr>
        <w:tc>
          <w:tcPr>
            <w:tcW w:w="2452" w:type="dxa"/>
          </w:tcPr>
          <w:p>
            <w:pPr>
              <w:pStyle w:val="TableText"/>
            </w:pPr>
            <w:r>
              <w:rPr>
                <w:b/>
                <w:bCs/>
                <w:sz w:val="17"/>
                <w:szCs w:val="17"/>
              </w:rPr>
              <w:t xml:space="preserve">Office LTSC Professional Plus 2021</w:t>
            </w:r>
          </w:p>
        </w:tc>
        <w:tc>
          <w:tcPr>
            <w:tcW w:w="1242" w:type="dxa"/>
          </w:tcPr>
          <w:p>
            <w:pPr>
              <w:pStyle w:val="TableText"/>
            </w:pPr>
            <w:r>
              <w:rPr>
                <w:sz w:val="15"/>
                <w:szCs w:val="15"/>
              </w:rPr>
              <w:t xml:space="preserve">OFFICE-PROPLUS</w:t>
            </w:r>
          </w:p>
        </w:tc>
        <w:tc>
          <w:tcPr>
            <w:tcW w:w="1051" w:type="dxa"/>
          </w:tcPr>
          <w:p>
            <w:pPr>
              <w:pStyle w:val="TableText"/>
              <w:jc w:val="right"/>
            </w:pPr>
            <w:r>
              <w:rPr>
                <w:sz w:val="17"/>
                <w:szCs w:val="17"/>
              </w:rPr>
              <w:t xml:space="preserve">5</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EA 12345678</w:t>
            </w:r>
          </w:p>
        </w:tc>
        <w:tc>
          <w:tcPr>
            <w:tcW w:w="814" w:type="dxa"/>
          </w:tcPr>
          <w:p>
            <w:pPr>
              <w:pStyle w:val="TableText"/>
            </w:pPr>
            <w:r>
              <w:rPr>
                <w:sz w:val="17"/>
                <w:szCs w:val="17"/>
              </w:rPr>
              <w:t xml:space="preserve">2021</w:t>
            </w:r>
          </w:p>
        </w:tc>
        <w:tc>
          <w:tcPr>
            <w:tcW w:w="579" w:type="dxa"/>
          </w:tcPr>
          <w:p>
            <w:pPr>
              <w:pStyle w:val="TableText"/>
            </w:pPr>
            <w:r>
              <w:rPr>
                <w:sz w:val="17"/>
                <w:szCs w:val="17"/>
              </w:rPr>
              <w:t xml:space="preserve">No</w:t>
            </w:r>
          </w:p>
        </w:tc>
        <w:tc>
          <w:tcPr>
            <w:tcW w:w="1328" w:type="dxa"/>
          </w:tcPr>
          <w:p>
            <w:pPr>
              <w:pStyle w:val="TableText"/>
            </w:pPr>
            <w:r>
              <w:rPr>
                <w:sz w:val="17"/>
                <w:szCs w:val="17"/>
              </w:rPr>
              <w:t xml:space="preserve">Excel</w:t>
            </w:r>
          </w:p>
        </w:tc>
      </w:tr>
      <w:tr>
        <w:trPr>
          <w:cantSplit/>
        </w:trPr>
        <w:tc>
          <w:tcPr>
            <w:tcW w:w="2452" w:type="dxa"/>
            <w:shd w:val="clear" w:color="auto" w:fill="F7F9FB"/>
          </w:tcPr>
          <w:p>
            <w:pPr>
              <w:pStyle w:val="TableText"/>
            </w:pPr>
            <w:r>
              <w:rPr>
                <w:b/>
                <w:bCs/>
                <w:sz w:val="17"/>
                <w:szCs w:val="17"/>
              </w:rPr>
              <w:t xml:space="preserve">Exchange Server 2019 Standard</w:t>
            </w:r>
          </w:p>
        </w:tc>
        <w:tc>
          <w:tcPr>
            <w:tcW w:w="1242" w:type="dxa"/>
            <w:shd w:val="clear" w:color="auto" w:fill="F7F9FB"/>
          </w:tcPr>
          <w:p>
            <w:pPr>
              <w:pStyle w:val="TableText"/>
            </w:pPr>
            <w:r>
              <w:rPr>
                <w:sz w:val="15"/>
                <w:szCs w:val="15"/>
              </w:rPr>
              <w:t xml:space="preserve">EXCH-STD</w:t>
            </w:r>
          </w:p>
        </w:tc>
        <w:tc>
          <w:tcPr>
            <w:tcW w:w="1051" w:type="dxa"/>
            <w:shd w:val="clear" w:color="auto" w:fill="F7F9FB"/>
          </w:tcPr>
          <w:p>
            <w:pPr>
              <w:pStyle w:val="TableText"/>
              <w:jc w:val="right"/>
            </w:pPr>
            <w:r>
              <w:rPr>
                <w:sz w:val="17"/>
                <w:szCs w:val="17"/>
              </w:rPr>
              <w:t xml:space="preserve">1</w:t>
            </w:r>
          </w:p>
        </w:tc>
        <w:tc>
          <w:tcPr>
            <w:tcW w:w="938" w:type="dxa"/>
            <w:shd w:val="clear" w:color="auto" w:fill="F7F9FB"/>
          </w:tcPr>
          <w:p>
            <w:pPr>
              <w:pStyle w:val="TableText"/>
              <w:jc w:val="right"/>
            </w:pPr>
            <w:r>
              <w:rPr>
                <w:sz w:val="17"/>
                <w:szCs w:val="17"/>
              </w:rPr>
              <w:t xml:space="preserve">–</w:t>
            </w:r>
          </w:p>
        </w:tc>
        <w:tc>
          <w:tcPr>
            <w:tcW w:w="1348" w:type="dxa"/>
            <w:shd w:val="clear" w:color="auto" w:fill="F7F9FB"/>
          </w:tcPr>
          <w:p>
            <w:pPr>
              <w:pStyle w:val="TableText"/>
            </w:pPr>
            <w:r>
              <w:rPr>
                <w:sz w:val="17"/>
                <w:szCs w:val="17"/>
              </w:rPr>
              <w:t xml:space="preserve">Open License 87654321</w:t>
            </w:r>
          </w:p>
        </w:tc>
        <w:tc>
          <w:tcPr>
            <w:tcW w:w="814" w:type="dxa"/>
            <w:shd w:val="clear" w:color="auto" w:fill="F7F9FB"/>
          </w:tcPr>
          <w:p>
            <w:pPr>
              <w:pStyle w:val="TableText"/>
            </w:pPr>
            <w:r>
              <w:rPr>
                <w:sz w:val="17"/>
                <w:szCs w:val="17"/>
              </w:rPr>
              <w:t xml:space="preserve">2019</w:t>
            </w:r>
          </w:p>
        </w:tc>
        <w:tc>
          <w:tcPr>
            <w:tcW w:w="579" w:type="dxa"/>
            <w:shd w:val="clear" w:color="auto" w:fill="F7F9FB"/>
          </w:tcPr>
          <w:p>
            <w:pPr>
              <w:pStyle w:val="TableText"/>
            </w:pPr>
            <w:r>
              <w:rPr>
                <w:sz w:val="17"/>
                <w:szCs w:val="17"/>
              </w:rPr>
              <w:t xml:space="preserve">No</w:t>
            </w:r>
          </w:p>
        </w:tc>
        <w:tc>
          <w:tcPr>
            <w:tcW w:w="1328" w:type="dxa"/>
            <w:shd w:val="clear" w:color="auto" w:fill="F7F9FB"/>
          </w:tcPr>
          <w:p>
            <w:pPr>
              <w:pStyle w:val="TableText"/>
            </w:pPr>
            <w:r>
              <w:rPr>
                <w:sz w:val="17"/>
                <w:szCs w:val="17"/>
              </w:rPr>
              <w:t xml:space="preserve">Excel</w:t>
            </w:r>
          </w:p>
        </w:tc>
      </w:tr>
      <w:tr>
        <w:trPr>
          <w:cantSplit/>
        </w:trPr>
        <w:tc>
          <w:tcPr>
            <w:tcW w:w="2452" w:type="dxa"/>
          </w:tcPr>
          <w:p>
            <w:pPr>
              <w:pStyle w:val="TableText"/>
            </w:pPr>
            <w:r>
              <w:rPr>
                <w:b/>
                <w:bCs/>
                <w:sz w:val="17"/>
                <w:szCs w:val="17"/>
              </w:rPr>
              <w:t xml:space="preserve">Exchange Server 2019 Standard CAL - User</w:t>
            </w:r>
          </w:p>
        </w:tc>
        <w:tc>
          <w:tcPr>
            <w:tcW w:w="1242" w:type="dxa"/>
          </w:tcPr>
          <w:p>
            <w:pPr>
              <w:pStyle w:val="TableText"/>
            </w:pPr>
            <w:r>
              <w:rPr>
                <w:sz w:val="15"/>
                <w:szCs w:val="15"/>
              </w:rPr>
              <w:t xml:space="preserve">EXCH-CAL-USER</w:t>
            </w:r>
          </w:p>
        </w:tc>
        <w:tc>
          <w:tcPr>
            <w:tcW w:w="1051" w:type="dxa"/>
          </w:tcPr>
          <w:p>
            <w:pPr>
              <w:pStyle w:val="TableText"/>
              <w:jc w:val="right"/>
            </w:pPr>
            <w:r>
              <w:rPr>
                <w:sz w:val="17"/>
                <w:szCs w:val="17"/>
              </w:rPr>
              <w:t xml:space="preserve">120</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Open License 87654321</w:t>
            </w:r>
          </w:p>
        </w:tc>
        <w:tc>
          <w:tcPr>
            <w:tcW w:w="814" w:type="dxa"/>
          </w:tcPr>
          <w:p>
            <w:pPr>
              <w:pStyle w:val="TableText"/>
            </w:pPr>
            <w:r>
              <w:rPr>
                <w:sz w:val="17"/>
                <w:szCs w:val="17"/>
              </w:rPr>
              <w:t xml:space="preserve">2019</w:t>
            </w:r>
          </w:p>
        </w:tc>
        <w:tc>
          <w:tcPr>
            <w:tcW w:w="579" w:type="dxa"/>
          </w:tcPr>
          <w:p>
            <w:pPr>
              <w:pStyle w:val="TableText"/>
            </w:pPr>
            <w:r>
              <w:rPr>
                <w:sz w:val="17"/>
                <w:szCs w:val="17"/>
              </w:rPr>
              <w:t xml:space="preserve">No</w:t>
            </w:r>
          </w:p>
        </w:tc>
        <w:tc>
          <w:tcPr>
            <w:tcW w:w="1328" w:type="dxa"/>
          </w:tcPr>
          <w:p>
            <w:pPr>
              <w:pStyle w:val="TableText"/>
            </w:pPr>
            <w:r>
              <w:rPr>
                <w:sz w:val="17"/>
                <w:szCs w:val="17"/>
              </w:rPr>
              <w:t xml:space="preserve">Excel</w:t>
            </w:r>
          </w:p>
        </w:tc>
      </w:tr>
      <w:tr>
        <w:trPr>
          <w:cantSplit/>
        </w:trPr>
        <w:tc>
          <w:tcPr>
            <w:tcW w:w="2452" w:type="dxa"/>
            <w:shd w:val="clear" w:color="auto" w:fill="F7F9FB"/>
          </w:tcPr>
          <w:p>
            <w:pPr>
              <w:pStyle w:val="TableText"/>
            </w:pPr>
            <w:r>
              <w:rPr>
                <w:b/>
                <w:bCs/>
                <w:sz w:val="17"/>
                <w:szCs w:val="17"/>
              </w:rPr>
              <w:t xml:space="preserve">Windows 11 Pro upgrade (spare)</w:t>
            </w:r>
          </w:p>
        </w:tc>
        <w:tc>
          <w:tcPr>
            <w:tcW w:w="1242" w:type="dxa"/>
            <w:shd w:val="clear" w:color="auto" w:fill="F7F9FB"/>
          </w:tcPr>
          <w:p>
            <w:pPr>
              <w:pStyle w:val="TableText"/>
            </w:pPr>
            <w:r>
              <w:rPr>
                <w:sz w:val="15"/>
                <w:szCs w:val="15"/>
              </w:rPr>
              <w:t xml:space="preserve">WIN-PRO</w:t>
            </w:r>
          </w:p>
        </w:tc>
        <w:tc>
          <w:tcPr>
            <w:tcW w:w="1051" w:type="dxa"/>
            <w:shd w:val="clear" w:color="auto" w:fill="F7F9FB"/>
          </w:tcPr>
          <w:p>
            <w:pPr>
              <w:pStyle w:val="TableText"/>
              <w:jc w:val="right"/>
            </w:pPr>
            <w:r>
              <w:rPr>
                <w:sz w:val="17"/>
                <w:szCs w:val="17"/>
              </w:rPr>
              <w:t xml:space="preserve">3</w:t>
            </w:r>
          </w:p>
        </w:tc>
        <w:tc>
          <w:tcPr>
            <w:tcW w:w="938" w:type="dxa"/>
            <w:shd w:val="clear" w:color="auto" w:fill="F7F9FB"/>
          </w:tcPr>
          <w:p>
            <w:pPr>
              <w:pStyle w:val="TableText"/>
              <w:jc w:val="right"/>
            </w:pPr>
            <w:r>
              <w:rPr>
                <w:sz w:val="17"/>
                <w:szCs w:val="17"/>
              </w:rPr>
              <w:t xml:space="preserve">–</w:t>
            </w:r>
          </w:p>
        </w:tc>
        <w:tc>
          <w:tcPr>
            <w:tcW w:w="1348" w:type="dxa"/>
            <w:shd w:val="clear" w:color="auto" w:fill="F7F9FB"/>
          </w:tcPr>
          <w:p>
            <w:pPr>
              <w:pStyle w:val="TableText"/>
            </w:pPr>
            <w:r>
              <w:rPr>
                <w:sz w:val="17"/>
                <w:szCs w:val="17"/>
              </w:rPr>
              <w:t xml:space="preserve">Retail</w:t>
            </w:r>
          </w:p>
        </w:tc>
        <w:tc>
          <w:tcPr>
            <w:tcW w:w="814" w:type="dxa"/>
            <w:shd w:val="clear" w:color="auto" w:fill="F7F9FB"/>
          </w:tcPr>
          <w:p>
            <w:pPr>
              <w:pStyle w:val="TableText"/>
            </w:pPr>
            <w:r>
              <w:rPr>
                <w:sz w:val="17"/>
                <w:szCs w:val="17"/>
              </w:rPr>
              <w:t xml:space="preserve">-</w:t>
            </w:r>
          </w:p>
        </w:tc>
        <w:tc>
          <w:tcPr>
            <w:tcW w:w="579" w:type="dxa"/>
            <w:shd w:val="clear" w:color="auto" w:fill="F7F9FB"/>
          </w:tcPr>
          <w:p>
            <w:pPr>
              <w:pStyle w:val="TableText"/>
            </w:pPr>
            <w:r>
              <w:rPr>
                <w:sz w:val="17"/>
                <w:szCs w:val="17"/>
              </w:rPr>
              <w:t xml:space="preserve">No</w:t>
            </w:r>
          </w:p>
        </w:tc>
        <w:tc>
          <w:tcPr>
            <w:tcW w:w="1328" w:type="dxa"/>
            <w:shd w:val="clear" w:color="auto" w:fill="F7F9FB"/>
          </w:tcPr>
          <w:p>
            <w:pPr>
              <w:pStyle w:val="TableText"/>
            </w:pPr>
            <w:r>
              <w:rPr>
                <w:sz w:val="17"/>
                <w:szCs w:val="17"/>
              </w:rPr>
              <w:t xml:space="preserve">Excel</w:t>
            </w:r>
          </w:p>
        </w:tc>
      </w:tr>
      <w:tr>
        <w:trPr>
          <w:cantSplit/>
        </w:trPr>
        <w:tc>
          <w:tcPr>
            <w:tcW w:w="2452" w:type="dxa"/>
          </w:tcPr>
          <w:p>
            <w:pPr>
              <w:pStyle w:val="TableText"/>
            </w:pPr>
            <w:r>
              <w:rPr>
                <w:b/>
                <w:bCs/>
                <w:sz w:val="17"/>
                <w:szCs w:val="17"/>
              </w:rPr>
              <w:t xml:space="preserve">Third-party backup agent (non-Microsoft)</w:t>
            </w:r>
          </w:p>
        </w:tc>
        <w:tc>
          <w:tcPr>
            <w:tcW w:w="1242" w:type="dxa"/>
          </w:tcPr>
          <w:p>
            <w:pPr>
              <w:pStyle w:val="TableText"/>
            </w:pPr>
            <w:r>
              <w:rPr>
                <w:sz w:val="15"/>
                <w:szCs w:val="15"/>
              </w:rPr>
              <w:t xml:space="preserve">BKP-AGENT-01</w:t>
            </w:r>
          </w:p>
        </w:tc>
        <w:tc>
          <w:tcPr>
            <w:tcW w:w="1051" w:type="dxa"/>
          </w:tcPr>
          <w:p>
            <w:pPr>
              <w:pStyle w:val="TableText"/>
              <w:jc w:val="right"/>
            </w:pPr>
            <w:r>
              <w:rPr>
                <w:sz w:val="17"/>
                <w:szCs w:val="17"/>
              </w:rPr>
              <w:t xml:space="preserve">50</w:t>
            </w:r>
          </w:p>
        </w:tc>
        <w:tc>
          <w:tcPr>
            <w:tcW w:w="938" w:type="dxa"/>
          </w:tcPr>
          <w:p>
            <w:pPr>
              <w:pStyle w:val="TableText"/>
              <w:jc w:val="right"/>
            </w:pPr>
            <w:r>
              <w:rPr>
                <w:sz w:val="17"/>
                <w:szCs w:val="17"/>
              </w:rPr>
              <w:t xml:space="preserve">–</w:t>
            </w:r>
          </w:p>
        </w:tc>
        <w:tc>
          <w:tcPr>
            <w:tcW w:w="1348" w:type="dxa"/>
          </w:tcPr>
          <w:p>
            <w:pPr>
              <w:pStyle w:val="TableText"/>
            </w:pPr>
            <w:r>
              <w:rPr>
                <w:sz w:val="17"/>
                <w:szCs w:val="17"/>
              </w:rPr>
              <w:t xml:space="preserve">Vendor X</w:t>
            </w:r>
          </w:p>
        </w:tc>
        <w:tc>
          <w:tcPr>
            <w:tcW w:w="814" w:type="dxa"/>
          </w:tcPr>
          <w:p>
            <w:pPr>
              <w:pStyle w:val="TableText"/>
            </w:pPr>
            <w:r>
              <w:rPr>
                <w:sz w:val="17"/>
                <w:szCs w:val="17"/>
              </w:rPr>
              <w:t xml:space="preserve">-</w:t>
            </w:r>
          </w:p>
        </w:tc>
        <w:tc>
          <w:tcPr>
            <w:tcW w:w="579" w:type="dxa"/>
          </w:tcPr>
          <w:p>
            <w:pPr>
              <w:pStyle w:val="TableText"/>
            </w:pPr>
            <w:r>
              <w:rPr>
                <w:sz w:val="17"/>
                <w:szCs w:val="17"/>
              </w:rPr>
              <w:t xml:space="preserve">No</w:t>
            </w:r>
          </w:p>
        </w:tc>
        <w:tc>
          <w:tcPr>
            <w:tcW w:w="1328" w:type="dxa"/>
          </w:tcPr>
          <w:p>
            <w:pPr>
              <w:pStyle w:val="TableText"/>
            </w:pPr>
            <w:r>
              <w:rPr>
                <w:sz w:val="17"/>
                <w:szCs w:val="17"/>
              </w:rPr>
              <w:t xml:space="preserve">Excel</w:t>
            </w:r>
          </w:p>
        </w:tc>
      </w:tr>
    </w:tbl>
    <w:p>
      <w:pPr>
        <w:spacing w:before="0" w:after="0" w:line="240" w:lineRule="auto"/>
        <w:rPr>
          <w:sz w:val="12"/>
          <w:szCs w:val="12"/>
        </w:rPr>
      </w:pPr>
    </w:p>
    <w:p>
      <w:pPr>
        <w:pStyle w:val="Heading1"/>
        <w:pageBreakBefore/>
      </w:pPr>
      <w:bookmarkStart w:id="136" w:name="_TocMlat00136"/>
      <w:r>
        <w:t xml:space="preserve">Assumptions</w:t>
      </w:r>
      <w:bookmarkEnd w:id="136"/>
    </w:p>
    <w:p>
      <w:pPr>
        <w:pStyle w:val="ListNumber"/>
        <w:numPr>
          <w:ilvl w:val="0"/>
          <w:numId w:val="2"/>
        </w:numPr>
      </w:pPr>
      <w:r>
        <w:t xml:space="preserve">Licensing rules: package 2026.10.3 (2026-10-02, Niyya Software). Every requirement references the rule, its review date and source.</w:t>
      </w:r>
    </w:p>
    <w:p>
      <w:pPr>
        <w:pStyle w:val="ListNumber"/>
        <w:numPr>
          <w:ilvl w:val="0"/>
          <w:numId w:val="2"/>
        </w:numPr>
      </w:pPr>
      <w:r>
        <w:t xml:space="preserve">Users requiring access: 168 (Active Directory: enabled users with a logon in the last 90 days). Devices requiring access: 138 (Active Directory: enabled workstations with a logon in the last 90 days).</w:t>
      </w:r>
    </w:p>
    <w:p>
      <w:pPr>
        <w:pStyle w:val="ListNumber"/>
        <w:numPr>
          <w:ilvl w:val="0"/>
          <w:numId w:val="2"/>
        </w:numPr>
      </w:pPr>
      <w:r>
        <w:t xml:space="preserve">CAL access model: evidence-based (both User and Device scenarios shown when undetermined).</w:t>
      </w:r>
    </w:p>
    <w:p>
      <w:pPr>
        <w:pStyle w:val="ListNumber"/>
        <w:numPr>
          <w:ilvl w:val="0"/>
          <w:numId w:val="2"/>
        </w:numPr>
      </w:pPr>
      <w:r>
        <w:t xml:space="preserve">VMs on hosts outside the assessment: shown per VM and flagged for validation.</w:t>
      </w:r>
    </w:p>
    <w:p>
      <w:pPr>
        <w:pStyle w:val="ListNumber"/>
        <w:numPr>
          <w:ilvl w:val="0"/>
          <w:numId w:val="2"/>
        </w:numPr>
      </w:pPr>
      <w:r>
        <w:t xml:space="preserve">Powered-off VMs are not counted for Windows Server Standard license sets.</w:t>
      </w:r>
    </w:p>
    <w:p>
      <w:pPr>
        <w:pStyle w:val="ListNumber"/>
        <w:numPr>
          <w:ilvl w:val="0"/>
          <w:numId w:val="2"/>
        </w:numPr>
      </w:pPr>
      <w:r>
        <w:t xml:space="preserve">Public cloud VMs: Windows Server assumed license-included; SQL Server treated as bring-your-own-license.</w:t>
      </w:r>
    </w:p>
    <w:p>
      <w:pPr>
        <w:pStyle w:val="ListNumber"/>
        <w:numPr>
          <w:ilvl w:val="0"/>
          <w:numId w:val="2"/>
        </w:numPr>
      </w:pPr>
      <w:r>
        <w:t xml:space="preserve">Subscription desktop apps / user subscriptions: 1 device(s) per user.</w:t>
      </w:r>
    </w:p>
    <w:p>
      <w:pPr>
        <w:pStyle w:val="ListNumber"/>
        <w:numPr>
          <w:ilvl w:val="0"/>
          <w:numId w:val="2"/>
        </w:numPr>
      </w:pPr>
      <w:r>
        <w:t xml:space="preserve">Installed software is treated as requiring a license regardless of usage; licenses must be of the same or later version unless Software Assurance is recorded.</w:t>
      </w:r>
    </w:p>
    <w:p>
      <w:pPr>
        <w:pStyle w:val="ListNumber"/>
        <w:numPr>
          <w:ilvl w:val="0"/>
          <w:numId w:val="2"/>
        </w:numPr>
      </w:pPr>
      <w:r>
        <w:t xml:space="preserve">Prices are indicative list prices in USD from the rules package or assessor overrides and exclude taxes/discounts; obtain a reseller quotation.</w:t>
      </w:r>
    </w:p>
    <w:p>
      <w:pPr>
        <w:pStyle w:val="Heading2"/>
      </w:pPr>
      <w:bookmarkStart w:id="137" w:name="_TocMlat00137"/>
      <w:r>
        <w:t xml:space="preserve">Assessment settings applied</w:t>
      </w:r>
      <w:bookmarkEnd w:id="137"/>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900"/>
        <w:gridCol w:w="5852"/>
      </w:tblGrid>
      <w:tr>
        <w:trPr>
          <w:cantSplit/>
        </w:trPr>
        <w:tc>
          <w:tcPr>
            <w:tcW w:w="3900" w:type="dxa"/>
          </w:tcPr>
          <w:p>
            <w:pPr>
              <w:pStyle w:val="TableText"/>
              <w:keepNext/>
            </w:pPr>
            <w:r>
              <w:rPr>
                <w:color w:val="5B6475"/>
                <w:sz w:val="18"/>
                <w:szCs w:val="18"/>
              </w:rPr>
              <w:t xml:space="preserve">CAL access model</w:t>
            </w:r>
          </w:p>
        </w:tc>
        <w:tc>
          <w:tcPr>
            <w:tcW w:w="5852" w:type="dxa"/>
          </w:tcPr>
          <w:p>
            <w:pPr>
              <w:pStyle w:val="TableText"/>
              <w:keepNext/>
            </w:pPr>
            <w:r>
              <w:rPr>
                <w:sz w:val="18"/>
                <w:szCs w:val="18"/>
              </w:rPr>
              <w:t xml:space="preserve">Auto</w:t>
            </w:r>
          </w:p>
        </w:tc>
      </w:tr>
      <w:tr>
        <w:trPr>
          <w:cantSplit/>
        </w:trPr>
        <w:tc>
          <w:tcPr>
            <w:tcW w:w="3900" w:type="dxa"/>
          </w:tcPr>
          <w:p>
            <w:pPr>
              <w:pStyle w:val="TableText"/>
              <w:keepNext/>
            </w:pPr>
            <w:r>
              <w:rPr>
                <w:color w:val="5B6475"/>
                <w:sz w:val="18"/>
                <w:szCs w:val="18"/>
              </w:rPr>
              <w:t xml:space="preserve">RDS CAL access model</w:t>
            </w:r>
          </w:p>
        </w:tc>
        <w:tc>
          <w:tcPr>
            <w:tcW w:w="5852" w:type="dxa"/>
          </w:tcPr>
          <w:p>
            <w:pPr>
              <w:pStyle w:val="TableText"/>
              <w:keepNext/>
            </w:pPr>
            <w:r>
              <w:rPr>
                <w:sz w:val="18"/>
                <w:szCs w:val="18"/>
              </w:rPr>
              <w:t xml:space="preserve">Auto</w:t>
            </w:r>
          </w:p>
        </w:tc>
      </w:tr>
      <w:tr>
        <w:trPr>
          <w:cantSplit/>
        </w:trPr>
        <w:tc>
          <w:tcPr>
            <w:tcW w:w="3900" w:type="dxa"/>
          </w:tcPr>
          <w:p>
            <w:pPr>
              <w:pStyle w:val="TableText"/>
              <w:keepNext/>
            </w:pPr>
            <w:r>
              <w:rPr>
                <w:color w:val="5B6475"/>
                <w:sz w:val="18"/>
                <w:szCs w:val="18"/>
              </w:rPr>
              <w:t xml:space="preserve">Active account window</w:t>
            </w:r>
          </w:p>
        </w:tc>
        <w:tc>
          <w:tcPr>
            <w:tcW w:w="5852" w:type="dxa"/>
          </w:tcPr>
          <w:p>
            <w:pPr>
              <w:pStyle w:val="TableText"/>
              <w:keepNext/>
            </w:pPr>
            <w:r>
              <w:rPr>
                <w:sz w:val="18"/>
                <w:szCs w:val="18"/>
              </w:rPr>
              <w:t xml:space="preserve">90 days</w:t>
            </w:r>
          </w:p>
        </w:tc>
      </w:tr>
      <w:tr>
        <w:trPr>
          <w:cantSplit/>
        </w:trPr>
        <w:tc>
          <w:tcPr>
            <w:tcW w:w="3900" w:type="dxa"/>
          </w:tcPr>
          <w:p>
            <w:pPr>
              <w:pStyle w:val="TableText"/>
              <w:keepNext/>
            </w:pPr>
            <w:r>
              <w:rPr>
                <w:color w:val="5B6475"/>
                <w:sz w:val="18"/>
                <w:szCs w:val="18"/>
              </w:rPr>
              <w:t xml:space="preserve">User / device count override</w:t>
            </w:r>
          </w:p>
        </w:tc>
        <w:tc>
          <w:tcPr>
            <w:tcW w:w="5852" w:type="dxa"/>
          </w:tcPr>
          <w:p>
            <w:pPr>
              <w:pStyle w:val="TableText"/>
              <w:keepNext/>
            </w:pPr>
            <w:r>
              <w:rPr>
                <w:sz w:val="18"/>
                <w:szCs w:val="18"/>
              </w:rPr>
              <w:t xml:space="preserve">none / none</w:t>
            </w:r>
          </w:p>
        </w:tc>
      </w:tr>
      <w:tr>
        <w:trPr>
          <w:cantSplit/>
        </w:trPr>
        <w:tc>
          <w:tcPr>
            <w:tcW w:w="3900" w:type="dxa"/>
          </w:tcPr>
          <w:p>
            <w:pPr>
              <w:pStyle w:val="TableText"/>
              <w:keepNext/>
            </w:pPr>
            <w:r>
              <w:rPr>
                <w:color w:val="5B6475"/>
                <w:sz w:val="18"/>
                <w:szCs w:val="18"/>
              </w:rPr>
              <w:t xml:space="preserve">VMs on unknown hosts</w:t>
            </w:r>
          </w:p>
        </w:tc>
        <w:tc>
          <w:tcPr>
            <w:tcW w:w="5852" w:type="dxa"/>
          </w:tcPr>
          <w:p>
            <w:pPr>
              <w:pStyle w:val="TableText"/>
              <w:keepNext/>
            </w:pPr>
            <w:r>
              <w:rPr>
                <w:sz w:val="18"/>
                <w:szCs w:val="18"/>
              </w:rPr>
              <w:t xml:space="preserve">ValidationRequired</w:t>
            </w:r>
          </w:p>
        </w:tc>
      </w:tr>
      <w:tr>
        <w:trPr>
          <w:cantSplit/>
        </w:trPr>
        <w:tc>
          <w:tcPr>
            <w:tcW w:w="3900" w:type="dxa"/>
          </w:tcPr>
          <w:p>
            <w:pPr>
              <w:pStyle w:val="TableText"/>
              <w:keepNext/>
            </w:pPr>
            <w:r>
              <w:rPr>
                <w:color w:val="5B6475"/>
                <w:sz w:val="18"/>
                <w:szCs w:val="18"/>
              </w:rPr>
              <w:t xml:space="preserve">Count powered-off VMs</w:t>
            </w:r>
          </w:p>
        </w:tc>
        <w:tc>
          <w:tcPr>
            <w:tcW w:w="5852" w:type="dxa"/>
          </w:tcPr>
          <w:p>
            <w:pPr>
              <w:pStyle w:val="TableText"/>
              <w:keepNext/>
            </w:pPr>
            <w:r>
              <w:rPr>
                <w:sz w:val="18"/>
                <w:szCs w:val="18"/>
              </w:rPr>
              <w:t xml:space="preserve">No</w:t>
            </w:r>
          </w:p>
        </w:tc>
      </w:tr>
      <w:tr>
        <w:trPr>
          <w:cantSplit/>
        </w:trPr>
        <w:tc>
          <w:tcPr>
            <w:tcW w:w="3900" w:type="dxa"/>
          </w:tcPr>
          <w:p>
            <w:pPr>
              <w:pStyle w:val="TableText"/>
              <w:keepNext/>
            </w:pPr>
            <w:r>
              <w:rPr>
                <w:color w:val="5B6475"/>
                <w:sz w:val="18"/>
                <w:szCs w:val="18"/>
              </w:rPr>
              <w:t xml:space="preserve">Cloud VMs include Windows license</w:t>
            </w:r>
          </w:p>
        </w:tc>
        <w:tc>
          <w:tcPr>
            <w:tcW w:w="5852" w:type="dxa"/>
          </w:tcPr>
          <w:p>
            <w:pPr>
              <w:pStyle w:val="TableText"/>
              <w:keepNext/>
            </w:pPr>
            <w:r>
              <w:rPr>
                <w:sz w:val="18"/>
                <w:szCs w:val="18"/>
              </w:rPr>
              <w:t xml:space="preserve">Yes</w:t>
            </w:r>
          </w:p>
        </w:tc>
      </w:tr>
      <w:tr>
        <w:trPr>
          <w:cantSplit/>
        </w:trPr>
        <w:tc>
          <w:tcPr>
            <w:tcW w:w="3900" w:type="dxa"/>
          </w:tcPr>
          <w:p>
            <w:pPr>
              <w:pStyle w:val="TableText"/>
              <w:keepNext/>
            </w:pPr>
            <w:r>
              <w:rPr>
                <w:color w:val="5B6475"/>
                <w:sz w:val="18"/>
                <w:szCs w:val="18"/>
              </w:rPr>
              <w:t xml:space="preserve">Cloud VMs include SQL license</w:t>
            </w:r>
          </w:p>
        </w:tc>
        <w:tc>
          <w:tcPr>
            <w:tcW w:w="5852" w:type="dxa"/>
          </w:tcPr>
          <w:p>
            <w:pPr>
              <w:pStyle w:val="TableText"/>
              <w:keepNext/>
            </w:pPr>
            <w:r>
              <w:rPr>
                <w:sz w:val="18"/>
                <w:szCs w:val="18"/>
              </w:rPr>
              <w:t xml:space="preserve">No</w:t>
            </w:r>
          </w:p>
        </w:tc>
      </w:tr>
      <w:tr>
        <w:trPr>
          <w:cantSplit/>
        </w:trPr>
        <w:tc>
          <w:tcPr>
            <w:tcW w:w="3900" w:type="dxa"/>
          </w:tcPr>
          <w:p>
            <w:pPr>
              <w:pStyle w:val="TableText"/>
              <w:keepNext/>
            </w:pPr>
            <w:r>
              <w:rPr>
                <w:color w:val="5B6475"/>
                <w:sz w:val="18"/>
                <w:szCs w:val="18"/>
              </w:rPr>
              <w:t xml:space="preserve">Devices per user</w:t>
            </w:r>
          </w:p>
        </w:tc>
        <w:tc>
          <w:tcPr>
            <w:tcW w:w="5852" w:type="dxa"/>
          </w:tcPr>
          <w:p>
            <w:pPr>
              <w:pStyle w:val="TableText"/>
              <w:keepNext/>
            </w:pPr>
            <w:r>
              <w:rPr>
                <w:sz w:val="18"/>
                <w:szCs w:val="18"/>
              </w:rPr>
              <w:t xml:space="preserve">1</w:t>
            </w:r>
          </w:p>
        </w:tc>
      </w:tr>
      <w:tr>
        <w:trPr>
          <w:cantSplit/>
        </w:trPr>
        <w:tc>
          <w:tcPr>
            <w:tcW w:w="3900" w:type="dxa"/>
          </w:tcPr>
          <w:p>
            <w:pPr>
              <w:pStyle w:val="TableText"/>
              <w:keepNext/>
            </w:pPr>
            <w:r>
              <w:rPr>
                <w:color w:val="5B6475"/>
                <w:sz w:val="18"/>
                <w:szCs w:val="18"/>
              </w:rPr>
              <w:t xml:space="preserve">Indicative pricing</w:t>
            </w:r>
          </w:p>
        </w:tc>
        <w:tc>
          <w:tcPr>
            <w:tcW w:w="5852" w:type="dxa"/>
          </w:tcPr>
          <w:p>
            <w:pPr>
              <w:pStyle w:val="TableText"/>
              <w:keepNext/>
            </w:pPr>
            <w:r>
              <w:rPr>
                <w:sz w:val="18"/>
                <w:szCs w:val="18"/>
              </w:rPr>
              <w:t xml:space="preserve">Included (USD, estimates only)</w:t>
            </w:r>
          </w:p>
        </w:tc>
      </w:tr>
      <w:tr>
        <w:trPr>
          <w:cantSplit/>
        </w:trPr>
        <w:tc>
          <w:tcPr>
            <w:tcW w:w="3900" w:type="dxa"/>
          </w:tcPr>
          <w:p>
            <w:pPr>
              <w:pStyle w:val="TableText"/>
            </w:pPr>
            <w:r>
              <w:rPr>
                <w:color w:val="5B6475"/>
                <w:sz w:val="18"/>
                <w:szCs w:val="18"/>
              </w:rPr>
              <w:t xml:space="preserve">Contract terms confirmed by operator</w:t>
            </w:r>
          </w:p>
        </w:tc>
        <w:tc>
          <w:tcPr>
            <w:tcW w:w="5852" w:type="dxa"/>
          </w:tcPr>
          <w:p>
            <w:pPr>
              <w:pStyle w:val="TableText"/>
            </w:pPr>
            <w:r>
              <w:rPr>
                <w:sz w:val="18"/>
                <w:szCs w:val="18"/>
              </w:rPr>
              <w:t xml:space="preserve">No</w:t>
            </w:r>
          </w:p>
        </w:tc>
      </w:tr>
    </w:tbl>
    <w:p>
      <w:pPr>
        <w:spacing w:before="0" w:after="0" w:line="240" w:lineRule="auto"/>
        <w:rPr>
          <w:sz w:val="12"/>
          <w:szCs w:val="12"/>
        </w:rPr>
      </w:pPr>
    </w:p>
    <w:p>
      <w:pPr>
        <w:pStyle w:val="Heading1"/>
      </w:pPr>
      <w:bookmarkStart w:id="138" w:name="_TocMlat00138"/>
      <w:r>
        <w:t xml:space="preserve">Limitations</w:t>
      </w:r>
      <w:bookmarkEnd w:id="138"/>
    </w:p>
    <w:p>
      <w:pPr>
        <w:pStyle w:val="ListBullet"/>
        <w:numPr>
          <w:ilvl w:val="0"/>
          <w:numId w:val="1"/>
        </w:numPr>
      </w:pPr>
      <w:r>
        <w:t xml:space="preserve">This is a technical assessment, not an official Microsoft licensing or legal determination.</w:t>
      </w:r>
    </w:p>
    <w:p>
      <w:pPr>
        <w:pStyle w:val="ListBullet"/>
        <w:numPr>
          <w:ilvl w:val="0"/>
          <w:numId w:val="1"/>
        </w:numPr>
      </w:pPr>
      <w:r>
        <w:t xml:space="preserve">Proof of license (invoices, agreements, OEM COAs) is not verified; Software Assurance and license mobility rights are only considered when recorded in the license inventory.</w:t>
      </w:r>
    </w:p>
    <w:p>
      <w:pPr>
        <w:pStyle w:val="ListBullet"/>
        <w:numPr>
          <w:ilvl w:val="0"/>
          <w:numId w:val="1"/>
        </w:numPr>
      </w:pPr>
      <w:r>
        <w:t xml:space="preserve">Only machines included in this assessment are evaluated (22 machine(s)); unassessed machines are not represented in the calculation.</w:t>
      </w:r>
    </w:p>
    <w:p>
      <w:pPr>
        <w:pStyle w:val="ListBullet"/>
        <w:numPr>
          <w:ilvl w:val="0"/>
          <w:numId w:val="1"/>
        </w:numPr>
      </w:pPr>
      <w:r>
        <w:t xml:space="preserve">PRINT01 (10.10.20.31) did not respond on TCP 135, 5985 or 5986. Check name resolution, the firewall and that the computer is online. [PRINT01]</w:t>
      </w:r>
    </w:p>
    <w:p>
      <w:pPr>
        <w:pStyle w:val="ListBullet"/>
        <w:numPr>
          <w:ilvl w:val="0"/>
          <w:numId w:val="1"/>
        </w:numPr>
      </w:pPr>
      <w:r>
        <w:t xml:space="preserve">WEBVM01 (10.10.20.41) did not respond on TCP 135, 5985 or 5986 (DMZ firewall). [WEBVM01]</w:t>
      </w:r>
    </w:p>
    <w:p>
      <w:pPr>
        <w:pStyle w:val="ListBullet"/>
        <w:numPr>
          <w:ilvl w:val="0"/>
          <w:numId w:val="1"/>
        </w:numPr>
      </w:pPr>
      <w:r>
        <w:t xml:space="preserve">APP02 (10.10.20.23): access denied for the credential sets 'Domain admin (DEMO)' and 'DMZ local admin'. [APP02]</w:t>
      </w:r>
    </w:p>
    <w:p>
      <w:pPr>
        <w:pStyle w:val="ListBullet"/>
        <w:numPr>
          <w:ilvl w:val="0"/>
          <w:numId w:val="1"/>
        </w:numPr>
      </w:pPr>
      <w:r>
        <w:t xml:space="preserve">Passive failover rights, SQL Server virtualization rights with SA, multiplexing, external connector and dual-use rights are not evaluated automatically.</w:t>
      </w:r>
    </w:p>
    <w:p>
      <w:r>
        <w:t xml:space="preserve">Data could not be fully collected for 6 target/module combinations (see </w:t>
      </w:r>
      <w:r>
        <w:rPr>
          <w:b/>
          <w:bCs/>
        </w:rPr>
        <w:t xml:space="preserve">Data collection coverage</w:t>
      </w:r>
      <w:r>
        <w:t xml:space="preserve">). Positions that depend on this data may be understated or marked </w:t>
      </w:r>
      <w:r>
        <w:rPr>
          <w:b/>
          <w:bCs/>
          <w:color w:val="4A5160"/>
          <w:sz w:val="17"/>
          <w:szCs w:val="17"/>
          <w:shd w:val="clear" w:color="auto" w:fill="ECEEF2"/>
        </w:rPr>
        <w:t xml:space="preserve"> Unable to Determine </w:t>
      </w:r>
      <w:r>
        <w:t xml:space="preserve">.</w:t>
      </w:r>
    </w:p>
    <w:p>
      <w:pPr>
        <w:pStyle w:val="Heading1"/>
        <w:pageBreakBefore/>
      </w:pPr>
      <w:bookmarkStart w:id="139" w:name="_TocMlat00139"/>
      <w:r>
        <w:t xml:space="preserve">Licensing rules package</w:t>
      </w:r>
      <w:bookmarkEnd w:id="139"/>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2925"/>
        <w:gridCol w:w="6827"/>
      </w:tblGrid>
      <w:tr>
        <w:trPr>
          <w:cantSplit/>
        </w:trPr>
        <w:tc>
          <w:tcPr>
            <w:tcW w:w="2925" w:type="dxa"/>
          </w:tcPr>
          <w:p>
            <w:pPr>
              <w:pStyle w:val="TableText"/>
              <w:keepNext/>
            </w:pPr>
            <w:r>
              <w:rPr>
                <w:color w:val="5B6475"/>
                <w:sz w:val="18"/>
                <w:szCs w:val="18"/>
              </w:rPr>
              <w:t xml:space="preserve">Ruleset version</w:t>
            </w:r>
          </w:p>
        </w:tc>
        <w:tc>
          <w:tcPr>
            <w:tcW w:w="6827" w:type="dxa"/>
          </w:tcPr>
          <w:p>
            <w:pPr>
              <w:pStyle w:val="TableText"/>
              <w:keepNext/>
            </w:pPr>
            <w:r>
              <w:rPr>
                <w:sz w:val="18"/>
                <w:szCs w:val="18"/>
              </w:rPr>
              <w:t xml:space="preserve">2026.10.3</w:t>
            </w:r>
          </w:p>
        </w:tc>
      </w:tr>
      <w:tr>
        <w:trPr>
          <w:cantSplit/>
        </w:trPr>
        <w:tc>
          <w:tcPr>
            <w:tcW w:w="2925" w:type="dxa"/>
          </w:tcPr>
          <w:p>
            <w:pPr>
              <w:pStyle w:val="TableText"/>
              <w:keepNext/>
            </w:pPr>
            <w:r>
              <w:rPr>
                <w:color w:val="5B6475"/>
                <w:sz w:val="18"/>
                <w:szCs w:val="18"/>
              </w:rPr>
              <w:t xml:space="preserve">Published</w:t>
            </w:r>
          </w:p>
        </w:tc>
        <w:tc>
          <w:tcPr>
            <w:tcW w:w="6827" w:type="dxa"/>
          </w:tcPr>
          <w:p>
            <w:pPr>
              <w:pStyle w:val="TableText"/>
              <w:keepNext/>
            </w:pPr>
            <w:r>
              <w:rPr>
                <w:sz w:val="18"/>
                <w:szCs w:val="18"/>
              </w:rPr>
              <w:t xml:space="preserve">2026-10-02</w:t>
            </w:r>
          </w:p>
        </w:tc>
      </w:tr>
      <w:tr>
        <w:trPr>
          <w:cantSplit/>
        </w:trPr>
        <w:tc>
          <w:tcPr>
            <w:tcW w:w="2925" w:type="dxa"/>
          </w:tcPr>
          <w:p>
            <w:pPr>
              <w:pStyle w:val="TableText"/>
              <w:keepNext/>
            </w:pPr>
            <w:r>
              <w:rPr>
                <w:color w:val="5B6475"/>
                <w:sz w:val="18"/>
                <w:szCs w:val="18"/>
              </w:rPr>
              <w:t xml:space="preserve">Publisher</w:t>
            </w:r>
          </w:p>
        </w:tc>
        <w:tc>
          <w:tcPr>
            <w:tcW w:w="6827" w:type="dxa"/>
          </w:tcPr>
          <w:p>
            <w:pPr>
              <w:pStyle w:val="TableText"/>
              <w:keepNext/>
            </w:pPr>
            <w:r>
              <w:rPr>
                <w:sz w:val="18"/>
                <w:szCs w:val="18"/>
              </w:rPr>
              <w:t xml:space="preserve">Niyya Software</w:t>
            </w:r>
          </w:p>
        </w:tc>
      </w:tr>
      <w:tr>
        <w:trPr>
          <w:cantSplit/>
        </w:trPr>
        <w:tc>
          <w:tcPr>
            <w:tcW w:w="2925" w:type="dxa"/>
          </w:tcPr>
          <w:p>
            <w:pPr>
              <w:pStyle w:val="TableText"/>
              <w:keepNext/>
            </w:pPr>
            <w:r>
              <w:rPr>
                <w:color w:val="5B6475"/>
                <w:sz w:val="18"/>
                <w:szCs w:val="18"/>
              </w:rPr>
              <w:t xml:space="preserve">Loaded from</w:t>
            </w:r>
          </w:p>
        </w:tc>
        <w:tc>
          <w:tcPr>
            <w:tcW w:w="6827" w:type="dxa"/>
          </w:tcPr>
          <w:p>
            <w:pPr>
              <w:pStyle w:val="TableText"/>
              <w:keepNext/>
            </w:pPr>
            <w:r>
              <w:rPr>
                <w:sz w:val="18"/>
                <w:szCs w:val="18"/>
              </w:rPr>
              <w:t xml:space="preserve">Built-in</w:t>
            </w:r>
          </w:p>
        </w:tc>
      </w:tr>
      <w:tr>
        <w:trPr>
          <w:cantSplit/>
        </w:trPr>
        <w:tc>
          <w:tcPr>
            <w:tcW w:w="2925" w:type="dxa"/>
          </w:tcPr>
          <w:p>
            <w:pPr>
              <w:pStyle w:val="TableText"/>
              <w:keepNext/>
            </w:pPr>
            <w:r>
              <w:rPr>
                <w:color w:val="5B6475"/>
                <w:sz w:val="18"/>
                <w:szCs w:val="18"/>
              </w:rPr>
              <w:t xml:space="preserve">Signature status</w:t>
            </w:r>
          </w:p>
        </w:tc>
        <w:tc>
          <w:tcPr>
            <w:tcW w:w="6827" w:type="dxa"/>
          </w:tcPr>
          <w:p>
            <w:pPr>
              <w:pStyle w:val="TableText"/>
              <w:keepNext/>
            </w:pPr>
            <w:r>
              <w:rPr>
                <w:b/>
                <w:bCs/>
                <w:color w:val="B7791F"/>
                <w:sz w:val="18"/>
                <w:szCs w:val="18"/>
              </w:rPr>
              <w:t xml:space="preserve">Built-in (embedded in signed application)</w:t>
            </w:r>
          </w:p>
        </w:tc>
      </w:tr>
      <w:tr>
        <w:trPr>
          <w:cantSplit/>
        </w:trPr>
        <w:tc>
          <w:tcPr>
            <w:tcW w:w="2925" w:type="dxa"/>
          </w:tcPr>
          <w:p>
            <w:pPr>
              <w:pStyle w:val="TableText"/>
            </w:pPr>
            <w:r>
              <w:rPr>
                <w:color w:val="5B6475"/>
                <w:sz w:val="18"/>
                <w:szCs w:val="18"/>
              </w:rPr>
              <w:t xml:space="preserve">SHA-256</w:t>
            </w:r>
          </w:p>
        </w:tc>
        <w:tc>
          <w:tcPr>
            <w:tcW w:w="6827" w:type="dxa"/>
          </w:tcPr>
          <w:p>
            <w:pPr>
              <w:pStyle w:val="TableText"/>
            </w:pPr>
            <w:r>
              <w:rPr>
                <w:sz w:val="15"/>
                <w:szCs w:val="15"/>
              </w:rPr>
              <w:t xml:space="preserve">954a2241e8b9dde8b50628a4cc3e76569cecdd210e10a9bd8d89bf593757ae76</w:t>
            </w:r>
          </w:p>
        </w:tc>
      </w:tr>
    </w:tbl>
    <w:p>
      <w:pPr>
        <w:spacing w:before="0" w:after="0" w:line="240" w:lineRule="auto"/>
        <w:rPr>
          <w:sz w:val="12"/>
          <w:szCs w:val="12"/>
        </w:rPr>
      </w:pPr>
    </w:p>
    <w:p>
      <w:pPr>
        <w:pStyle w:val="Heading2"/>
      </w:pPr>
      <w:bookmarkStart w:id="140" w:name="_TocMlat00140"/>
      <w:r>
        <w:t xml:space="preserve">Rules executed in this assessment</w:t>
      </w:r>
      <w:bookmarkEnd w:id="140"/>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474"/>
        <w:gridCol w:w="777"/>
        <w:gridCol w:w="2120"/>
        <w:gridCol w:w="1029"/>
        <w:gridCol w:w="1256"/>
        <w:gridCol w:w="851"/>
        <w:gridCol w:w="2245"/>
      </w:tblGrid>
      <w:tr>
        <w:trPr>
          <w:cantSplit/>
          <w:tblHeader/>
        </w:trPr>
        <w:tc>
          <w:tcPr>
            <w:tcW w:w="1474" w:type="dxa"/>
            <w:shd w:val="clear" w:color="auto" w:fill="1F3A5F"/>
            <w:vAlign w:val="bottom"/>
          </w:tcPr>
          <w:p>
            <w:pPr>
              <w:pStyle w:val="TableText"/>
              <w:keepNext/>
            </w:pPr>
            <w:r>
              <w:rPr>
                <w:b/>
                <w:bCs/>
                <w:color w:val="FFFFFF"/>
                <w:sz w:val="16"/>
                <w:szCs w:val="16"/>
              </w:rPr>
              <w:t xml:space="preserve">Rule</w:t>
            </w:r>
          </w:p>
        </w:tc>
        <w:tc>
          <w:tcPr>
            <w:tcW w:w="777" w:type="dxa"/>
            <w:shd w:val="clear" w:color="auto" w:fill="1F3A5F"/>
            <w:vAlign w:val="bottom"/>
          </w:tcPr>
          <w:p>
            <w:pPr>
              <w:pStyle w:val="TableText"/>
              <w:keepNext/>
            </w:pPr>
            <w:r>
              <w:rPr>
                <w:b/>
                <w:bCs/>
                <w:color w:val="FFFFFF"/>
                <w:sz w:val="16"/>
                <w:szCs w:val="16"/>
              </w:rPr>
              <w:t xml:space="preserve">Version</w:t>
            </w:r>
          </w:p>
        </w:tc>
        <w:tc>
          <w:tcPr>
            <w:tcW w:w="2120" w:type="dxa"/>
            <w:shd w:val="clear" w:color="auto" w:fill="1F3A5F"/>
            <w:vAlign w:val="bottom"/>
          </w:tcPr>
          <w:p>
            <w:pPr>
              <w:pStyle w:val="TableText"/>
              <w:keepNext/>
            </w:pPr>
            <w:r>
              <w:rPr>
                <w:b/>
                <w:bCs/>
                <w:color w:val="FFFFFF"/>
                <w:sz w:val="16"/>
                <w:szCs w:val="16"/>
              </w:rPr>
              <w:t xml:space="preserve">Calculation method</w:t>
            </w:r>
          </w:p>
        </w:tc>
        <w:tc>
          <w:tcPr>
            <w:tcW w:w="1029" w:type="dxa"/>
            <w:shd w:val="clear" w:color="auto" w:fill="1F3A5F"/>
            <w:vAlign w:val="bottom"/>
          </w:tcPr>
          <w:p>
            <w:pPr>
              <w:pStyle w:val="TableText"/>
              <w:keepNext/>
            </w:pPr>
            <w:r>
              <w:rPr>
                <w:b/>
                <w:bCs/>
                <w:color w:val="FFFFFF"/>
                <w:sz w:val="16"/>
                <w:szCs w:val="16"/>
              </w:rPr>
              <w:t xml:space="preserve">Outcome</w:t>
            </w:r>
          </w:p>
        </w:tc>
        <w:tc>
          <w:tcPr>
            <w:tcW w:w="1256" w:type="dxa"/>
            <w:shd w:val="clear" w:color="auto" w:fill="1F3A5F"/>
            <w:vAlign w:val="bottom"/>
          </w:tcPr>
          <w:p>
            <w:pPr>
              <w:pStyle w:val="TableText"/>
              <w:keepNext/>
              <w:jc w:val="right"/>
            </w:pPr>
            <w:r>
              <w:rPr>
                <w:b/>
                <w:bCs/>
                <w:color w:val="FFFFFF"/>
                <w:sz w:val="16"/>
                <w:szCs w:val="16"/>
              </w:rPr>
              <w:t xml:space="preserve">Requirements</w:t>
            </w:r>
          </w:p>
        </w:tc>
        <w:tc>
          <w:tcPr>
            <w:tcW w:w="851" w:type="dxa"/>
            <w:shd w:val="clear" w:color="auto" w:fill="1F3A5F"/>
            <w:vAlign w:val="bottom"/>
          </w:tcPr>
          <w:p>
            <w:pPr>
              <w:pStyle w:val="TableText"/>
              <w:keepNext/>
              <w:jc w:val="right"/>
            </w:pPr>
            <w:r>
              <w:rPr>
                <w:b/>
                <w:bCs/>
                <w:color w:val="FFFFFF"/>
                <w:sz w:val="16"/>
                <w:szCs w:val="16"/>
              </w:rPr>
              <w:t xml:space="preserve">Findings</w:t>
            </w:r>
          </w:p>
        </w:tc>
        <w:tc>
          <w:tcPr>
            <w:tcW w:w="2245" w:type="dxa"/>
            <w:shd w:val="clear" w:color="auto" w:fill="1F3A5F"/>
            <w:vAlign w:val="bottom"/>
          </w:tcPr>
          <w:p>
            <w:pPr>
              <w:pStyle w:val="TableText"/>
              <w:keepNext/>
            </w:pPr>
            <w:r>
              <w:rPr>
                <w:b/>
                <w:bCs/>
                <w:color w:val="FFFFFF"/>
                <w:sz w:val="16"/>
                <w:szCs w:val="16"/>
              </w:rPr>
              <w:t xml:space="preserve">Message</w:t>
            </w:r>
          </w:p>
        </w:tc>
      </w:tr>
      <w:tr>
        <w:trPr>
          <w:cantSplit/>
        </w:trPr>
        <w:tc>
          <w:tcPr>
            <w:tcW w:w="1474" w:type="dxa"/>
          </w:tcPr>
          <w:p>
            <w:pPr>
              <w:pStyle w:val="TableText"/>
            </w:pPr>
            <w:r>
              <w:rPr>
                <w:b/>
                <w:bCs/>
                <w:sz w:val="16"/>
                <w:szCs w:val="16"/>
              </w:rPr>
              <w:t xml:space="preserve">RULE-WINSERVER-001</w:t>
            </w:r>
          </w:p>
        </w:tc>
        <w:tc>
          <w:tcPr>
            <w:tcW w:w="777" w:type="dxa"/>
          </w:tcPr>
          <w:p>
            <w:pPr>
              <w:pStyle w:val="TableText"/>
            </w:pPr>
            <w:r>
              <w:rPr>
                <w:sz w:val="16"/>
                <w:szCs w:val="16"/>
              </w:rPr>
              <w:t xml:space="preserve">1.1</w:t>
            </w:r>
          </w:p>
        </w:tc>
        <w:tc>
          <w:tcPr>
            <w:tcW w:w="2120" w:type="dxa"/>
          </w:tcPr>
          <w:p>
            <w:pPr>
              <w:pStyle w:val="TableText"/>
            </w:pPr>
            <w:r>
              <w:rPr>
                <w:sz w:val="16"/>
                <w:szCs w:val="16"/>
              </w:rPr>
              <w:t xml:space="preserve">WindowsServerHostCore</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4</w:t>
            </w:r>
          </w:p>
        </w:tc>
        <w:tc>
          <w:tcPr>
            <w:tcW w:w="851" w:type="dxa"/>
          </w:tcPr>
          <w:p>
            <w:pPr>
              <w:pStyle w:val="TableText"/>
              <w:jc w:val="right"/>
            </w:pPr>
            <w:r>
              <w:rPr>
                <w:sz w:val="16"/>
                <w:szCs w:val="16"/>
              </w:rPr>
              <w:t xml:space="preserve">1</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RULE-CLUSTER-031</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ClusterLicensing</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3</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RULE-WINSERVER-002</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WindowsServerUnassignedVm</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RULE-WINSERVER-003</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WindowsServerCloud</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1</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RULE-WINSERVER-004</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WindowsServerEssentials</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RULE-WINSERVER-005</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ServerCal</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2</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RULE-RDS-006</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RdsCal</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2</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RULE-SQL-007</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SqlCore</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3</w:t>
            </w:r>
          </w:p>
        </w:tc>
        <w:tc>
          <w:tcPr>
            <w:tcW w:w="851" w:type="dxa"/>
            <w:shd w:val="clear" w:color="auto" w:fill="F7F9FB"/>
          </w:tcPr>
          <w:p>
            <w:pPr>
              <w:pStyle w:val="TableText"/>
              <w:jc w:val="right"/>
            </w:pPr>
            <w:r>
              <w:rPr>
                <w:sz w:val="16"/>
                <w:szCs w:val="16"/>
              </w:rPr>
              <w:t xml:space="preserve">2</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RULE-SQL-008</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SqlServerCal</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3</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RULE-SQL-009</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SqlNonCommercialEditions</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2</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RULE-WINCLIENT-010</w:t>
            </w:r>
          </w:p>
        </w:tc>
        <w:tc>
          <w:tcPr>
            <w:tcW w:w="777" w:type="dxa"/>
          </w:tcPr>
          <w:p>
            <w:pPr>
              <w:pStyle w:val="TableText"/>
            </w:pPr>
            <w:r>
              <w:rPr>
                <w:sz w:val="16"/>
                <w:szCs w:val="16"/>
              </w:rPr>
              <w:t xml:space="preserve">1.1</w:t>
            </w:r>
          </w:p>
        </w:tc>
        <w:tc>
          <w:tcPr>
            <w:tcW w:w="2120" w:type="dxa"/>
          </w:tcPr>
          <w:p>
            <w:pPr>
              <w:pStyle w:val="TableText"/>
            </w:pPr>
            <w:r>
              <w:rPr>
                <w:sz w:val="16"/>
                <w:szCs w:val="16"/>
              </w:rPr>
              <w:t xml:space="preserve">WindowsActivation</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1</w:t>
            </w:r>
          </w:p>
        </w:tc>
        <w:tc>
          <w:tcPr>
            <w:tcW w:w="851" w:type="dxa"/>
          </w:tcPr>
          <w:p>
            <w:pPr>
              <w:pStyle w:val="TableText"/>
              <w:jc w:val="right"/>
            </w:pPr>
            <w:r>
              <w:rPr>
                <w:sz w:val="16"/>
                <w:szCs w:val="16"/>
              </w:rPr>
              <w:t xml:space="preserve">4</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RULE-WINCLIENT-011</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WindowsEnterprise</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1</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RULE-WINCLIENT-012</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WindowsVdi</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RULE-OFFICE-013</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OfficePerpetual</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2</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RULE-OFFICE-014</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M365Apps</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1</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RULE-OFFICE-015</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OfficeConsumer</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1</w:t>
            </w:r>
          </w:p>
        </w:tc>
        <w:tc>
          <w:tcPr>
            <w:tcW w:w="851" w:type="dxa"/>
            <w:shd w:val="clear" w:color="auto" w:fill="F7F9FB"/>
          </w:tcPr>
          <w:p>
            <w:pPr>
              <w:pStyle w:val="TableText"/>
              <w:jc w:val="right"/>
            </w:pPr>
            <w:r>
              <w:rPr>
                <w:sz w:val="16"/>
                <w:szCs w:val="16"/>
              </w:rPr>
              <w:t xml:space="preserve">1</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RULE-OFFICE-016</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OfficeOnRds</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1</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RULE-VS-017</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VisualStudio</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1</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RULE-EXCH-018</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ServerProduct</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3</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RULE-SP-019</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ServerProduct</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RULE-SFB-020</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ServerProduct</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0</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RULE-OTHER-021</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OtherServerProducts</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0</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RULE-INTUNE-022</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IntuneUsers</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1</w:t>
            </w:r>
          </w:p>
        </w:tc>
        <w:tc>
          <w:tcPr>
            <w:tcW w:w="851" w:type="dxa"/>
          </w:tcPr>
          <w:p>
            <w:pPr>
              <w:pStyle w:val="TableText"/>
              <w:jc w:val="right"/>
            </w:pPr>
            <w:r>
              <w:rPr>
                <w:sz w:val="16"/>
                <w:szCs w:val="16"/>
              </w:rPr>
              <w:t xml:space="preserve">2</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RULE-ENTRA-023</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EntraConditionalAccess</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1</w:t>
            </w:r>
          </w:p>
        </w:tc>
        <w:tc>
          <w:tcPr>
            <w:tcW w:w="851" w:type="dxa"/>
            <w:shd w:val="clear" w:color="auto" w:fill="F7F9FB"/>
          </w:tcPr>
          <w:p>
            <w:pPr>
              <w:pStyle w:val="TableText"/>
              <w:jc w:val="right"/>
            </w:pPr>
            <w:r>
              <w:rPr>
                <w:sz w:val="16"/>
                <w:szCs w:val="16"/>
              </w:rPr>
              <w:t xml:space="preserve">1</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RULE-ENTRA-024</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EntraP2Features</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1</w:t>
            </w:r>
          </w:p>
        </w:tc>
        <w:tc>
          <w:tcPr>
            <w:tcW w:w="851" w:type="dxa"/>
          </w:tcPr>
          <w:p>
            <w:pPr>
              <w:pStyle w:val="TableText"/>
              <w:jc w:val="right"/>
            </w:pPr>
            <w:r>
              <w:rPr>
                <w:sz w:val="16"/>
                <w:szCs w:val="16"/>
              </w:rPr>
              <w:t xml:space="preserve">1</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RULE-DEFENDER-025</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DefenderUsage</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4</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RULE-PURVIEW-026</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PurviewUsage</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3</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RULE-M365-027</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M365Utilization</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5</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RULE-LIFECYCLE-028</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Lifecycle</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6</w:t>
            </w:r>
          </w:p>
        </w:tc>
        <w:tc>
          <w:tcPr>
            <w:tcW w:w="2245" w:type="dxa"/>
          </w:tcPr>
          <w:p>
            <w:pPr>
              <w:pStyle w:val="TableText"/>
            </w:pPr>
          </w:p>
        </w:tc>
      </w:tr>
      <w:tr>
        <w:trPr>
          <w:cantSplit/>
        </w:trPr>
        <w:tc>
          <w:tcPr>
            <w:tcW w:w="1474" w:type="dxa"/>
            <w:shd w:val="clear" w:color="auto" w:fill="F7F9FB"/>
          </w:tcPr>
          <w:p>
            <w:pPr>
              <w:pStyle w:val="TableText"/>
            </w:pPr>
            <w:r>
              <w:rPr>
                <w:b/>
                <w:bCs/>
                <w:sz w:val="16"/>
                <w:szCs w:val="16"/>
              </w:rPr>
              <w:t xml:space="preserve">RULE-HYGIENE-029</w:t>
            </w:r>
          </w:p>
        </w:tc>
        <w:tc>
          <w:tcPr>
            <w:tcW w:w="777" w:type="dxa"/>
            <w:shd w:val="clear" w:color="auto" w:fill="F7F9FB"/>
          </w:tcPr>
          <w:p>
            <w:pPr>
              <w:pStyle w:val="TableText"/>
            </w:pPr>
            <w:r>
              <w:rPr>
                <w:sz w:val="16"/>
                <w:szCs w:val="16"/>
              </w:rPr>
              <w:t xml:space="preserve">1.0</w:t>
            </w:r>
          </w:p>
        </w:tc>
        <w:tc>
          <w:tcPr>
            <w:tcW w:w="2120" w:type="dxa"/>
            <w:shd w:val="clear" w:color="auto" w:fill="F7F9FB"/>
          </w:tcPr>
          <w:p>
            <w:pPr>
              <w:pStyle w:val="TableText"/>
            </w:pPr>
            <w:r>
              <w:rPr>
                <w:sz w:val="16"/>
                <w:szCs w:val="16"/>
              </w:rPr>
              <w:t xml:space="preserve">Hygiene</w:t>
            </w:r>
          </w:p>
        </w:tc>
        <w:tc>
          <w:tcPr>
            <w:tcW w:w="1029" w:type="dxa"/>
            <w:shd w:val="clear" w:color="auto" w:fill="F7F9FB"/>
          </w:tcPr>
          <w:p>
            <w:pPr>
              <w:pStyle w:val="TableText"/>
            </w:pPr>
            <w:r>
              <w:rPr>
                <w:sz w:val="16"/>
                <w:szCs w:val="16"/>
              </w:rPr>
              <w:t xml:space="preserve">Executed</w:t>
            </w:r>
          </w:p>
        </w:tc>
        <w:tc>
          <w:tcPr>
            <w:tcW w:w="1256" w:type="dxa"/>
            <w:shd w:val="clear" w:color="auto" w:fill="F7F9FB"/>
          </w:tcPr>
          <w:p>
            <w:pPr>
              <w:pStyle w:val="TableText"/>
              <w:jc w:val="right"/>
            </w:pPr>
            <w:r>
              <w:rPr>
                <w:sz w:val="16"/>
                <w:szCs w:val="16"/>
              </w:rPr>
              <w:t xml:space="preserve">0</w:t>
            </w:r>
          </w:p>
        </w:tc>
        <w:tc>
          <w:tcPr>
            <w:tcW w:w="851" w:type="dxa"/>
            <w:shd w:val="clear" w:color="auto" w:fill="F7F9FB"/>
          </w:tcPr>
          <w:p>
            <w:pPr>
              <w:pStyle w:val="TableText"/>
              <w:jc w:val="right"/>
            </w:pPr>
            <w:r>
              <w:rPr>
                <w:sz w:val="16"/>
                <w:szCs w:val="16"/>
              </w:rPr>
              <w:t xml:space="preserve">1</w:t>
            </w:r>
          </w:p>
        </w:tc>
        <w:tc>
          <w:tcPr>
            <w:tcW w:w="2245" w:type="dxa"/>
            <w:shd w:val="clear" w:color="auto" w:fill="F7F9FB"/>
          </w:tcPr>
          <w:p>
            <w:pPr>
              <w:pStyle w:val="TableText"/>
            </w:pPr>
          </w:p>
        </w:tc>
      </w:tr>
      <w:tr>
        <w:trPr>
          <w:cantSplit/>
        </w:trPr>
        <w:tc>
          <w:tcPr>
            <w:tcW w:w="1474" w:type="dxa"/>
          </w:tcPr>
          <w:p>
            <w:pPr>
              <w:pStyle w:val="TableText"/>
            </w:pPr>
            <w:r>
              <w:rPr>
                <w:b/>
                <w:bCs/>
                <w:sz w:val="16"/>
                <w:szCs w:val="16"/>
              </w:rPr>
              <w:t xml:space="preserve">RULE-INVENTORY-030</w:t>
            </w:r>
          </w:p>
        </w:tc>
        <w:tc>
          <w:tcPr>
            <w:tcW w:w="777" w:type="dxa"/>
          </w:tcPr>
          <w:p>
            <w:pPr>
              <w:pStyle w:val="TableText"/>
            </w:pPr>
            <w:r>
              <w:rPr>
                <w:sz w:val="16"/>
                <w:szCs w:val="16"/>
              </w:rPr>
              <w:t xml:space="preserve">1.0</w:t>
            </w:r>
          </w:p>
        </w:tc>
        <w:tc>
          <w:tcPr>
            <w:tcW w:w="2120" w:type="dxa"/>
          </w:tcPr>
          <w:p>
            <w:pPr>
              <w:pStyle w:val="TableText"/>
            </w:pPr>
            <w:r>
              <w:rPr>
                <w:sz w:val="16"/>
                <w:szCs w:val="16"/>
              </w:rPr>
              <w:t xml:space="preserve">EntitlementValidation</w:t>
            </w:r>
          </w:p>
        </w:tc>
        <w:tc>
          <w:tcPr>
            <w:tcW w:w="1029" w:type="dxa"/>
          </w:tcPr>
          <w:p>
            <w:pPr>
              <w:pStyle w:val="TableText"/>
            </w:pPr>
            <w:r>
              <w:rPr>
                <w:sz w:val="16"/>
                <w:szCs w:val="16"/>
              </w:rPr>
              <w:t xml:space="preserve">Executed</w:t>
            </w:r>
          </w:p>
        </w:tc>
        <w:tc>
          <w:tcPr>
            <w:tcW w:w="1256" w:type="dxa"/>
          </w:tcPr>
          <w:p>
            <w:pPr>
              <w:pStyle w:val="TableText"/>
              <w:jc w:val="right"/>
            </w:pPr>
            <w:r>
              <w:rPr>
                <w:sz w:val="16"/>
                <w:szCs w:val="16"/>
              </w:rPr>
              <w:t xml:space="preserve">0</w:t>
            </w:r>
          </w:p>
        </w:tc>
        <w:tc>
          <w:tcPr>
            <w:tcW w:w="851" w:type="dxa"/>
          </w:tcPr>
          <w:p>
            <w:pPr>
              <w:pStyle w:val="TableText"/>
              <w:jc w:val="right"/>
            </w:pPr>
            <w:r>
              <w:rPr>
                <w:sz w:val="16"/>
                <w:szCs w:val="16"/>
              </w:rPr>
              <w:t xml:space="preserve">1</w:t>
            </w:r>
          </w:p>
        </w:tc>
        <w:tc>
          <w:tcPr>
            <w:tcW w:w="2245" w:type="dxa"/>
          </w:tcPr>
          <w:p>
            <w:pPr>
              <w:pStyle w:val="TableText"/>
            </w:pPr>
          </w:p>
        </w:tc>
      </w:tr>
    </w:tbl>
    <w:p>
      <w:pPr>
        <w:spacing w:before="0" w:after="0" w:line="240" w:lineRule="auto"/>
        <w:rPr>
          <w:sz w:val="12"/>
          <w:szCs w:val="12"/>
        </w:rPr>
      </w:pPr>
    </w:p>
    <w:p>
      <w:pPr>
        <w:pStyle w:val="Heading2"/>
      </w:pPr>
      <w:bookmarkStart w:id="141" w:name="_TocMlat00141"/>
      <w:r>
        <w:t xml:space="preserve">Rules in the package</w:t>
      </w:r>
      <w:bookmarkEnd w:id="141"/>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1261"/>
        <w:gridCol w:w="741"/>
        <w:gridCol w:w="2563"/>
        <w:gridCol w:w="1346"/>
        <w:gridCol w:w="970"/>
        <w:gridCol w:w="1911"/>
        <w:gridCol w:w="960"/>
      </w:tblGrid>
      <w:tr>
        <w:trPr>
          <w:cantSplit/>
          <w:tblHeader/>
        </w:trPr>
        <w:tc>
          <w:tcPr>
            <w:tcW w:w="1261" w:type="dxa"/>
            <w:shd w:val="clear" w:color="auto" w:fill="1F3A5F"/>
            <w:vAlign w:val="bottom"/>
          </w:tcPr>
          <w:p>
            <w:pPr>
              <w:pStyle w:val="TableText"/>
              <w:keepNext/>
            </w:pPr>
            <w:r>
              <w:rPr>
                <w:b/>
                <w:bCs/>
                <w:color w:val="FFFFFF"/>
                <w:sz w:val="15"/>
                <w:szCs w:val="15"/>
              </w:rPr>
              <w:t xml:space="preserve">Rule</w:t>
            </w:r>
          </w:p>
        </w:tc>
        <w:tc>
          <w:tcPr>
            <w:tcW w:w="741" w:type="dxa"/>
            <w:shd w:val="clear" w:color="auto" w:fill="1F3A5F"/>
            <w:vAlign w:val="bottom"/>
          </w:tcPr>
          <w:p>
            <w:pPr>
              <w:pStyle w:val="TableText"/>
              <w:keepNext/>
            </w:pPr>
            <w:r>
              <w:rPr>
                <w:b/>
                <w:bCs/>
                <w:color w:val="FFFFFF"/>
                <w:sz w:val="15"/>
                <w:szCs w:val="15"/>
              </w:rPr>
              <w:t xml:space="preserve">Version</w:t>
            </w:r>
          </w:p>
        </w:tc>
        <w:tc>
          <w:tcPr>
            <w:tcW w:w="2563" w:type="dxa"/>
            <w:shd w:val="clear" w:color="auto" w:fill="1F3A5F"/>
            <w:vAlign w:val="bottom"/>
          </w:tcPr>
          <w:p>
            <w:pPr>
              <w:pStyle w:val="TableText"/>
              <w:keepNext/>
            </w:pPr>
            <w:r>
              <w:rPr>
                <w:b/>
                <w:bCs/>
                <w:color w:val="FFFFFF"/>
                <w:sz w:val="15"/>
                <w:szCs w:val="15"/>
              </w:rPr>
              <w:t xml:space="preserve">Name</w:t>
            </w:r>
          </w:p>
        </w:tc>
        <w:tc>
          <w:tcPr>
            <w:tcW w:w="1346" w:type="dxa"/>
            <w:shd w:val="clear" w:color="auto" w:fill="1F3A5F"/>
            <w:vAlign w:val="bottom"/>
          </w:tcPr>
          <w:p>
            <w:pPr>
              <w:pStyle w:val="TableText"/>
              <w:keepNext/>
            </w:pPr>
            <w:r>
              <w:rPr>
                <w:b/>
                <w:bCs/>
                <w:color w:val="FFFFFF"/>
                <w:sz w:val="15"/>
                <w:szCs w:val="15"/>
              </w:rPr>
              <w:t xml:space="preserve">Product</w:t>
            </w:r>
          </w:p>
        </w:tc>
        <w:tc>
          <w:tcPr>
            <w:tcW w:w="970" w:type="dxa"/>
            <w:shd w:val="clear" w:color="auto" w:fill="1F3A5F"/>
            <w:vAlign w:val="bottom"/>
          </w:tcPr>
          <w:p>
            <w:pPr>
              <w:pStyle w:val="TableText"/>
              <w:keepNext/>
            </w:pPr>
            <w:r>
              <w:rPr>
                <w:b/>
                <w:bCs/>
                <w:color w:val="FFFFFF"/>
                <w:sz w:val="15"/>
                <w:szCs w:val="15"/>
              </w:rPr>
              <w:t xml:space="preserve">Last reviewed</w:t>
            </w:r>
          </w:p>
        </w:tc>
        <w:tc>
          <w:tcPr>
            <w:tcW w:w="1911" w:type="dxa"/>
            <w:shd w:val="clear" w:color="auto" w:fill="1F3A5F"/>
            <w:vAlign w:val="bottom"/>
          </w:tcPr>
          <w:p>
            <w:pPr>
              <w:pStyle w:val="TableText"/>
              <w:keepNext/>
            </w:pPr>
            <w:r>
              <w:rPr>
                <w:b/>
                <w:bCs/>
                <w:color w:val="FFFFFF"/>
                <w:sz w:val="15"/>
                <w:szCs w:val="15"/>
              </w:rPr>
              <w:t xml:space="preserve">Source</w:t>
            </w:r>
          </w:p>
        </w:tc>
        <w:tc>
          <w:tcPr>
            <w:tcW w:w="960" w:type="dxa"/>
            <w:shd w:val="clear" w:color="auto" w:fill="1F3A5F"/>
            <w:vAlign w:val="bottom"/>
          </w:tcPr>
          <w:p>
            <w:pPr>
              <w:pStyle w:val="TableText"/>
              <w:keepNext/>
            </w:pPr>
            <w:r>
              <w:rPr>
                <w:b/>
                <w:bCs/>
                <w:color w:val="FFFFFF"/>
                <w:sz w:val="15"/>
                <w:szCs w:val="15"/>
              </w:rPr>
              <w:t xml:space="preserve">Status</w:t>
            </w:r>
          </w:p>
        </w:tc>
      </w:tr>
      <w:tr>
        <w:trPr>
          <w:cantSplit/>
        </w:trPr>
        <w:tc>
          <w:tcPr>
            <w:tcW w:w="1261" w:type="dxa"/>
          </w:tcPr>
          <w:p>
            <w:pPr>
              <w:pStyle w:val="TableText"/>
            </w:pPr>
            <w:r>
              <w:rPr>
                <w:b/>
                <w:bCs/>
                <w:sz w:val="15"/>
                <w:szCs w:val="15"/>
              </w:rPr>
              <w:t xml:space="preserve">RULE-WINSERVER-001</w:t>
            </w:r>
          </w:p>
        </w:tc>
        <w:tc>
          <w:tcPr>
            <w:tcW w:w="741" w:type="dxa"/>
          </w:tcPr>
          <w:p>
            <w:pPr>
              <w:pStyle w:val="TableText"/>
            </w:pPr>
            <w:r>
              <w:rPr>
                <w:sz w:val="15"/>
                <w:szCs w:val="15"/>
              </w:rPr>
              <w:t xml:space="preserve">1.1</w:t>
            </w:r>
          </w:p>
        </w:tc>
        <w:tc>
          <w:tcPr>
            <w:tcW w:w="2563" w:type="dxa"/>
          </w:tcPr>
          <w:p>
            <w:pPr>
              <w:pStyle w:val="TableText"/>
            </w:pPr>
            <w:r>
              <w:rPr>
                <w:sz w:val="15"/>
                <w:szCs w:val="15"/>
              </w:rPr>
              <w:t xml:space="preserve">Windows Server core licensing of physical hosts and virtualization rights</w:t>
            </w:r>
          </w:p>
        </w:tc>
        <w:tc>
          <w:tcPr>
            <w:tcW w:w="1346" w:type="dxa"/>
          </w:tcPr>
          <w:p>
            <w:pPr>
              <w:pStyle w:val="TableText"/>
            </w:pPr>
            <w:r>
              <w:rPr>
                <w:sz w:val="15"/>
                <w:szCs w:val="15"/>
              </w:rPr>
              <w:t xml:space="preserve">Windows Server</w:t>
            </w:r>
          </w:p>
        </w:tc>
        <w:tc>
          <w:tcPr>
            <w:tcW w:w="970" w:type="dxa"/>
          </w:tcPr>
          <w:p>
            <w:pPr>
              <w:pStyle w:val="TableText"/>
            </w:pPr>
            <w:r>
              <w:rPr>
                <w:sz w:val="15"/>
                <w:szCs w:val="15"/>
              </w:rPr>
              <w:t xml:space="preserve">2026-10-02</w:t>
            </w:r>
          </w:p>
        </w:tc>
        <w:tc>
          <w:tcPr>
            <w:tcW w:w="1911" w:type="dxa"/>
          </w:tcPr>
          <w:p>
            <w:pPr>
              <w:pStyle w:val="TableText"/>
            </w:pPr>
            <w:hyperlink r:id="rId176" w:history="1">
              <w:r>
                <w:rPr>
                  <w:rStyle w:val="Hyperlink"/>
                  <w:sz w:val="15"/>
                  <w:szCs w:val="15"/>
                </w:rPr>
                <w:t xml:space="preserve">Microsoft Product Terms - Windows Server (Standard, Datacenter, Essentials)</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RULE-CLUSTER-031</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Windows Server licensing in clusters (VM mobility)</w:t>
            </w:r>
          </w:p>
        </w:tc>
        <w:tc>
          <w:tcPr>
            <w:tcW w:w="1346" w:type="dxa"/>
            <w:shd w:val="clear" w:color="auto" w:fill="F7F9FB"/>
          </w:tcPr>
          <w:p>
            <w:pPr>
              <w:pStyle w:val="TableText"/>
            </w:pPr>
            <w:r>
              <w:rPr>
                <w:sz w:val="15"/>
                <w:szCs w:val="15"/>
              </w:rPr>
              <w:t xml:space="preserve">Windows Server</w:t>
            </w:r>
          </w:p>
        </w:tc>
        <w:tc>
          <w:tcPr>
            <w:tcW w:w="970" w:type="dxa"/>
            <w:shd w:val="clear" w:color="auto" w:fill="F7F9FB"/>
          </w:tcPr>
          <w:p>
            <w:pPr>
              <w:pStyle w:val="TableText"/>
            </w:pPr>
            <w:r>
              <w:rPr>
                <w:sz w:val="15"/>
                <w:szCs w:val="15"/>
              </w:rPr>
              <w:t xml:space="preserve">2026-10-02</w:t>
            </w:r>
          </w:p>
        </w:tc>
        <w:tc>
          <w:tcPr>
            <w:tcW w:w="1911" w:type="dxa"/>
            <w:shd w:val="clear" w:color="auto" w:fill="F7F9FB"/>
          </w:tcPr>
          <w:p>
            <w:pPr>
              <w:pStyle w:val="TableText"/>
            </w:pPr>
            <w:hyperlink r:id="rId177" w:history="1">
              <w:r>
                <w:rPr>
                  <w:rStyle w:val="Hyperlink"/>
                  <w:sz w:val="15"/>
                  <w:szCs w:val="15"/>
                </w:rPr>
                <w:t xml:space="preserve">Microsoft Product Terms - Windows Server (Standard, Datacenter, Essentials); license assignment and reassignment (Universal License Terms)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RULE-WINSERVER-002</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Windows Server VMs whose physical host was not assessed</w:t>
            </w:r>
          </w:p>
        </w:tc>
        <w:tc>
          <w:tcPr>
            <w:tcW w:w="1346" w:type="dxa"/>
          </w:tcPr>
          <w:p>
            <w:pPr>
              <w:pStyle w:val="TableText"/>
            </w:pPr>
            <w:r>
              <w:rPr>
                <w:sz w:val="15"/>
                <w:szCs w:val="15"/>
              </w:rPr>
              <w:t xml:space="preserve">Windows Server</w:t>
            </w:r>
          </w:p>
        </w:tc>
        <w:tc>
          <w:tcPr>
            <w:tcW w:w="970" w:type="dxa"/>
          </w:tcPr>
          <w:p>
            <w:pPr>
              <w:pStyle w:val="TableText"/>
            </w:pPr>
            <w:r>
              <w:rPr>
                <w:sz w:val="15"/>
                <w:szCs w:val="15"/>
              </w:rPr>
              <w:t xml:space="preserve">2026-10-01</w:t>
            </w:r>
          </w:p>
        </w:tc>
        <w:tc>
          <w:tcPr>
            <w:tcW w:w="1911" w:type="dxa"/>
          </w:tcPr>
          <w:p>
            <w:pPr>
              <w:pStyle w:val="TableText"/>
            </w:pPr>
            <w:hyperlink r:id="rId178" w:history="1">
              <w:r>
                <w:rPr>
                  <w:rStyle w:val="Hyperlink"/>
                  <w:sz w:val="15"/>
                  <w:szCs w:val="15"/>
                </w:rPr>
                <w:t xml:space="preserve">Microsoft Product Terms - Windows Server (licensing by virtual OSE)</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RULE-WINSERVER-003</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Windows Server on public cloud virtual machines</w:t>
            </w:r>
          </w:p>
        </w:tc>
        <w:tc>
          <w:tcPr>
            <w:tcW w:w="1346" w:type="dxa"/>
            <w:shd w:val="clear" w:color="auto" w:fill="F7F9FB"/>
          </w:tcPr>
          <w:p>
            <w:pPr>
              <w:pStyle w:val="TableText"/>
            </w:pPr>
            <w:r>
              <w:rPr>
                <w:sz w:val="15"/>
                <w:szCs w:val="15"/>
              </w:rPr>
              <w:t xml:space="preserve">Windows Server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79" w:history="1">
              <w:r>
                <w:rPr>
                  <w:rStyle w:val="Hyperlink"/>
                  <w:sz w:val="15"/>
                  <w:szCs w:val="15"/>
                </w:rPr>
                <w:t xml:space="preserve">Azure Hybrid Benefit / Microsoft Product Terms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RULE-WINSERVER-004</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Windows Server Essentials</w:t>
            </w:r>
          </w:p>
        </w:tc>
        <w:tc>
          <w:tcPr>
            <w:tcW w:w="1346" w:type="dxa"/>
          </w:tcPr>
          <w:p>
            <w:pPr>
              <w:pStyle w:val="TableText"/>
            </w:pPr>
            <w:r>
              <w:rPr>
                <w:sz w:val="15"/>
                <w:szCs w:val="15"/>
              </w:rPr>
              <w:t xml:space="preserve">Windows Server</w:t>
            </w:r>
          </w:p>
        </w:tc>
        <w:tc>
          <w:tcPr>
            <w:tcW w:w="970" w:type="dxa"/>
          </w:tcPr>
          <w:p>
            <w:pPr>
              <w:pStyle w:val="TableText"/>
            </w:pPr>
            <w:r>
              <w:rPr>
                <w:sz w:val="15"/>
                <w:szCs w:val="15"/>
              </w:rPr>
              <w:t xml:space="preserve">2026-10-01</w:t>
            </w:r>
          </w:p>
        </w:tc>
        <w:tc>
          <w:tcPr>
            <w:tcW w:w="1911" w:type="dxa"/>
          </w:tcPr>
          <w:p>
            <w:pPr>
              <w:pStyle w:val="TableText"/>
            </w:pPr>
            <w:hyperlink r:id="rId180" w:history="1">
              <w:r>
                <w:rPr>
                  <w:rStyle w:val="Hyperlink"/>
                  <w:sz w:val="15"/>
                  <w:szCs w:val="15"/>
                </w:rPr>
                <w:t xml:space="preserve">Microsoft Product Terms - Windows Server Essentials</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RULE-WINSERVER-005</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Windows Server Client Access Licenses (CALs)</w:t>
            </w:r>
          </w:p>
        </w:tc>
        <w:tc>
          <w:tcPr>
            <w:tcW w:w="1346" w:type="dxa"/>
            <w:shd w:val="clear" w:color="auto" w:fill="F7F9FB"/>
          </w:tcPr>
          <w:p>
            <w:pPr>
              <w:pStyle w:val="TableText"/>
            </w:pPr>
            <w:r>
              <w:rPr>
                <w:sz w:val="15"/>
                <w:szCs w:val="15"/>
              </w:rPr>
              <w:t xml:space="preserve">Windows Server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81" w:history="1">
              <w:r>
                <w:rPr>
                  <w:rStyle w:val="Hyperlink"/>
                  <w:sz w:val="15"/>
                  <w:szCs w:val="15"/>
                </w:rPr>
                <w:t xml:space="preserve">Microsoft Product Terms - Windows Server CALs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RULE-RDS-006</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Remote Desktop Services CALs</w:t>
            </w:r>
          </w:p>
        </w:tc>
        <w:tc>
          <w:tcPr>
            <w:tcW w:w="1346" w:type="dxa"/>
          </w:tcPr>
          <w:p>
            <w:pPr>
              <w:pStyle w:val="TableText"/>
            </w:pPr>
            <w:r>
              <w:rPr>
                <w:sz w:val="15"/>
                <w:szCs w:val="15"/>
              </w:rPr>
              <w:t xml:space="preserve">Remote Desktop Services</w:t>
            </w:r>
          </w:p>
        </w:tc>
        <w:tc>
          <w:tcPr>
            <w:tcW w:w="970" w:type="dxa"/>
          </w:tcPr>
          <w:p>
            <w:pPr>
              <w:pStyle w:val="TableText"/>
            </w:pPr>
            <w:r>
              <w:rPr>
                <w:sz w:val="15"/>
                <w:szCs w:val="15"/>
              </w:rPr>
              <w:t xml:space="preserve">2026-10-01</w:t>
            </w:r>
          </w:p>
        </w:tc>
        <w:tc>
          <w:tcPr>
            <w:tcW w:w="1911" w:type="dxa"/>
          </w:tcPr>
          <w:p>
            <w:pPr>
              <w:pStyle w:val="TableText"/>
            </w:pPr>
            <w:hyperlink r:id="rId182" w:history="1">
              <w:r>
                <w:rPr>
                  <w:rStyle w:val="Hyperlink"/>
                  <w:sz w:val="15"/>
                  <w:szCs w:val="15"/>
                </w:rPr>
                <w:t xml:space="preserve">Microsoft Learn - License your RDS deployment with client access licenses (CALs)</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RULE-SQL-007</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SQL Server per-core licensing</w:t>
            </w:r>
          </w:p>
        </w:tc>
        <w:tc>
          <w:tcPr>
            <w:tcW w:w="1346" w:type="dxa"/>
            <w:shd w:val="clear" w:color="auto" w:fill="F7F9FB"/>
          </w:tcPr>
          <w:p>
            <w:pPr>
              <w:pStyle w:val="TableText"/>
            </w:pPr>
            <w:r>
              <w:rPr>
                <w:sz w:val="15"/>
                <w:szCs w:val="15"/>
              </w:rPr>
              <w:t xml:space="preserve">SQL Server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83" w:history="1">
              <w:r>
                <w:rPr>
                  <w:rStyle w:val="Hyperlink"/>
                  <w:sz w:val="15"/>
                  <w:szCs w:val="15"/>
                </w:rPr>
                <w:t xml:space="preserve">Microsoft Product Terms - SQL Server / SQL Server licensing guide</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RULE-SQL-008</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SQL Server Standard Server + CAL licensing scenario</w:t>
            </w:r>
          </w:p>
        </w:tc>
        <w:tc>
          <w:tcPr>
            <w:tcW w:w="1346" w:type="dxa"/>
          </w:tcPr>
          <w:p>
            <w:pPr>
              <w:pStyle w:val="TableText"/>
            </w:pPr>
            <w:r>
              <w:rPr>
                <w:sz w:val="15"/>
                <w:szCs w:val="15"/>
              </w:rPr>
              <w:t xml:space="preserve">SQL Server</w:t>
            </w:r>
          </w:p>
        </w:tc>
        <w:tc>
          <w:tcPr>
            <w:tcW w:w="970" w:type="dxa"/>
          </w:tcPr>
          <w:p>
            <w:pPr>
              <w:pStyle w:val="TableText"/>
            </w:pPr>
            <w:r>
              <w:rPr>
                <w:sz w:val="15"/>
                <w:szCs w:val="15"/>
              </w:rPr>
              <w:t xml:space="preserve">2026-10-01</w:t>
            </w:r>
          </w:p>
        </w:tc>
        <w:tc>
          <w:tcPr>
            <w:tcW w:w="1911" w:type="dxa"/>
          </w:tcPr>
          <w:p>
            <w:pPr>
              <w:pStyle w:val="TableText"/>
            </w:pPr>
            <w:hyperlink r:id="rId184" w:history="1">
              <w:r>
                <w:rPr>
                  <w:rStyle w:val="Hyperlink"/>
                  <w:sz w:val="15"/>
                  <w:szCs w:val="15"/>
                </w:rPr>
                <w:t xml:space="preserve">Microsoft Product Terms - SQL Server</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RULE-SQL-009</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SQL Server free and non-production editions</w:t>
            </w:r>
          </w:p>
        </w:tc>
        <w:tc>
          <w:tcPr>
            <w:tcW w:w="1346" w:type="dxa"/>
            <w:shd w:val="clear" w:color="auto" w:fill="F7F9FB"/>
          </w:tcPr>
          <w:p>
            <w:pPr>
              <w:pStyle w:val="TableText"/>
            </w:pPr>
            <w:r>
              <w:rPr>
                <w:sz w:val="15"/>
                <w:szCs w:val="15"/>
              </w:rPr>
              <w:t xml:space="preserve">SQL Server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85" w:history="1">
              <w:r>
                <w:rPr>
                  <w:rStyle w:val="Hyperlink"/>
                  <w:sz w:val="15"/>
                  <w:szCs w:val="15"/>
                </w:rPr>
                <w:t xml:space="preserve">Microsoft Product Terms - SQL Server</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RULE-WINCLIENT-010</w:t>
            </w:r>
          </w:p>
        </w:tc>
        <w:tc>
          <w:tcPr>
            <w:tcW w:w="741" w:type="dxa"/>
          </w:tcPr>
          <w:p>
            <w:pPr>
              <w:pStyle w:val="TableText"/>
            </w:pPr>
            <w:r>
              <w:rPr>
                <w:sz w:val="15"/>
                <w:szCs w:val="15"/>
              </w:rPr>
              <w:t xml:space="preserve">1.1</w:t>
            </w:r>
          </w:p>
        </w:tc>
        <w:tc>
          <w:tcPr>
            <w:tcW w:w="2563" w:type="dxa"/>
          </w:tcPr>
          <w:p>
            <w:pPr>
              <w:pStyle w:val="TableText"/>
            </w:pPr>
            <w:r>
              <w:rPr>
                <w:sz w:val="15"/>
                <w:szCs w:val="15"/>
              </w:rPr>
              <w:t xml:space="preserve">Windows activation and license state (servers and clients)</w:t>
            </w:r>
          </w:p>
        </w:tc>
        <w:tc>
          <w:tcPr>
            <w:tcW w:w="1346" w:type="dxa"/>
          </w:tcPr>
          <w:p>
            <w:pPr>
              <w:pStyle w:val="TableText"/>
            </w:pPr>
            <w:r>
              <w:rPr>
                <w:sz w:val="15"/>
                <w:szCs w:val="15"/>
              </w:rPr>
              <w:t xml:space="preserve">Windows</w:t>
            </w:r>
          </w:p>
        </w:tc>
        <w:tc>
          <w:tcPr>
            <w:tcW w:w="970" w:type="dxa"/>
          </w:tcPr>
          <w:p>
            <w:pPr>
              <w:pStyle w:val="TableText"/>
            </w:pPr>
            <w:r>
              <w:rPr>
                <w:sz w:val="15"/>
                <w:szCs w:val="15"/>
              </w:rPr>
              <w:t xml:space="preserve">2026-10-02</w:t>
            </w:r>
          </w:p>
        </w:tc>
        <w:tc>
          <w:tcPr>
            <w:tcW w:w="1911" w:type="dxa"/>
          </w:tcPr>
          <w:p>
            <w:pPr>
              <w:pStyle w:val="TableText"/>
            </w:pPr>
            <w:hyperlink r:id="rId186" w:history="1">
              <w:r>
                <w:rPr>
                  <w:rStyle w:val="Hyperlink"/>
                  <w:sz w:val="15"/>
                  <w:szCs w:val="15"/>
                </w:rPr>
                <w:t xml:space="preserve">Microsoft Learn - Windows commercial licensing overview</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RULE-WINCLIENT-011</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Windows Enterprise edition entitlement</w:t>
            </w:r>
          </w:p>
        </w:tc>
        <w:tc>
          <w:tcPr>
            <w:tcW w:w="1346" w:type="dxa"/>
            <w:shd w:val="clear" w:color="auto" w:fill="F7F9FB"/>
          </w:tcPr>
          <w:p>
            <w:pPr>
              <w:pStyle w:val="TableText"/>
            </w:pPr>
            <w:r>
              <w:rPr>
                <w:sz w:val="15"/>
                <w:szCs w:val="15"/>
              </w:rPr>
              <w:t xml:space="preserve">Windows</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87" w:history="1">
              <w:r>
                <w:rPr>
                  <w:rStyle w:val="Hyperlink"/>
                  <w:sz w:val="15"/>
                  <w:szCs w:val="15"/>
                </w:rPr>
                <w:t xml:space="preserve">Microsoft Learn - Windows commercial licensing overview</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RULE-WINCLIENT-012</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Windows virtual desktop (VDI) access</w:t>
            </w:r>
          </w:p>
        </w:tc>
        <w:tc>
          <w:tcPr>
            <w:tcW w:w="1346" w:type="dxa"/>
          </w:tcPr>
          <w:p>
            <w:pPr>
              <w:pStyle w:val="TableText"/>
            </w:pPr>
            <w:r>
              <w:rPr>
                <w:sz w:val="15"/>
                <w:szCs w:val="15"/>
              </w:rPr>
              <w:t xml:space="preserve">Windows</w:t>
            </w:r>
          </w:p>
        </w:tc>
        <w:tc>
          <w:tcPr>
            <w:tcW w:w="970" w:type="dxa"/>
          </w:tcPr>
          <w:p>
            <w:pPr>
              <w:pStyle w:val="TableText"/>
            </w:pPr>
            <w:r>
              <w:rPr>
                <w:sz w:val="15"/>
                <w:szCs w:val="15"/>
              </w:rPr>
              <w:t xml:space="preserve">2026-10-01</w:t>
            </w:r>
          </w:p>
        </w:tc>
        <w:tc>
          <w:tcPr>
            <w:tcW w:w="1911" w:type="dxa"/>
          </w:tcPr>
          <w:p>
            <w:pPr>
              <w:pStyle w:val="TableText"/>
            </w:pPr>
            <w:hyperlink r:id="rId188" w:history="1">
              <w:r>
                <w:rPr>
                  <w:rStyle w:val="Hyperlink"/>
                  <w:sz w:val="15"/>
                  <w:szCs w:val="15"/>
                </w:rPr>
                <w:t xml:space="preserve">Microsoft Learn - Windows commercial licensing overview</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RULE-OFFICE-013</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Office, Visio and Project perpetual licenses (per device)</w:t>
            </w:r>
          </w:p>
        </w:tc>
        <w:tc>
          <w:tcPr>
            <w:tcW w:w="1346" w:type="dxa"/>
            <w:shd w:val="clear" w:color="auto" w:fill="F7F9FB"/>
          </w:tcPr>
          <w:p>
            <w:pPr>
              <w:pStyle w:val="TableText"/>
            </w:pPr>
            <w:r>
              <w:rPr>
                <w:sz w:val="15"/>
                <w:szCs w:val="15"/>
              </w:rPr>
              <w:t xml:space="preserve">Office</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89" w:history="1">
              <w:r>
                <w:rPr>
                  <w:rStyle w:val="Hyperlink"/>
                  <w:sz w:val="15"/>
                  <w:szCs w:val="15"/>
                </w:rPr>
                <w:t xml:space="preserve">Microsoft Product Terms - Office / Visio / Project</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RULE-OFFICE-014</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Microsoft 365 Apps, Visio Plan 2 and Project Plan subscriptions (per user)</w:t>
            </w:r>
          </w:p>
        </w:tc>
        <w:tc>
          <w:tcPr>
            <w:tcW w:w="1346" w:type="dxa"/>
          </w:tcPr>
          <w:p>
            <w:pPr>
              <w:pStyle w:val="TableText"/>
            </w:pPr>
            <w:r>
              <w:rPr>
                <w:sz w:val="15"/>
                <w:szCs w:val="15"/>
              </w:rPr>
              <w:t xml:space="preserve">Microsoft 365</w:t>
            </w:r>
          </w:p>
        </w:tc>
        <w:tc>
          <w:tcPr>
            <w:tcW w:w="970" w:type="dxa"/>
          </w:tcPr>
          <w:p>
            <w:pPr>
              <w:pStyle w:val="TableText"/>
            </w:pPr>
            <w:r>
              <w:rPr>
                <w:sz w:val="15"/>
                <w:szCs w:val="15"/>
              </w:rPr>
              <w:t xml:space="preserve">2026-10-01</w:t>
            </w:r>
          </w:p>
        </w:tc>
        <w:tc>
          <w:tcPr>
            <w:tcW w:w="1911" w:type="dxa"/>
          </w:tcPr>
          <w:p>
            <w:pPr>
              <w:pStyle w:val="TableText"/>
            </w:pPr>
            <w:hyperlink r:id="rId190" w:history="1">
              <w:r>
                <w:rPr>
                  <w:rStyle w:val="Hyperlink"/>
                  <w:sz w:val="15"/>
                  <w:szCs w:val="15"/>
                </w:rPr>
                <w:t xml:space="preserve">Microsoft 365 service descriptions / Product Terms</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RULE-OFFICE-015</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Consumer Office editions on business devices</w:t>
            </w:r>
          </w:p>
        </w:tc>
        <w:tc>
          <w:tcPr>
            <w:tcW w:w="1346" w:type="dxa"/>
            <w:shd w:val="clear" w:color="auto" w:fill="F7F9FB"/>
          </w:tcPr>
          <w:p>
            <w:pPr>
              <w:pStyle w:val="TableText"/>
            </w:pPr>
            <w:r>
              <w:rPr>
                <w:sz w:val="15"/>
                <w:szCs w:val="15"/>
              </w:rPr>
              <w:t xml:space="preserve">Office</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91" w:history="1">
              <w:r>
                <w:rPr>
                  <w:rStyle w:val="Hyperlink"/>
                  <w:sz w:val="15"/>
                  <w:szCs w:val="15"/>
                </w:rPr>
                <w:t xml:space="preserve">Microsoft Software License Terms (consumer Office)</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RULE-OFFICE-016</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Office on Remote Desktop Session Hosts</w:t>
            </w:r>
          </w:p>
        </w:tc>
        <w:tc>
          <w:tcPr>
            <w:tcW w:w="1346" w:type="dxa"/>
          </w:tcPr>
          <w:p>
            <w:pPr>
              <w:pStyle w:val="TableText"/>
            </w:pPr>
            <w:r>
              <w:rPr>
                <w:sz w:val="15"/>
                <w:szCs w:val="15"/>
              </w:rPr>
              <w:t xml:space="preserve">Office</w:t>
            </w:r>
          </w:p>
        </w:tc>
        <w:tc>
          <w:tcPr>
            <w:tcW w:w="970" w:type="dxa"/>
          </w:tcPr>
          <w:p>
            <w:pPr>
              <w:pStyle w:val="TableText"/>
            </w:pPr>
            <w:r>
              <w:rPr>
                <w:sz w:val="15"/>
                <w:szCs w:val="15"/>
              </w:rPr>
              <w:t xml:space="preserve">2026-10-01</w:t>
            </w:r>
          </w:p>
        </w:tc>
        <w:tc>
          <w:tcPr>
            <w:tcW w:w="1911" w:type="dxa"/>
          </w:tcPr>
          <w:p>
            <w:pPr>
              <w:pStyle w:val="TableText"/>
            </w:pPr>
            <w:hyperlink r:id="rId192" w:history="1">
              <w:r>
                <w:rPr>
                  <w:rStyle w:val="Hyperlink"/>
                  <w:sz w:val="15"/>
                  <w:szCs w:val="15"/>
                </w:rPr>
                <w:t xml:space="preserve">Microsoft Learn - Overview of shared computer activation for Microsoft 365 Apps</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RULE-VS-017</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Visual Studio Professional / Enterprise</w:t>
            </w:r>
          </w:p>
        </w:tc>
        <w:tc>
          <w:tcPr>
            <w:tcW w:w="1346" w:type="dxa"/>
            <w:shd w:val="clear" w:color="auto" w:fill="F7F9FB"/>
          </w:tcPr>
          <w:p>
            <w:pPr>
              <w:pStyle w:val="TableText"/>
            </w:pPr>
            <w:r>
              <w:rPr>
                <w:sz w:val="15"/>
                <w:szCs w:val="15"/>
              </w:rPr>
              <w:t xml:space="preserve">Visual Studio</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93" w:history="1">
              <w:r>
                <w:rPr>
                  <w:rStyle w:val="Hyperlink"/>
                  <w:sz w:val="15"/>
                  <w:szCs w:val="15"/>
                </w:rPr>
                <w:t xml:space="preserve">Visual Studio license terms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RULE-EXCH-018</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Exchange Server (server license + CALs)</w:t>
            </w:r>
          </w:p>
        </w:tc>
        <w:tc>
          <w:tcPr>
            <w:tcW w:w="1346" w:type="dxa"/>
          </w:tcPr>
          <w:p>
            <w:pPr>
              <w:pStyle w:val="TableText"/>
            </w:pPr>
            <w:r>
              <w:rPr>
                <w:sz w:val="15"/>
                <w:szCs w:val="15"/>
              </w:rPr>
              <w:t xml:space="preserve">Exchange Server</w:t>
            </w:r>
          </w:p>
        </w:tc>
        <w:tc>
          <w:tcPr>
            <w:tcW w:w="970" w:type="dxa"/>
          </w:tcPr>
          <w:p>
            <w:pPr>
              <w:pStyle w:val="TableText"/>
            </w:pPr>
            <w:r>
              <w:rPr>
                <w:sz w:val="15"/>
                <w:szCs w:val="15"/>
              </w:rPr>
              <w:t xml:space="preserve">2026-10-01</w:t>
            </w:r>
          </w:p>
        </w:tc>
        <w:tc>
          <w:tcPr>
            <w:tcW w:w="1911" w:type="dxa"/>
          </w:tcPr>
          <w:p>
            <w:pPr>
              <w:pStyle w:val="TableText"/>
            </w:pPr>
            <w:hyperlink r:id="rId194" w:history="1">
              <w:r>
                <w:rPr>
                  <w:rStyle w:val="Hyperlink"/>
                  <w:sz w:val="15"/>
                  <w:szCs w:val="15"/>
                </w:rPr>
                <w:t xml:space="preserve">Microsoft Product Terms - Exchange Server</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RULE-SP-019</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SharePoint Server (server license + CALs)</w:t>
            </w:r>
          </w:p>
        </w:tc>
        <w:tc>
          <w:tcPr>
            <w:tcW w:w="1346" w:type="dxa"/>
            <w:shd w:val="clear" w:color="auto" w:fill="F7F9FB"/>
          </w:tcPr>
          <w:p>
            <w:pPr>
              <w:pStyle w:val="TableText"/>
            </w:pPr>
            <w:r>
              <w:rPr>
                <w:sz w:val="15"/>
                <w:szCs w:val="15"/>
              </w:rPr>
              <w:t xml:space="preserve">SharePoint Server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95" w:history="1">
              <w:r>
                <w:rPr>
                  <w:rStyle w:val="Hyperlink"/>
                  <w:sz w:val="15"/>
                  <w:szCs w:val="15"/>
                </w:rPr>
                <w:t xml:space="preserve">Microsoft Product Terms - SharePoint Server</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RULE-SFB-020</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Skype for Business Server</w:t>
            </w:r>
          </w:p>
        </w:tc>
        <w:tc>
          <w:tcPr>
            <w:tcW w:w="1346" w:type="dxa"/>
          </w:tcPr>
          <w:p>
            <w:pPr>
              <w:pStyle w:val="TableText"/>
            </w:pPr>
            <w:r>
              <w:rPr>
                <w:sz w:val="15"/>
                <w:szCs w:val="15"/>
              </w:rPr>
              <w:t xml:space="preserve">Skype for Business Server</w:t>
            </w:r>
          </w:p>
        </w:tc>
        <w:tc>
          <w:tcPr>
            <w:tcW w:w="970" w:type="dxa"/>
          </w:tcPr>
          <w:p>
            <w:pPr>
              <w:pStyle w:val="TableText"/>
            </w:pPr>
            <w:r>
              <w:rPr>
                <w:sz w:val="15"/>
                <w:szCs w:val="15"/>
              </w:rPr>
              <w:t xml:space="preserve">2026-10-01</w:t>
            </w:r>
          </w:p>
        </w:tc>
        <w:tc>
          <w:tcPr>
            <w:tcW w:w="1911" w:type="dxa"/>
          </w:tcPr>
          <w:p>
            <w:pPr>
              <w:pStyle w:val="TableText"/>
            </w:pPr>
            <w:hyperlink r:id="rId196" w:history="1">
              <w:r>
                <w:rPr>
                  <w:rStyle w:val="Hyperlink"/>
                  <w:sz w:val="15"/>
                  <w:szCs w:val="15"/>
                </w:rPr>
                <w:t xml:space="preserve">Microsoft Product Terms - Skype for Business Server</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RULE-OTHER-021</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Other Microsoft server products detected</w:t>
            </w:r>
          </w:p>
        </w:tc>
        <w:tc>
          <w:tcPr>
            <w:tcW w:w="1346" w:type="dxa"/>
            <w:shd w:val="clear" w:color="auto" w:fill="F7F9FB"/>
          </w:tcPr>
          <w:p>
            <w:pPr>
              <w:pStyle w:val="TableText"/>
            </w:pPr>
            <w:r>
              <w:rPr>
                <w:sz w:val="15"/>
                <w:szCs w:val="15"/>
              </w:rPr>
              <w:t xml:space="preserve">Other Microsoft products</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97" w:history="1">
              <w:r>
                <w:rPr>
                  <w:rStyle w:val="Hyperlink"/>
                  <w:sz w:val="15"/>
                  <w:szCs w:val="15"/>
                </w:rPr>
                <w:t xml:space="preserve">Microsoft Product Terms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RULE-INTUNE-022</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Microsoft Intune per-user licensing</w:t>
            </w:r>
          </w:p>
        </w:tc>
        <w:tc>
          <w:tcPr>
            <w:tcW w:w="1346" w:type="dxa"/>
          </w:tcPr>
          <w:p>
            <w:pPr>
              <w:pStyle w:val="TableText"/>
            </w:pPr>
            <w:r>
              <w:rPr>
                <w:sz w:val="15"/>
                <w:szCs w:val="15"/>
              </w:rPr>
              <w:t xml:space="preserve">Microsoft Intune</w:t>
            </w:r>
          </w:p>
        </w:tc>
        <w:tc>
          <w:tcPr>
            <w:tcW w:w="970" w:type="dxa"/>
          </w:tcPr>
          <w:p>
            <w:pPr>
              <w:pStyle w:val="TableText"/>
            </w:pPr>
            <w:r>
              <w:rPr>
                <w:sz w:val="15"/>
                <w:szCs w:val="15"/>
              </w:rPr>
              <w:t xml:space="preserve">2026-10-01</w:t>
            </w:r>
          </w:p>
        </w:tc>
        <w:tc>
          <w:tcPr>
            <w:tcW w:w="1911" w:type="dxa"/>
          </w:tcPr>
          <w:p>
            <w:pPr>
              <w:pStyle w:val="TableText"/>
            </w:pPr>
            <w:hyperlink r:id="rId198" w:history="1">
              <w:r>
                <w:rPr>
                  <w:rStyle w:val="Hyperlink"/>
                  <w:sz w:val="15"/>
                  <w:szCs w:val="15"/>
                </w:rPr>
                <w:t xml:space="preserve">Microsoft Learn - Microsoft Intune licensing</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RULE-ENTRA-023</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Microsoft Entra ID P1 features (Conditional Access)</w:t>
            </w:r>
          </w:p>
        </w:tc>
        <w:tc>
          <w:tcPr>
            <w:tcW w:w="1346" w:type="dxa"/>
            <w:shd w:val="clear" w:color="auto" w:fill="F7F9FB"/>
          </w:tcPr>
          <w:p>
            <w:pPr>
              <w:pStyle w:val="TableText"/>
            </w:pPr>
            <w:r>
              <w:rPr>
                <w:sz w:val="15"/>
                <w:szCs w:val="15"/>
              </w:rPr>
              <w:t xml:space="preserve">Microsoft Entra ID</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199" w:history="1">
              <w:r>
                <w:rPr>
                  <w:rStyle w:val="Hyperlink"/>
                  <w:sz w:val="15"/>
                  <w:szCs w:val="15"/>
                </w:rPr>
                <w:t xml:space="preserve">Microsoft Learn - Microsoft Entra licensing</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RULE-ENTRA-024</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Microsoft Entra ID P2 / ID Governance features</w:t>
            </w:r>
          </w:p>
        </w:tc>
        <w:tc>
          <w:tcPr>
            <w:tcW w:w="1346" w:type="dxa"/>
          </w:tcPr>
          <w:p>
            <w:pPr>
              <w:pStyle w:val="TableText"/>
            </w:pPr>
            <w:r>
              <w:rPr>
                <w:sz w:val="15"/>
                <w:szCs w:val="15"/>
              </w:rPr>
              <w:t xml:space="preserve">Microsoft Entra ID</w:t>
            </w:r>
          </w:p>
        </w:tc>
        <w:tc>
          <w:tcPr>
            <w:tcW w:w="970" w:type="dxa"/>
          </w:tcPr>
          <w:p>
            <w:pPr>
              <w:pStyle w:val="TableText"/>
            </w:pPr>
            <w:r>
              <w:rPr>
                <w:sz w:val="15"/>
                <w:szCs w:val="15"/>
              </w:rPr>
              <w:t xml:space="preserve">2026-10-01</w:t>
            </w:r>
          </w:p>
        </w:tc>
        <w:tc>
          <w:tcPr>
            <w:tcW w:w="1911" w:type="dxa"/>
          </w:tcPr>
          <w:p>
            <w:pPr>
              <w:pStyle w:val="TableText"/>
            </w:pPr>
            <w:hyperlink r:id="rId200" w:history="1">
              <w:r>
                <w:rPr>
                  <w:rStyle w:val="Hyperlink"/>
                  <w:sz w:val="15"/>
                  <w:szCs w:val="15"/>
                </w:rPr>
                <w:t xml:space="preserve">Microsoft Learn - Microsoft Entra licensing</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RULE-DEFENDER-025</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Microsoft Defender usage evidence</w:t>
            </w:r>
          </w:p>
        </w:tc>
        <w:tc>
          <w:tcPr>
            <w:tcW w:w="1346" w:type="dxa"/>
            <w:shd w:val="clear" w:color="auto" w:fill="F7F9FB"/>
          </w:tcPr>
          <w:p>
            <w:pPr>
              <w:pStyle w:val="TableText"/>
            </w:pPr>
            <w:r>
              <w:rPr>
                <w:sz w:val="15"/>
                <w:szCs w:val="15"/>
              </w:rPr>
              <w:t xml:space="preserve">Microsoft Defender</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201" w:history="1">
              <w:r>
                <w:rPr>
                  <w:rStyle w:val="Hyperlink"/>
                  <w:sz w:val="15"/>
                  <w:szCs w:val="15"/>
                </w:rPr>
                <w:t xml:space="preserve">Microsoft 365 guidance for security &amp; compliance</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RULE-PURVIEW-026</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Microsoft Purview usage evidence</w:t>
            </w:r>
          </w:p>
        </w:tc>
        <w:tc>
          <w:tcPr>
            <w:tcW w:w="1346" w:type="dxa"/>
          </w:tcPr>
          <w:p>
            <w:pPr>
              <w:pStyle w:val="TableText"/>
            </w:pPr>
            <w:r>
              <w:rPr>
                <w:sz w:val="15"/>
                <w:szCs w:val="15"/>
              </w:rPr>
              <w:t xml:space="preserve">Microsoft Purview</w:t>
            </w:r>
          </w:p>
        </w:tc>
        <w:tc>
          <w:tcPr>
            <w:tcW w:w="970" w:type="dxa"/>
          </w:tcPr>
          <w:p>
            <w:pPr>
              <w:pStyle w:val="TableText"/>
            </w:pPr>
            <w:r>
              <w:rPr>
                <w:sz w:val="15"/>
                <w:szCs w:val="15"/>
              </w:rPr>
              <w:t xml:space="preserve">2026-10-01</w:t>
            </w:r>
          </w:p>
        </w:tc>
        <w:tc>
          <w:tcPr>
            <w:tcW w:w="1911" w:type="dxa"/>
          </w:tcPr>
          <w:p>
            <w:pPr>
              <w:pStyle w:val="TableText"/>
            </w:pPr>
            <w:hyperlink r:id="rId202" w:history="1">
              <w:r>
                <w:rPr>
                  <w:rStyle w:val="Hyperlink"/>
                  <w:sz w:val="15"/>
                  <w:szCs w:val="15"/>
                </w:rPr>
                <w:t xml:space="preserve">Microsoft 365 guidance for security &amp; compliance</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RULE-M365-027</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Microsoft 365 license utilization</w:t>
            </w:r>
          </w:p>
        </w:tc>
        <w:tc>
          <w:tcPr>
            <w:tcW w:w="1346" w:type="dxa"/>
            <w:shd w:val="clear" w:color="auto" w:fill="F7F9FB"/>
          </w:tcPr>
          <w:p>
            <w:pPr>
              <w:pStyle w:val="TableText"/>
            </w:pPr>
            <w:r>
              <w:rPr>
                <w:sz w:val="15"/>
                <w:szCs w:val="15"/>
              </w:rPr>
              <w:t xml:space="preserve">Microsoft 365</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203" w:history="1">
              <w:r>
                <w:rPr>
                  <w:rStyle w:val="Hyperlink"/>
                  <w:sz w:val="15"/>
                  <w:szCs w:val="15"/>
                </w:rPr>
                <w:t xml:space="preserve">Microsoft Learn - Product names and service plan identifiers for licensing</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RULE-LIFECYCLE-028</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Product end of support</w:t>
            </w:r>
          </w:p>
        </w:tc>
        <w:tc>
          <w:tcPr>
            <w:tcW w:w="1346" w:type="dxa"/>
          </w:tcPr>
          <w:p>
            <w:pPr>
              <w:pStyle w:val="TableText"/>
            </w:pPr>
            <w:r>
              <w:rPr>
                <w:sz w:val="15"/>
                <w:szCs w:val="15"/>
              </w:rPr>
              <w:t xml:space="preserve">Lifecycle</w:t>
            </w:r>
          </w:p>
        </w:tc>
        <w:tc>
          <w:tcPr>
            <w:tcW w:w="970" w:type="dxa"/>
          </w:tcPr>
          <w:p>
            <w:pPr>
              <w:pStyle w:val="TableText"/>
            </w:pPr>
            <w:r>
              <w:rPr>
                <w:sz w:val="15"/>
                <w:szCs w:val="15"/>
              </w:rPr>
              <w:t xml:space="preserve">2026-10-01</w:t>
            </w:r>
          </w:p>
        </w:tc>
        <w:tc>
          <w:tcPr>
            <w:tcW w:w="1911" w:type="dxa"/>
          </w:tcPr>
          <w:p>
            <w:pPr>
              <w:pStyle w:val="TableText"/>
            </w:pPr>
            <w:hyperlink r:id="rId204" w:history="1">
              <w:r>
                <w:rPr>
                  <w:rStyle w:val="Hyperlink"/>
                  <w:sz w:val="15"/>
                  <w:szCs w:val="15"/>
                </w:rPr>
                <w:t xml:space="preserve">Microsoft Lifecycle Policy</w:t>
              </w:r>
            </w:hyperlink>
          </w:p>
        </w:tc>
        <w:tc>
          <w:tcPr>
            <w:tcW w:w="960" w:type="dxa"/>
          </w:tcPr>
          <w:p>
            <w:pPr>
              <w:pStyle w:val="TableText"/>
            </w:pPr>
            <w:r>
              <w:rPr>
                <w:sz w:val="15"/>
                <w:szCs w:val="15"/>
              </w:rPr>
              <w:t xml:space="preserve">Active</w:t>
            </w:r>
          </w:p>
        </w:tc>
      </w:tr>
      <w:tr>
        <w:trPr>
          <w:cantSplit/>
        </w:trPr>
        <w:tc>
          <w:tcPr>
            <w:tcW w:w="1261" w:type="dxa"/>
            <w:shd w:val="clear" w:color="auto" w:fill="F7F9FB"/>
          </w:tcPr>
          <w:p>
            <w:pPr>
              <w:pStyle w:val="TableText"/>
            </w:pPr>
            <w:r>
              <w:rPr>
                <w:b/>
                <w:bCs/>
                <w:sz w:val="15"/>
                <w:szCs w:val="15"/>
              </w:rPr>
              <w:t xml:space="preserve">RULE-HYGIENE-029</w:t>
            </w:r>
          </w:p>
        </w:tc>
        <w:tc>
          <w:tcPr>
            <w:tcW w:w="741" w:type="dxa"/>
            <w:shd w:val="clear" w:color="auto" w:fill="F7F9FB"/>
          </w:tcPr>
          <w:p>
            <w:pPr>
              <w:pStyle w:val="TableText"/>
            </w:pPr>
            <w:r>
              <w:rPr>
                <w:sz w:val="15"/>
                <w:szCs w:val="15"/>
              </w:rPr>
              <w:t xml:space="preserve">1.0</w:t>
            </w:r>
          </w:p>
        </w:tc>
        <w:tc>
          <w:tcPr>
            <w:tcW w:w="2563" w:type="dxa"/>
            <w:shd w:val="clear" w:color="auto" w:fill="F7F9FB"/>
          </w:tcPr>
          <w:p>
            <w:pPr>
              <w:pStyle w:val="TableText"/>
            </w:pPr>
            <w:r>
              <w:rPr>
                <w:sz w:val="15"/>
                <w:szCs w:val="15"/>
              </w:rPr>
              <w:t xml:space="preserve">Licensing hygiene (evaluation editions, activation channels, data coverage)</w:t>
            </w:r>
          </w:p>
        </w:tc>
        <w:tc>
          <w:tcPr>
            <w:tcW w:w="1346" w:type="dxa"/>
            <w:shd w:val="clear" w:color="auto" w:fill="F7F9FB"/>
          </w:tcPr>
          <w:p>
            <w:pPr>
              <w:pStyle w:val="TableText"/>
            </w:pPr>
            <w:r>
              <w:rPr>
                <w:sz w:val="15"/>
                <w:szCs w:val="15"/>
              </w:rPr>
              <w:t xml:space="preserve">General</w:t>
            </w:r>
          </w:p>
        </w:tc>
        <w:tc>
          <w:tcPr>
            <w:tcW w:w="970" w:type="dxa"/>
            <w:shd w:val="clear" w:color="auto" w:fill="F7F9FB"/>
          </w:tcPr>
          <w:p>
            <w:pPr>
              <w:pStyle w:val="TableText"/>
            </w:pPr>
            <w:r>
              <w:rPr>
                <w:sz w:val="15"/>
                <w:szCs w:val="15"/>
              </w:rPr>
              <w:t xml:space="preserve">2026-10-01</w:t>
            </w:r>
          </w:p>
        </w:tc>
        <w:tc>
          <w:tcPr>
            <w:tcW w:w="1911" w:type="dxa"/>
            <w:shd w:val="clear" w:color="auto" w:fill="F7F9FB"/>
          </w:tcPr>
          <w:p>
            <w:pPr>
              <w:pStyle w:val="TableText"/>
            </w:pPr>
            <w:hyperlink r:id="rId205" w:history="1">
              <w:r>
                <w:rPr>
                  <w:rStyle w:val="Hyperlink"/>
                  <w:sz w:val="15"/>
                  <w:szCs w:val="15"/>
                </w:rPr>
                <w:t xml:space="preserve">Microsoft Product Terms</w:t>
              </w:r>
            </w:hyperlink>
          </w:p>
        </w:tc>
        <w:tc>
          <w:tcPr>
            <w:tcW w:w="960" w:type="dxa"/>
            <w:shd w:val="clear" w:color="auto" w:fill="F7F9FB"/>
          </w:tcPr>
          <w:p>
            <w:pPr>
              <w:pStyle w:val="TableText"/>
            </w:pPr>
            <w:r>
              <w:rPr>
                <w:sz w:val="15"/>
                <w:szCs w:val="15"/>
              </w:rPr>
              <w:t xml:space="preserve">Active</w:t>
            </w:r>
          </w:p>
        </w:tc>
      </w:tr>
      <w:tr>
        <w:trPr>
          <w:cantSplit/>
        </w:trPr>
        <w:tc>
          <w:tcPr>
            <w:tcW w:w="1261" w:type="dxa"/>
          </w:tcPr>
          <w:p>
            <w:pPr>
              <w:pStyle w:val="TableText"/>
            </w:pPr>
            <w:r>
              <w:rPr>
                <w:b/>
                <w:bCs/>
                <w:sz w:val="15"/>
                <w:szCs w:val="15"/>
              </w:rPr>
              <w:t xml:space="preserve">RULE-INVENTORY-030</w:t>
            </w:r>
          </w:p>
        </w:tc>
        <w:tc>
          <w:tcPr>
            <w:tcW w:w="741" w:type="dxa"/>
          </w:tcPr>
          <w:p>
            <w:pPr>
              <w:pStyle w:val="TableText"/>
            </w:pPr>
            <w:r>
              <w:rPr>
                <w:sz w:val="15"/>
                <w:szCs w:val="15"/>
              </w:rPr>
              <w:t xml:space="preserve">1.0</w:t>
            </w:r>
          </w:p>
        </w:tc>
        <w:tc>
          <w:tcPr>
            <w:tcW w:w="2563" w:type="dxa"/>
          </w:tcPr>
          <w:p>
            <w:pPr>
              <w:pStyle w:val="TableText"/>
            </w:pPr>
            <w:r>
              <w:rPr>
                <w:sz w:val="15"/>
                <w:szCs w:val="15"/>
              </w:rPr>
              <w:t xml:space="preserve">License inventory validation</w:t>
            </w:r>
          </w:p>
        </w:tc>
        <w:tc>
          <w:tcPr>
            <w:tcW w:w="1346" w:type="dxa"/>
          </w:tcPr>
          <w:p>
            <w:pPr>
              <w:pStyle w:val="TableText"/>
            </w:pPr>
            <w:r>
              <w:rPr>
                <w:sz w:val="15"/>
                <w:szCs w:val="15"/>
              </w:rPr>
              <w:t xml:space="preserve">License inventory</w:t>
            </w:r>
          </w:p>
        </w:tc>
        <w:tc>
          <w:tcPr>
            <w:tcW w:w="970" w:type="dxa"/>
          </w:tcPr>
          <w:p>
            <w:pPr>
              <w:pStyle w:val="TableText"/>
            </w:pPr>
            <w:r>
              <w:rPr>
                <w:sz w:val="15"/>
                <w:szCs w:val="15"/>
              </w:rPr>
              <w:t xml:space="preserve">2026-10-01</w:t>
            </w:r>
          </w:p>
        </w:tc>
        <w:tc>
          <w:tcPr>
            <w:tcW w:w="1911" w:type="dxa"/>
          </w:tcPr>
          <w:p>
            <w:pPr>
              <w:pStyle w:val="TableText"/>
            </w:pPr>
            <w:hyperlink r:id="rId206" w:history="1">
              <w:r>
                <w:rPr>
                  <w:rStyle w:val="Hyperlink"/>
                  <w:sz w:val="15"/>
                  <w:szCs w:val="15"/>
                </w:rPr>
                <w:t xml:space="preserve">Customer license records</w:t>
              </w:r>
            </w:hyperlink>
          </w:p>
        </w:tc>
        <w:tc>
          <w:tcPr>
            <w:tcW w:w="960" w:type="dxa"/>
          </w:tcPr>
          <w:p>
            <w:pPr>
              <w:pStyle w:val="TableText"/>
            </w:pPr>
            <w:r>
              <w:rPr>
                <w:sz w:val="15"/>
                <w:szCs w:val="15"/>
              </w:rPr>
              <w:t xml:space="preserve">Active</w:t>
            </w:r>
          </w:p>
        </w:tc>
      </w:tr>
    </w:tbl>
    <w:p>
      <w:pPr>
        <w:spacing w:before="0" w:after="0" w:line="240" w:lineRule="auto"/>
        <w:rPr>
          <w:sz w:val="12"/>
          <w:szCs w:val="12"/>
        </w:rPr>
      </w:pPr>
    </w:p>
    <w:p>
      <w:pPr>
        <w:pStyle w:val="Heading2"/>
      </w:pPr>
      <w:bookmarkStart w:id="142" w:name="_TocMlat00142"/>
      <w:r>
        <w:t xml:space="preserve">Audit information</w:t>
      </w:r>
      <w:bookmarkEnd w:id="142"/>
    </w:p>
    <w:tbl>
      <w:tblPr>
        <w:tblStyle w:val="MlatTable"/>
        <w:tblW w:w="9752" w:type="dxa"/>
        <w:tblInd w:w="0" w:type="dxa"/>
        <w:tblBorders>
          <w:top w:val="single" w:sz="4" w:space="0" w:color="D9DEE7"/>
          <w:left w:val="nil"/>
          <w:bottom w:val="single" w:sz="4" w:space="0" w:color="D9DEE7"/>
          <w:right w:val="nil"/>
          <w:insideH w:val="single" w:sz="4" w:space="0" w:color="D9DEE7"/>
          <w:insideV w:val="nil"/>
        </w:tblBorders>
        <w:tblLayout w:type="fixed"/>
        <w:tblCellMar>
          <w:top w:w="35" w:type="dxa"/>
          <w:left w:w="80" w:type="dxa"/>
          <w:bottom w:w="35" w:type="dxa"/>
          <w:right w:w="80" w:type="dxa"/>
        </w:tblCellMar>
        <w:tblLook w:val="04A0" w:firstRow="1" w:lastRow="0" w:firstColumn="0" w:lastColumn="0" w:noHBand="0" w:noVBand="1"/>
      </w:tblPr>
      <w:tblGrid>
        <w:gridCol w:w="3315"/>
        <w:gridCol w:w="6437"/>
      </w:tblGrid>
      <w:tr>
        <w:trPr>
          <w:cantSplit/>
        </w:trPr>
        <w:tc>
          <w:tcPr>
            <w:tcW w:w="3315" w:type="dxa"/>
          </w:tcPr>
          <w:p>
            <w:pPr>
              <w:pStyle w:val="TableText"/>
            </w:pPr>
            <w:r>
              <w:rPr>
                <w:color w:val="5B6475"/>
                <w:sz w:val="18"/>
                <w:szCs w:val="18"/>
              </w:rPr>
              <w:t xml:space="preserve">Assessment ID</w:t>
            </w:r>
          </w:p>
        </w:tc>
        <w:tc>
          <w:tcPr>
            <w:tcW w:w="6437" w:type="dxa"/>
          </w:tcPr>
          <w:p>
            <w:pPr>
              <w:pStyle w:val="TableText"/>
            </w:pPr>
            <w:r>
              <w:rPr>
                <w:sz w:val="18"/>
                <w:szCs w:val="18"/>
              </w:rPr>
              <w:t xml:space="preserve">e182658e-c05c-4b09-91e9-f293323a9995</w:t>
            </w:r>
          </w:p>
        </w:tc>
      </w:tr>
      <w:tr>
        <w:trPr>
          <w:cantSplit/>
        </w:trPr>
        <w:tc>
          <w:tcPr>
            <w:tcW w:w="3315" w:type="dxa"/>
          </w:tcPr>
          <w:p>
            <w:pPr>
              <w:pStyle w:val="TableText"/>
            </w:pPr>
            <w:r>
              <w:rPr>
                <w:color w:val="5B6475"/>
                <w:sz w:val="18"/>
                <w:szCs w:val="18"/>
              </w:rPr>
              <w:t xml:space="preserve">Assessment format</w:t>
            </w:r>
          </w:p>
        </w:tc>
        <w:tc>
          <w:tcPr>
            <w:tcW w:w="6437" w:type="dxa"/>
          </w:tcPr>
          <w:p>
            <w:pPr>
              <w:pStyle w:val="TableText"/>
            </w:pPr>
            <w:r>
              <w:rPr>
                <w:sz w:val="18"/>
                <w:szCs w:val="18"/>
              </w:rPr>
              <w:t xml:space="preserve">MLAT-Assessment 2.0</w:t>
            </w:r>
          </w:p>
        </w:tc>
      </w:tr>
      <w:tr>
        <w:trPr>
          <w:cantSplit/>
        </w:trPr>
        <w:tc>
          <w:tcPr>
            <w:tcW w:w="3315" w:type="dxa"/>
          </w:tcPr>
          <w:p>
            <w:pPr>
              <w:pStyle w:val="TableText"/>
            </w:pPr>
            <w:r>
              <w:rPr>
                <w:color w:val="5B6475"/>
                <w:sz w:val="18"/>
                <w:szCs w:val="18"/>
              </w:rPr>
              <w:t xml:space="preserve">Created / last modified</w:t>
            </w:r>
          </w:p>
        </w:tc>
        <w:tc>
          <w:tcPr>
            <w:tcW w:w="6437" w:type="dxa"/>
          </w:tcPr>
          <w:p>
            <w:pPr>
              <w:pStyle w:val="TableText"/>
            </w:pPr>
            <w:r>
              <w:rPr>
                <w:sz w:val="18"/>
                <w:szCs w:val="18"/>
              </w:rPr>
              <w:t xml:space="preserve">2026-10-02 01:33 UTC / 2026-10-02 01:33 UTC</w:t>
            </w:r>
          </w:p>
        </w:tc>
      </w:tr>
      <w:tr>
        <w:trPr>
          <w:cantSplit/>
        </w:trPr>
        <w:tc>
          <w:tcPr>
            <w:tcW w:w="3315" w:type="dxa"/>
          </w:tcPr>
          <w:p>
            <w:pPr>
              <w:pStyle w:val="TableText"/>
            </w:pPr>
            <w:r>
              <w:rPr>
                <w:color w:val="5B6475"/>
                <w:sz w:val="18"/>
                <w:szCs w:val="18"/>
              </w:rPr>
              <w:t xml:space="preserve">Collector version</w:t>
            </w:r>
          </w:p>
        </w:tc>
        <w:tc>
          <w:tcPr>
            <w:tcW w:w="6437" w:type="dxa"/>
          </w:tcPr>
          <w:p>
            <w:pPr>
              <w:pStyle w:val="TableText"/>
            </w:pPr>
            <w:r>
              <w:rPr>
                <w:sz w:val="18"/>
                <w:szCs w:val="18"/>
              </w:rPr>
              <w:t xml:space="preserve">1.2.0</w:t>
            </w:r>
          </w:p>
        </w:tc>
      </w:tr>
      <w:tr>
        <w:trPr>
          <w:cantSplit/>
        </w:trPr>
        <w:tc>
          <w:tcPr>
            <w:tcW w:w="3315" w:type="dxa"/>
          </w:tcPr>
          <w:p>
            <w:pPr>
              <w:pStyle w:val="TableText"/>
            </w:pPr>
            <w:r>
              <w:rPr>
                <w:color w:val="5B6475"/>
                <w:sz w:val="18"/>
                <w:szCs w:val="18"/>
              </w:rPr>
              <w:t xml:space="preserve">Tool version (report)</w:t>
            </w:r>
          </w:p>
        </w:tc>
        <w:tc>
          <w:tcPr>
            <w:tcW w:w="6437" w:type="dxa"/>
          </w:tcPr>
          <w:p>
            <w:pPr>
              <w:pStyle w:val="TableText"/>
            </w:pPr>
            <w:r>
              <w:rPr>
                <w:sz w:val="18"/>
                <w:szCs w:val="18"/>
              </w:rPr>
              <w:t xml:space="preserve">1.2.0</w:t>
            </w:r>
          </w:p>
        </w:tc>
      </w:tr>
      <w:tr>
        <w:trPr>
          <w:cantSplit/>
        </w:trPr>
        <w:tc>
          <w:tcPr>
            <w:tcW w:w="3315" w:type="dxa"/>
          </w:tcPr>
          <w:p>
            <w:pPr>
              <w:pStyle w:val="TableText"/>
            </w:pPr>
            <w:r>
              <w:rPr>
                <w:color w:val="5B6475"/>
                <w:sz w:val="18"/>
                <w:szCs w:val="18"/>
              </w:rPr>
              <w:t xml:space="preserve">Rules version (assessment / result)</w:t>
            </w:r>
          </w:p>
        </w:tc>
        <w:tc>
          <w:tcPr>
            <w:tcW w:w="6437" w:type="dxa"/>
          </w:tcPr>
          <w:p>
            <w:pPr>
              <w:pStyle w:val="TableText"/>
            </w:pPr>
            <w:r>
              <w:rPr>
                <w:sz w:val="18"/>
                <w:szCs w:val="18"/>
              </w:rPr>
              <w:t xml:space="preserve">2026.10.3 / 2026.10.3</w:t>
            </w:r>
          </w:p>
        </w:tc>
      </w:tr>
      <w:tr>
        <w:trPr>
          <w:cantSplit/>
        </w:trPr>
        <w:tc>
          <w:tcPr>
            <w:tcW w:w="3315" w:type="dxa"/>
          </w:tcPr>
          <w:p>
            <w:pPr>
              <w:pStyle w:val="TableText"/>
            </w:pPr>
            <w:r>
              <w:rPr>
                <w:color w:val="5B6475"/>
                <w:sz w:val="18"/>
                <w:szCs w:val="18"/>
              </w:rPr>
              <w:t xml:space="preserve">Rules computed</w:t>
            </w:r>
          </w:p>
        </w:tc>
        <w:tc>
          <w:tcPr>
            <w:tcW w:w="6437" w:type="dxa"/>
          </w:tcPr>
          <w:p>
            <w:pPr>
              <w:pStyle w:val="TableText"/>
            </w:pPr>
            <w:r>
              <w:rPr>
                <w:sz w:val="18"/>
                <w:szCs w:val="18"/>
              </w:rPr>
              <w:t xml:space="preserve">2026-10-02 01:33 UTC</w:t>
            </w:r>
          </w:p>
        </w:tc>
      </w:tr>
      <w:tr>
        <w:trPr>
          <w:cantSplit/>
        </w:trPr>
        <w:tc>
          <w:tcPr>
            <w:tcW w:w="3315" w:type="dxa"/>
          </w:tcPr>
          <w:p>
            <w:pPr>
              <w:pStyle w:val="TableText"/>
            </w:pPr>
            <w:r>
              <w:rPr>
                <w:color w:val="5B6475"/>
                <w:sz w:val="18"/>
                <w:szCs w:val="18"/>
              </w:rPr>
              <w:t xml:space="preserve">Executed on machine / by</w:t>
            </w:r>
          </w:p>
        </w:tc>
        <w:tc>
          <w:tcPr>
            <w:tcW w:w="6437" w:type="dxa"/>
          </w:tcPr>
          <w:p>
            <w:pPr>
              <w:pStyle w:val="TableText"/>
            </w:pPr>
            <w:r>
              <w:rPr>
                <w:sz w:val="18"/>
                <w:szCs w:val="18"/>
              </w:rPr>
              <w:t xml:space="preserve">DEMO-WORKSTATION / DEMO\assessor</w:t>
            </w:r>
          </w:p>
        </w:tc>
      </w:tr>
      <w:tr>
        <w:trPr>
          <w:cantSplit/>
        </w:trPr>
        <w:tc>
          <w:tcPr>
            <w:tcW w:w="3315" w:type="dxa"/>
          </w:tcPr>
          <w:p>
            <w:pPr>
              <w:pStyle w:val="TableText"/>
            </w:pPr>
            <w:r>
              <w:rPr>
                <w:color w:val="5B6475"/>
                <w:sz w:val="18"/>
                <w:szCs w:val="18"/>
              </w:rPr>
              <w:t xml:space="preserve">Scope</w:t>
            </w:r>
          </w:p>
        </w:tc>
        <w:tc>
          <w:tcPr>
            <w:tcW w:w="6437" w:type="dxa"/>
          </w:tcPr>
          <w:p>
            <w:pPr>
              <w:pStyle w:val="TableText"/>
            </w:pPr>
            <w:r>
              <w:rPr>
                <w:sz w:val="18"/>
                <w:szCs w:val="18"/>
              </w:rPr>
              <w:t xml:space="preserve">Local computer, Active Directory, Windows computers (remote scan), Hyper-V, SQL Server, Office, RDS, Microsoft 365, Entra ID, Intune, Defender, Purview, Licensing portal, VMware vCenter</w:t>
            </w:r>
          </w:p>
        </w:tc>
      </w:tr>
      <w:tr>
        <w:trPr>
          <w:cantSplit/>
        </w:trPr>
        <w:tc>
          <w:tcPr>
            <w:tcW w:w="3315" w:type="dxa"/>
          </w:tcPr>
          <w:p>
            <w:pPr>
              <w:pStyle w:val="TableText"/>
            </w:pPr>
            <w:r>
              <w:rPr>
                <w:color w:val="5B6475"/>
                <w:sz w:val="18"/>
                <w:szCs w:val="18"/>
              </w:rPr>
              <w:t xml:space="preserve">Server targets</w:t>
            </w:r>
          </w:p>
        </w:tc>
        <w:tc>
          <w:tcPr>
            <w:tcW w:w="6437" w:type="dxa"/>
          </w:tcPr>
          <w:p>
            <w:pPr>
              <w:pStyle w:val="TableText"/>
            </w:pPr>
            <w:r>
              <w:rPr>
                <w:sz w:val="18"/>
                <w:szCs w:val="18"/>
              </w:rPr>
              <w:t xml:space="preserve">HV01, HV02, 10.10.20.0/24, 10.10.30.0/24, AZWEB01</w:t>
            </w:r>
          </w:p>
        </w:tc>
      </w:tr>
      <w:tr>
        <w:trPr>
          <w:cantSplit/>
        </w:trPr>
        <w:tc>
          <w:tcPr>
            <w:tcW w:w="3315" w:type="dxa"/>
          </w:tcPr>
          <w:p>
            <w:pPr>
              <w:pStyle w:val="TableText"/>
            </w:pPr>
            <w:r>
              <w:rPr>
                <w:color w:val="5B6475"/>
                <w:sz w:val="18"/>
                <w:szCs w:val="18"/>
              </w:rPr>
              <w:t xml:space="preserve">Report generated</w:t>
            </w:r>
          </w:p>
        </w:tc>
        <w:tc>
          <w:tcPr>
            <w:tcW w:w="6437" w:type="dxa"/>
          </w:tcPr>
          <w:p>
            <w:pPr>
              <w:pStyle w:val="TableText"/>
            </w:pPr>
            <w:r>
              <w:rPr>
                <w:sz w:val="18"/>
                <w:szCs w:val="18"/>
              </w:rPr>
              <w:t xml:space="preserve">2026-10-02 01:33 UTC</w:t>
            </w:r>
          </w:p>
        </w:tc>
      </w:tr>
      <w:tr>
        <w:trPr>
          <w:cantSplit/>
        </w:trPr>
        <w:tc>
          <w:tcPr>
            <w:tcW w:w="3315" w:type="dxa"/>
          </w:tcPr>
          <w:p>
            <w:pPr>
              <w:pStyle w:val="TableText"/>
            </w:pPr>
            <w:r>
              <w:rPr>
                <w:color w:val="5B6475"/>
                <w:sz w:val="18"/>
                <w:szCs w:val="18"/>
              </w:rPr>
              <w:t xml:space="preserve">Prepared by</w:t>
            </w:r>
          </w:p>
        </w:tc>
        <w:tc>
          <w:tcPr>
            <w:tcW w:w="6437" w:type="dxa"/>
          </w:tcPr>
          <w:p>
            <w:pPr>
              <w:pStyle w:val="TableText"/>
            </w:pPr>
            <w:r>
              <w:rPr>
                <w:sz w:val="18"/>
                <w:szCs w:val="18"/>
              </w:rPr>
              <w:t xml:space="preserve">Niyya Software</w:t>
            </w:r>
          </w:p>
        </w:tc>
      </w:tr>
      <w:tr>
        <w:trPr>
          <w:cantSplit/>
        </w:trPr>
        <w:tc>
          <w:tcPr>
            <w:tcW w:w="3315" w:type="dxa"/>
          </w:tcPr>
          <w:p>
            <w:pPr>
              <w:pStyle w:val="TableText"/>
            </w:pPr>
            <w:r>
              <w:rPr>
                <w:color w:val="5B6475"/>
                <w:sz w:val="18"/>
                <w:szCs w:val="18"/>
              </w:rPr>
              <w:t xml:space="preserve">Privacy mode</w:t>
            </w:r>
          </w:p>
        </w:tc>
        <w:tc>
          <w:tcPr>
            <w:tcW w:w="6437" w:type="dxa"/>
          </w:tcPr>
          <w:p>
            <w:pPr>
              <w:pStyle w:val="TableText"/>
            </w:pPr>
            <w:r>
              <w:rPr>
                <w:sz w:val="18"/>
                <w:szCs w:val="18"/>
              </w:rPr>
              <w:t xml:space="preserve">No</w:t>
            </w:r>
          </w:p>
        </w:tc>
      </w:tr>
    </w:tbl>
    <w:p>
      <w:pPr>
        <w:spacing w:before="0" w:after="0" w:line="240" w:lineRule="auto"/>
        <w:rPr>
          <w:sz w:val="12"/>
          <w:szCs w:val="12"/>
        </w:rPr>
      </w:pPr>
    </w:p>
    <w:p>
      <w:pPr>
        <w:pStyle w:val="Heading1"/>
        <w:pageBreakBefore/>
      </w:pPr>
      <w:bookmarkStart w:id="143" w:name="_TocMlat00143"/>
      <w:r>
        <w:t xml:space="preserve">Disclaimer</w:t>
      </w:r>
      <w:bookmarkEnd w:id="143"/>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1F3A5F"/>
            </w:tcBorders>
            <w:shd w:val="clear" w:color="auto" w:fill="F5F7FA"/>
          </w:tcPr>
          <w:p>
            <w:pPr>
              <w:pStyle w:val="TableText"/>
              <w:spacing w:after="60"/>
            </w:pPr>
            <w:r>
              <w:rPr>
                <w:b/>
                <w:bCs/>
                <w:color w:val="1F3A5F"/>
                <w:sz w:val="20"/>
                <w:szCs w:val="20"/>
              </w:rPr>
              <w:t xml:space="preserve">Disclaimer</w:t>
            </w:r>
          </w:p>
          <w:p>
            <w:pPr>
              <w:pStyle w:val="TableText"/>
            </w:pPr>
            <w:r>
              <w:rPr>
                <w:sz w:val="19"/>
                <w:szCs w:val="19"/>
              </w:rPr>
              <w:t xml:space="preserve">This assessment is based on technical information collected from the assessed environment and the licensing rules available within the assessment tool at the time of execution. It is intended to support licensing analysis and procurement planning and does not constitute a legal or contractual determination of compliance, nor an official Microsoft licensing position. Results are a technical assessment only and must be validated against the customer's Microsoft agreement(s), the Microsoft Product Terms, the applicable licensing program and, where required, a Microsoft licensing specialist. Indicative prices are estimates only and must be replaced with a quotation from an authorized reseller.</w:t>
            </w:r>
          </w:p>
        </w:tc>
      </w:tr>
    </w:tbl>
    <w:p>
      <w:pPr>
        <w:spacing w:before="0" w:after="0" w:line="240" w:lineRule="auto"/>
        <w:rPr>
          <w:sz w:val="12"/>
          <w:szCs w:val="12"/>
        </w:rPr>
      </w:pPr>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2563A6"/>
            </w:tcBorders>
            <w:shd w:val="clear" w:color="auto" w:fill="F5F7FA"/>
          </w:tcPr>
          <w:p>
            <w:pPr>
              <w:pStyle w:val="TableText"/>
              <w:spacing w:after="60"/>
            </w:pPr>
            <w:r>
              <w:rPr>
                <w:b/>
                <w:bCs/>
                <w:color w:val="2563A6"/>
                <w:sz w:val="20"/>
                <w:szCs w:val="20"/>
              </w:rPr>
              <w:t xml:space="preserve">Technical assessment vs. official licensing determination</w:t>
            </w:r>
          </w:p>
          <w:p>
            <w:pPr>
              <w:pStyle w:val="TableText"/>
            </w:pPr>
            <w:r>
              <w:rPr>
                <w:sz w:val="19"/>
                <w:szCs w:val="19"/>
              </w:rPr>
              <w:t xml:space="preserve">Technical assessment: what was discovered and how the licensing rules in this tool interpret it. Official Microsoft licensing / legal determination: only Microsoft, the customer's agreement documents and qualified licensing specialists can provide it. This tool does not make legal compliance determinations.</w:t>
            </w:r>
          </w:p>
        </w:tc>
      </w:tr>
    </w:tbl>
    <w:p>
      <w:pPr>
        <w:spacing w:before="0" w:after="0" w:line="240" w:lineRule="auto"/>
        <w:rPr>
          <w:sz w:val="12"/>
          <w:szCs w:val="12"/>
        </w:rPr>
      </w:pPr>
    </w:p>
    <w:tbl>
      <w:tblPr>
        <w:tblStyle w:val="MlatTable"/>
        <w:tblW w:w="9752" w:type="dxa"/>
        <w:tblInd w:w="0" w:type="dxa"/>
        <w:tblBorders>
          <w:top w:val="nil"/>
          <w:left w:val="nil"/>
          <w:bottom w:val="nil"/>
          <w:right w:val="nil"/>
          <w:insideH w:val="nil"/>
          <w:insideV w:val="nil"/>
        </w:tblBorders>
        <w:tblLayout w:type="fixed"/>
        <w:tblCellMar>
          <w:top w:w="90" w:type="dxa"/>
          <w:left w:w="170" w:type="dxa"/>
          <w:bottom w:w="90" w:type="dxa"/>
          <w:right w:w="170" w:type="dxa"/>
        </w:tblCellMar>
        <w:tblLook w:val="04A0" w:firstRow="1" w:lastRow="0" w:firstColumn="0" w:lastColumn="0" w:noHBand="0" w:noVBand="1"/>
      </w:tblPr>
      <w:tblGrid>
        <w:gridCol w:w="9752"/>
      </w:tblGrid>
      <w:tr>
        <w:trPr>
          <w:cantSplit/>
        </w:trPr>
        <w:tc>
          <w:tcPr>
            <w:tcW w:w="9752" w:type="dxa"/>
            <w:tcBorders>
              <w:left w:val="single" w:sz="24" w:space="0" w:color="9AA3B2"/>
            </w:tcBorders>
            <w:shd w:val="clear" w:color="auto" w:fill="F5F7FA"/>
          </w:tcPr>
          <w:p>
            <w:pPr>
              <w:pStyle w:val="TableText"/>
              <w:spacing w:after="60"/>
            </w:pPr>
            <w:r>
              <w:rPr>
                <w:b/>
                <w:bCs/>
                <w:color w:val="9AA3B2"/>
                <w:sz w:val="20"/>
                <w:szCs w:val="20"/>
              </w:rPr>
              <w:t xml:space="preserve">Licensing rules package</w:t>
            </w:r>
          </w:p>
          <w:p>
            <w:pPr>
              <w:pStyle w:val="TableText"/>
            </w:pPr>
            <w:r>
              <w:rPr>
                <w:sz w:val="19"/>
                <w:szCs w:val="19"/>
              </w:rPr>
              <w:t xml:space="preserve">Rules in this package are a technical interpretation intended to support licensing analysis. They are not an official Microsoft licensing position. Source URLs point to official Microsoft portals; administrators should verify and, where needed, update them to the exact Product Terms entry for the customer's licensing program.</w:t>
            </w:r>
          </w:p>
        </w:tc>
      </w:tr>
    </w:tbl>
    <w:p>
      <w:pPr>
        <w:spacing w:before="0" w:after="0" w:line="240" w:lineRule="auto"/>
        <w:rPr>
          <w:sz w:val="12"/>
          <w:szCs w:val="12"/>
        </w:rPr>
      </w:pPr>
    </w:p>
    <w:p>
      <w:pPr>
        <w:pStyle w:val="Small"/>
      </w:pPr>
      <w:r>
        <w:t xml:space="preserve">Indicative prices are estimates only and are not offers. Values shown as n/a have no indicative price in the rules package.</w:t>
      </w:r>
    </w:p>
    <w:p>
      <w:pPr>
        <w:spacing w:before="0" w:after="240" w:line="20" w:lineRule="exact"/>
      </w:pPr>
    </w:p>
    <w:p>
      <w:pPr>
        <w:spacing w:after="40"/>
        <w:jc w:val="center"/>
      </w:pPr>
      <w:r>
        <w:rPr>
          <w:b/>
          <w:bCs/>
          <w:color w:val="1F3A5F"/>
        </w:rPr>
        <w:t xml:space="preserve">Microsoft License Assessment Tool (MLAT) by Niyya Software</w:t>
      </w:r>
    </w:p>
    <w:p>
      <w:pPr>
        <w:jc w:val="center"/>
      </w:pPr>
      <w:r>
        <w:rPr>
          <w:color w:val="5B6475"/>
          <w:sz w:val="17"/>
          <w:szCs w:val="17"/>
        </w:rPr>
        <w:t xml:space="preserve">Copyright (c) 2026 Niyya Software. Developed by Amr Hafez.</w:t>
      </w:r>
    </w:p>
    <w:sectPr>
      <w:headerReference w:type="default" r:id="rIdHdr1"/>
      <w:footerReference w:type="default" r:id="rIdFtr1"/>
      <w:pgSz w:w="11906" w:h="16838"/>
      <w:pgMar w:top="1304" w:right="1077" w:bottom="1191" w:left="1077" w:header="567" w:footer="510" w:gutter="0"/>
      <w:cols w:space="708"/>
      <w:docGrid w:linePitch="360"/>
    </w:sectPr>
  </w:body>
</w:document>
</file>

<file path=word/fontTable.xml><?xml version="1.0" encoding="utf-8"?>
<w:fonts xmlns:w="http://schemas.openxmlformats.org/wordprocessingml/2006/main">
  <w:font w:name="Calibri">
    <w:charset w:val="00"/>
    <w:family w:val="swiss"/>
    <w:pitch w:val="variable"/>
  </w:font>
  <w:font w:name="Segoe UI Symbol">
    <w:charset w:val="00"/>
    <w:family w:val="swiss"/>
    <w:pitch w:val="variable"/>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Pr>
    <w:r>
      <w:t xml:space="preserve">Technical assessment – not a legal or contractual determination</w:t>
    </w:r>
    <w:r>
      <w:ptab w:relativeTo="margin" w:alignment="right" w:leader="none"/>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nil"/>
      </w:pBdr>
      <w:jc w:val="center"/>
    </w:pPr>
    <w:r>
      <w:t xml:space="preserve">Microsoft License Assessment Tool (MLAT) by Niyya Software · Copyright (c) 2026 Niyya Software. Developed by Amr Hafez.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rPr>
        <w:position w:val="-6"/>
      </w:rPr>
      <w:drawing>
        <wp:inline distT="0" distB="0" distL="0" distR="0">
          <wp:extent cx="180000" cy="180000"/>
          <wp:effectExtent l="0" t="0" r="0" b="0"/>
          <wp:docPr id="90001" name="Picture 90001" descr="Logo"/>
          <wp:cNvGraphicFramePr>
            <a:graphicFrameLocks noChangeAspect="1"/>
          </wp:cNvGraphicFramePr>
          <a:graphic>
            <a:graphicData uri="http://schemas.openxmlformats.org/drawingml/2006/picture">
              <pic:pic>
                <pic:nvPicPr>
                  <pic:cNvPr id="0" name="Picture 90001.png"/>
                  <pic:cNvPicPr/>
                </pic:nvPicPr>
                <pic:blipFill>
                  <a:blip r:embed="rIdLogo"/>
                  <a:stretch>
                    <a:fillRect/>
                  </a:stretch>
                </pic:blipFill>
                <pic:spPr>
                  <a:xfrm>
                    <a:off x="0" y="0"/>
                    <a:ext cx="180000" cy="180000"/>
                  </a:xfrm>
                  <a:prstGeom prst="rect">
                    <a:avLst/>
                  </a:prstGeom>
                </pic:spPr>
              </pic:pic>
            </a:graphicData>
          </a:graphic>
        </wp:inline>
      </w:drawing>
    </w:r>
    <w:r>
      <w:t xml:space="preserve">  </w:t>
    </w:r>
    <w:r>
      <w:t xml:space="preserve">Microsoft Licensing Assessment Report · Demo Company Ltd (fictional)</w:t>
    </w:r>
    <w:r>
      <w:ptab w:relativeTo="margin" w:alignment="right" w:leader="none"/>
    </w:r>
    <w:r>
      <w:t xml:space="preserve">MLAT · Niyya Software</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Bdr>
        <w:bottom w:val="nil"/>
      </w:pBd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rPr>
        <w:rFonts w:ascii="Calibri" w:hAnsi="Calibri"/>
        <w:color w:val="1F3A5F"/>
      </w:rPr>
    </w:lvl>
    <w:lvl w:ilvl="1">
      <w:start w:val="1"/>
      <w:numFmt w:val="bullet"/>
      <w:lvlText w:val="–"/>
      <w:lvlJc w:val="left"/>
      <w:pPr>
        <w:ind w:left="680" w:hanging="227"/>
      </w:pPr>
      <w:rPr>
        <w:rFonts w:ascii="Calibri" w:hAnsi="Calibri"/>
        <w:color w:val="1F3A5F"/>
      </w:rPr>
    </w:lvl>
    <w:lvl w:ilvl="2">
      <w:start w:val="1"/>
      <w:numFmt w:val="bullet"/>
      <w:lvlText w:val="·"/>
      <w:lvlJc w:val="left"/>
      <w:pPr>
        <w:ind w:left="1020" w:hanging="227"/>
      </w:pPr>
      <w:rPr>
        <w:rFonts w:ascii="Calibri" w:hAnsi="Calibri"/>
        <w:color w:val="1F3A5F"/>
      </w:rPr>
    </w:lvl>
  </w:abstractNum>
  <w:abstractNum w:abstractNumId="1">
    <w:multiLevelType w:val="singleLevel"/>
    <w:lvl w:ilvl="0">
      <w:start w:val="1"/>
      <w:numFmt w:val="decimal"/>
      <w:lvlText w:val="%1."/>
      <w:lvlJc w:val="left"/>
      <w:pPr>
        <w:ind w:left="397" w:hanging="340"/>
      </w:pPr>
      <w:rPr>
        <w:color w:val="1F3A5F"/>
      </w:r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settings>
</file>

<file path=word/styles.xml><?xml version="1.0" encoding="utf-8"?>
<w:styles xmlns:w="http://schemas.openxmlformats.org/wordprocessingml/2006/main">
  <w:docDefaults>
    <w:rPrDefault>
      <w:rPr>
        <w:rFonts w:ascii="Calibri" w:eastAsia="Calibri" w:hAnsi="Calibri" w:cs="Calibri"/>
        <w:color w:val="1D2433"/>
        <w:sz w:val="20"/>
        <w:szCs w:val="20"/>
        <w:lang w:val="en-US" w:eastAsia="en-US" w:bidi="ar-SA"/>
      </w:rPr>
    </w:rPrDefault>
    <w:pPrDefault>
      <w:pPr>
        <w:spacing w:after="110" w:line="264"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after="120" w:line="240" w:lineRule="auto"/>
    </w:pPr>
    <w:rPr>
      <w:b/>
      <w:bCs/>
      <w:color w:val="1F3A5F"/>
      <w:kern w:val="28"/>
      <w:sz w:val="60"/>
      <w:szCs w:val="60"/>
    </w:rPr>
  </w:style>
  <w:style w:type="paragraph" w:styleId="Subtitle">
    <w:name w:val="Subtitle"/>
    <w:basedOn w:val="Normal"/>
    <w:next w:val="Normal"/>
    <w:uiPriority w:val="11"/>
    <w:qFormat/>
    <w:pPr>
      <w:spacing w:before="0" w:after="240"/>
    </w:pPr>
    <w:rPr>
      <w:color w:val="5B6475"/>
      <w:sz w:val="30"/>
      <w:szCs w:val="30"/>
    </w:rPr>
  </w:style>
  <w:style w:type="paragraph" w:styleId="Heading1">
    <w:name w:val="heading 1"/>
    <w:basedOn w:val="Normal"/>
    <w:next w:val="Normal"/>
    <w:uiPriority w:val="9"/>
    <w:qFormat/>
    <w:pPr>
      <w:keepNext/>
      <w:keepLines/>
      <w:pBdr>
        <w:bottom w:val="single" w:sz="12" w:space="4" w:color="1F3A5F"/>
      </w:pBdr>
      <w:spacing w:before="240" w:after="160" w:line="240" w:lineRule="auto"/>
      <w:outlineLvl w:val="0"/>
    </w:pPr>
    <w:rPr>
      <w:b/>
      <w:bCs/>
      <w:color w:val="1F3A5F"/>
      <w:sz w:val="32"/>
      <w:szCs w:val="32"/>
    </w:rPr>
  </w:style>
  <w:style w:type="paragraph" w:styleId="Heading2">
    <w:name w:val="heading 2"/>
    <w:basedOn w:val="Normal"/>
    <w:next w:val="Normal"/>
    <w:uiPriority w:val="9"/>
    <w:qFormat/>
    <w:pPr>
      <w:keepNext/>
      <w:keepLines/>
      <w:spacing w:before="280" w:after="100" w:line="240" w:lineRule="auto"/>
      <w:outlineLvl w:val="1"/>
    </w:pPr>
    <w:rPr>
      <w:b/>
      <w:bCs/>
      <w:color w:val="1F3A5F"/>
      <w:sz w:val="25"/>
      <w:szCs w:val="25"/>
    </w:rPr>
  </w:style>
  <w:style w:type="paragraph" w:styleId="Heading3">
    <w:name w:val="heading 3"/>
    <w:basedOn w:val="Normal"/>
    <w:next w:val="Normal"/>
    <w:uiPriority w:val="9"/>
    <w:qFormat/>
    <w:pPr>
      <w:keepNext/>
      <w:keepLines/>
      <w:spacing w:before="220" w:after="80" w:line="240" w:lineRule="auto"/>
      <w:outlineLvl w:val="2"/>
    </w:pPr>
    <w:rPr>
      <w:b/>
      <w:bCs/>
      <w:color w:val="1F3A5F"/>
      <w:sz w:val="22"/>
      <w:szCs w:val="22"/>
    </w:rPr>
  </w:style>
  <w:style w:type="paragraph" w:styleId="Caption">
    <w:name w:val="caption"/>
    <w:basedOn w:val="Normal"/>
    <w:next w:val="Normal"/>
    <w:uiPriority w:val="35"/>
    <w:qFormat/>
    <w:pPr>
      <w:spacing w:before="0" w:after="80"/>
    </w:pPr>
    <w:rPr>
      <w:i/>
      <w:iCs/>
      <w:color w:val="5B6475"/>
      <w:sz w:val="17"/>
      <w:szCs w:val="17"/>
    </w:rPr>
  </w:style>
  <w:style w:type="paragraph" w:styleId="TOC1">
    <w:name w:val="toc 1"/>
    <w:basedOn w:val="Normal"/>
    <w:next w:val="Normal"/>
    <w:uiPriority w:val="39"/>
    <w:qFormat/>
    <w:pPr>
      <w:spacing w:before="40" w:after="40"/>
      <w:ind w:left="0"/>
    </w:pPr>
    <w:rPr>
      <w:color w:val="1F3A5F"/>
    </w:rPr>
  </w:style>
  <w:style w:type="paragraph" w:styleId="TOC2">
    <w:name w:val="toc 2"/>
    <w:basedOn w:val="Normal"/>
    <w:next w:val="Normal"/>
    <w:uiPriority w:val="39"/>
    <w:qFormat/>
    <w:pPr>
      <w:spacing w:before="0" w:after="40"/>
      <w:ind w:left="240"/>
    </w:pPr>
  </w:style>
  <w:style w:type="paragraph" w:styleId="TOC3">
    <w:name w:val="toc 3"/>
    <w:basedOn w:val="Normal"/>
    <w:next w:val="Normal"/>
    <w:uiPriority w:val="39"/>
    <w:qFormat/>
    <w:pPr>
      <w:spacing w:before="0" w:after="40"/>
      <w:ind w:left="480"/>
    </w:pPr>
  </w:style>
  <w:style w:type="paragraph" w:styleId="ListBullet">
    <w:name w:val="List Bullet"/>
    <w:basedOn w:val="Normal"/>
    <w:next w:val="Normal"/>
    <w:uiPriority w:val="36"/>
    <w:qFormat/>
    <w:pPr>
      <w:numPr>
        <w:numId w:val="1"/>
      </w:numPr>
      <w:spacing w:after="50"/>
      <w:ind w:left="340" w:hanging="227"/>
      <w:contextualSpacing/>
    </w:pPr>
  </w:style>
  <w:style w:type="paragraph" w:styleId="ListNumber">
    <w:name w:val="List Number"/>
    <w:basedOn w:val="Normal"/>
    <w:next w:val="Normal"/>
    <w:uiPriority w:val="36"/>
    <w:qFormat/>
    <w:pPr>
      <w:spacing w:after="50"/>
      <w:ind w:left="397" w:hanging="340"/>
      <w:contextualSpacing/>
    </w:pPr>
  </w:style>
  <w:style w:type="paragraph" w:styleId="Small">
    <w:name w:val="Small Text"/>
    <w:basedOn w:val="Normal"/>
    <w:next w:val="Normal"/>
    <w:uiPriority w:val="40"/>
    <w:qFormat/>
    <w:pPr>
      <w:spacing w:after="80"/>
    </w:pPr>
    <w:rPr>
      <w:color w:val="5B6475"/>
      <w:sz w:val="16"/>
      <w:szCs w:val="16"/>
    </w:rPr>
  </w:style>
  <w:style w:type="paragraph" w:styleId="TableText">
    <w:name w:val="Table Text"/>
    <w:basedOn w:val="Normal"/>
    <w:next w:val="Normal"/>
    <w:uiPriority w:val="41"/>
    <w:qFormat/>
    <w:pPr>
      <w:spacing w:before="0" w:after="0" w:line="240" w:lineRule="auto"/>
    </w:pPr>
  </w:style>
  <w:style w:type="paragraph" w:styleId="Header">
    <w:name w:val="header"/>
    <w:basedOn w:val="Normal"/>
    <w:next w:val="Normal"/>
    <w:uiPriority w:val="99"/>
    <w:qFormat/>
    <w:pPr>
      <w:pBdr>
        <w:bottom w:val="single" w:sz="4" w:space="4" w:color="D9DEE7"/>
      </w:pBdr>
      <w:tabs>
        <w:tab w:val="center" w:pos="4536"/>
        <w:tab w:val="right" w:pos="9072"/>
      </w:tabs>
      <w:spacing w:after="0" w:line="240" w:lineRule="auto"/>
    </w:pPr>
    <w:rPr>
      <w:color w:val="5B6475"/>
      <w:sz w:val="16"/>
      <w:szCs w:val="16"/>
    </w:rPr>
  </w:style>
  <w:style w:type="paragraph" w:styleId="Footer">
    <w:name w:val="footer"/>
    <w:basedOn w:val="Normal"/>
    <w:next w:val="Normal"/>
    <w:uiPriority w:val="99"/>
    <w:qFormat/>
    <w:pPr>
      <w:pBdr>
        <w:top w:val="single" w:sz="4" w:space="4" w:color="D9DEE7"/>
      </w:pBdr>
      <w:tabs>
        <w:tab w:val="center" w:pos="4536"/>
        <w:tab w:val="right" w:pos="9072"/>
      </w:tabs>
      <w:spacing w:after="0" w:line="240" w:lineRule="auto"/>
    </w:pPr>
    <w:rPr>
      <w:color w:val="5B6475"/>
      <w:sz w:val="16"/>
      <w:szCs w:val="16"/>
    </w:rPr>
  </w:style>
  <w:style w:type="character" w:styleId="Hyperlink">
    <w:name w:val="Hyperlink"/>
    <w:basedOn w:val="DefaultParagraphFont"/>
    <w:uiPriority w:val="99"/>
    <w:unhideWhenUsed/>
    <w:rPr>
      <w:color w:val="2563A6"/>
      <w:u w:val="single"/>
    </w:rPr>
  </w:style>
  <w:style w:type="table" w:styleId="MlatTable">
    <w:name w:val="MLAT Table"/>
    <w:basedOn w:val="TableNormal"/>
    <w:uiPriority w:val="59"/>
    <w:pPr>
      <w:spacing w:after="0" w:line="240" w:lineRule="auto"/>
    </w:pPr>
    <w:tblPr>
      <w:tblBorders>
        <w:top w:val="single" w:sz="4" w:space="0" w:color="D9DEE7"/>
        <w:bottom w:val="single" w:sz="4" w:space="0" w:color="D9DEE7"/>
        <w:insideH w:val="single" w:sz="4" w:space="0" w:color="D9DEE7"/>
      </w:tblBorders>
      <w:tblCellMar>
        <w:top w:w="35" w:type="dxa"/>
        <w:left w:w="80" w:type="dxa"/>
        <w:bottom w:w="35" w:type="dxa"/>
        <w:right w:w="8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nts" Type="http://schemas.openxmlformats.org/officeDocument/2006/relationships/fontTable" Target="fontTable.xml"/><Relationship Id="rIdHdr1" Type="http://schemas.openxmlformats.org/officeDocument/2006/relationships/header" Target="header1.xml"/><Relationship Id="rIdHdr2" Type="http://schemas.openxmlformats.org/officeDocument/2006/relationships/header" Target="header2.xml"/><Relationship Id="rIdFtr1" Type="http://schemas.openxmlformats.org/officeDocument/2006/relationships/footer" Target="footer1.xml"/><Relationship Id="rIdFtr2" Type="http://schemas.openxmlformats.org/officeDocument/2006/relationships/footer" Target="footer2.xml"/><Relationship Id="rId100" Type="http://schemas.openxmlformats.org/officeDocument/2006/relationships/image" Target="media/image1.png"/><Relationship Id="rId101" Type="http://schemas.openxmlformats.org/officeDocument/2006/relationships/image" Target="media/image2.png"/><Relationship Id="rId102" Type="http://schemas.openxmlformats.org/officeDocument/2006/relationships/image" Target="media/image3.png"/><Relationship Id="rId103" Type="http://schemas.openxmlformats.org/officeDocument/2006/relationships/image" Target="media/image4.png"/><Relationship Id="rId104" Type="http://schemas.openxmlformats.org/officeDocument/2006/relationships/image" Target="media/image5.png"/><Relationship Id="rId105" Type="http://schemas.openxmlformats.org/officeDocument/2006/relationships/hyperlink" Target="https://www.microsoft.com/licensing/terms/" TargetMode="External"/><Relationship Id="rId106" Type="http://schemas.openxmlformats.org/officeDocument/2006/relationships/hyperlink" Target="https://www.microsoft.com/licensing/terms/" TargetMode="External"/><Relationship Id="rId107" Type="http://schemas.openxmlformats.org/officeDocument/2006/relationships/hyperlink" Target="https://www.microsoft.com/useterms" TargetMode="External"/><Relationship Id="rId108" Type="http://schemas.openxmlformats.org/officeDocument/2006/relationships/hyperlink" Target="https://learn.microsoft.com/windows/whats-new/windows-licensing" TargetMode="External"/><Relationship Id="rId109" Type="http://schemas.openxmlformats.org/officeDocument/2006/relationships/hyperlink" Target="https://learn.microsoft.com/windows/whats-new/windows-licensing" TargetMode="External"/><Relationship Id="rId110" Type="http://schemas.openxmlformats.org/officeDocument/2006/relationships/hyperlink" Target="https://www.microsoft.com/licensing/terms/" TargetMode="External"/><Relationship Id="rId111" Type="http://schemas.openxmlformats.org/officeDocument/2006/relationships/hyperlink" Target="https://learn.microsoft.com/entra/fundamentals/licensing" TargetMode="External"/><Relationship Id="rId112" Type="http://schemas.openxmlformats.org/officeDocument/2006/relationships/hyperlink" Target="https://learn.microsoft.com/entra/fundamentals/licensing" TargetMode="External"/><Relationship Id="rId113" Type="http://schemas.openxmlformats.org/officeDocument/2006/relationships/hyperlink" Target="https://www.microsoft.com/licensing/terms/" TargetMode="External"/><Relationship Id="rId114" Type="http://schemas.openxmlformats.org/officeDocument/2006/relationships/hyperlink" Target="https://www.microsoft.com/licensing/terms/" TargetMode="External"/><Relationship Id="rId115" Type="http://schemas.openxmlformats.org/officeDocument/2006/relationships/hyperlink" Target="https://www.microsoft.com/licensing/terms/" TargetMode="External"/><Relationship Id="rId116" Type="http://schemas.openxmlformats.org/officeDocument/2006/relationships/hyperlink" Target="https://www.microsoft.com/licensing/terms/" TargetMode="External"/><Relationship Id="rId117" Type="http://schemas.openxmlformats.org/officeDocument/2006/relationships/hyperlink" Target="https://learn.microsoft.com/lifecycle/products/" TargetMode="External"/><Relationship Id="rId118" Type="http://schemas.openxmlformats.org/officeDocument/2006/relationships/hyperlink" Target="https://learn.microsoft.com/lifecycle/products/" TargetMode="External"/><Relationship Id="rId119" Type="http://schemas.openxmlformats.org/officeDocument/2006/relationships/hyperlink" Target="https://learn.microsoft.com/lifecycle/products/" TargetMode="External"/><Relationship Id="rId120" Type="http://schemas.openxmlformats.org/officeDocument/2006/relationships/hyperlink" Target="https://learn.microsoft.com/entra/identity/users/licensing-service-plan-reference" TargetMode="External"/><Relationship Id="rId121" Type="http://schemas.openxmlformats.org/officeDocument/2006/relationships/hyperlink" Target="https://learn.microsoft.com/mem/intune/fundamentals/licenses" TargetMode="External"/><Relationship Id="rId122"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23"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24" Type="http://schemas.openxmlformats.org/officeDocument/2006/relationships/hyperlink" Target="https://www.microsoft.com/licensing/docs/view/SQL-Server" TargetMode="External"/><Relationship Id="rId125" Type="http://schemas.openxmlformats.org/officeDocument/2006/relationships/hyperlink" Target="https://www.microsoft.com/licensing/docs/view/SQL-Server" TargetMode="External"/><Relationship Id="rId126" Type="http://schemas.openxmlformats.org/officeDocument/2006/relationships/hyperlink" Target="https://learn.microsoft.com/windows/whats-new/windows-licensing" TargetMode="External"/><Relationship Id="rId127" Type="http://schemas.openxmlformats.org/officeDocument/2006/relationships/hyperlink" Target="https://www.microsoft.com/licensing/terms/" TargetMode="External"/><Relationship Id="rId128" Type="http://schemas.openxmlformats.org/officeDocument/2006/relationships/hyperlink" Target="https://www.microsoft.com/licensing/terms/" TargetMode="External"/><Relationship Id="rId129" Type="http://schemas.openxmlformats.org/officeDocument/2006/relationships/hyperlink" Target="https://learn.microsoft.com/windows/whats-new/windows-licensing" TargetMode="External"/><Relationship Id="rId130" Type="http://schemas.openxmlformats.org/officeDocument/2006/relationships/hyperlink" Target="https://learn.microsoft.com/lifecycle/products/" TargetMode="External"/><Relationship Id="rId131" Type="http://schemas.openxmlformats.org/officeDocument/2006/relationships/hyperlink" Target="https://learn.microsoft.com/lifecycle/products/" TargetMode="External"/><Relationship Id="rId132" Type="http://schemas.openxmlformats.org/officeDocument/2006/relationships/hyperlink" Target="https://learn.microsoft.com/lifecycle/products/" TargetMode="External"/><Relationship Id="rId133" Type="http://schemas.openxmlformats.org/officeDocument/2006/relationships/hyperlink" Target="https://learn.microsoft.com/entra/identity/users/licensing-service-plan-reference" TargetMode="External"/><Relationship Id="rId134" Type="http://schemas.openxmlformats.org/officeDocument/2006/relationships/hyperlink" Target="https://learn.microsoft.com/entra/identity/users/licensing-service-plan-reference" TargetMode="External"/><Relationship Id="rId135" Type="http://schemas.openxmlformats.org/officeDocument/2006/relationships/hyperlink" Target="https://learn.microsoft.com/entra/identity/users/licensing-service-plan-reference" TargetMode="External"/><Relationship Id="rId136" Type="http://schemas.openxmlformats.org/officeDocument/2006/relationships/hyperlink" Target="https://learn.microsoft.com/entra/identity/users/licensing-service-plan-reference" TargetMode="External"/><Relationship Id="rId137" Type="http://schemas.openxmlformats.org/officeDocument/2006/relationships/hyperlink" Target="https://learn.microsoft.com/mem/intune/fundamentals/licenses" TargetMode="External"/><Relationship Id="rId138" Type="http://schemas.openxmlformats.org/officeDocument/2006/relationships/hyperlink" Target="https://www.microsoft.com/licensing/terms/" TargetMode="External"/><Relationship Id="rId139" Type="http://schemas.openxmlformats.org/officeDocument/2006/relationships/hyperlink" Target="https://www.microsoft.com/licensing/terms/" TargetMode="External"/><Relationship Id="rId140"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41"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42"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43"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44"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145" Type="http://schemas.openxmlformats.org/officeDocument/2006/relationships/hyperlink" Target="https://www.microsoft.com/licensing/docs/view/SQL-Server" TargetMode="External"/><Relationship Id="rId146" Type="http://schemas.openxmlformats.org/officeDocument/2006/relationships/hyperlink" Target="https://www.microsoft.com/licensing/docs/view/SQL-Server" TargetMode="External"/><Relationship Id="rId147" Type="http://schemas.openxmlformats.org/officeDocument/2006/relationships/hyperlink" Target="https://azure.microsoft.com/pricing/hybrid-benefit/" TargetMode="External"/><Relationship Id="rId148" Type="http://schemas.openxmlformats.org/officeDocument/2006/relationships/hyperlink" Target="https://www.microsoft.com/licensing/terms/" TargetMode="External"/><Relationship Id="rId149" Type="http://schemas.openxmlformats.org/officeDocument/2006/relationships/hyperlink" Target="https://www.microsoft.com/licensing/terms/" TargetMode="External"/><Relationship Id="rId150" Type="http://schemas.openxmlformats.org/officeDocument/2006/relationships/hyperlink" Target="https://www.microsoft.com/licensing/terms/" TargetMode="External"/><Relationship Id="rId151" Type="http://schemas.openxmlformats.org/officeDocument/2006/relationships/hyperlink" Target="https://learn.microsoft.com/entra/fundamentals/licensing" TargetMode="External"/><Relationship Id="rId152" Type="http://schemas.openxmlformats.org/officeDocument/2006/relationships/hyperlink" Target="https://learn.microsoft.com/entra/fundamentals/licensing" TargetMode="External"/><Relationship Id="rId153" Type="http://schemas.openxmlformats.org/officeDocument/2006/relationships/hyperlink" Target="https://learn.microsoft.com/mem/intune/fundamentals/licenses" TargetMode="External"/><Relationship Id="rId154" Type="http://schemas.openxmlformats.org/officeDocument/2006/relationships/hyperlink" Target="https://www.microsoft.com/useterms" TargetMode="External"/><Relationship Id="rId155" Type="http://schemas.openxmlformats.org/officeDocument/2006/relationships/hyperlink" Target="https://learn.microsoft.com/microsoft-365-apps/licensing-activation/overview-shared-computer-activation" TargetMode="External"/><Relationship Id="rId156" Type="http://schemas.openxmlformats.org/officeDocument/2006/relationships/hyperlink" Target="https://www.microsoft.com/licensing/terms/" TargetMode="External"/><Relationship Id="rId157" Type="http://schemas.openxmlformats.org/officeDocument/2006/relationships/hyperlink" Target="https://learn.microsoft.com/windows-server/remote/remote-desktop-services/rds-client-access-license" TargetMode="External"/><Relationship Id="rId158" Type="http://schemas.openxmlformats.org/officeDocument/2006/relationships/hyperlink" Target="https://www.microsoft.com/licensing/docs/view/SQL-Server" TargetMode="External"/><Relationship Id="rId159" Type="http://schemas.openxmlformats.org/officeDocument/2006/relationships/hyperlink" Target="https://www.microsoft.com/licensing/docs/view/SQL-Server" TargetMode="External"/><Relationship Id="rId160" Type="http://schemas.openxmlformats.org/officeDocument/2006/relationships/hyperlink" Target="https://www.microsoft.com/licensing/docs/view/SQL-Server" TargetMode="External"/><Relationship Id="rId161" Type="http://schemas.openxmlformats.org/officeDocument/2006/relationships/hyperlink" Target="https://www.microsoft.com/licensing/terms/" TargetMode="External"/><Relationship Id="rId162" Type="http://schemas.openxmlformats.org/officeDocument/2006/relationships/hyperlink" Target="https://visualstudio.microsoft.com/license-terms/" TargetMode="External"/><Relationship Id="rId163" Type="http://schemas.openxmlformats.org/officeDocument/2006/relationships/hyperlink" Target="https://learn.microsoft.com/windows/whats-new/windows-licensing" TargetMode="External"/><Relationship Id="rId164" Type="http://schemas.openxmlformats.org/officeDocument/2006/relationships/hyperlink" Target="https://learn.microsoft.com/windows/whats-new/windows-licensing" TargetMode="External"/><Relationship Id="rId165" Type="http://schemas.openxmlformats.org/officeDocument/2006/relationships/hyperlink" Target="https://www.microsoft.com/licensing/terms/" TargetMode="External"/><Relationship Id="rId166" Type="http://schemas.openxmlformats.org/officeDocument/2006/relationships/hyperlink" Target="https://www.microsoft.com/licensing/terms/" TargetMode="External"/><Relationship Id="rId167" Type="http://schemas.openxmlformats.org/officeDocument/2006/relationships/hyperlink" Target="https://www.microsoft.com/licensing/terms/" TargetMode="External"/><Relationship Id="rId168" Type="http://schemas.openxmlformats.org/officeDocument/2006/relationships/hyperlink" Target="https://www.microsoft.com/licensing/terms/" TargetMode="External"/><Relationship Id="rId169" Type="http://schemas.openxmlformats.org/officeDocument/2006/relationships/hyperlink" Target="https://www.microsoft.com/licensing/terms/" TargetMode="External"/><Relationship Id="rId170" Type="http://schemas.openxmlformats.org/officeDocument/2006/relationships/hyperlink" Target="https://www.microsoft.com/licensing/terms/" TargetMode="External"/><Relationship Id="rId171" Type="http://schemas.openxmlformats.org/officeDocument/2006/relationships/hyperlink" Target="https://learn.microsoft.com/windows-server/remote/remote-desktop-services/rds-client-access-license" TargetMode="External"/><Relationship Id="rId172" Type="http://schemas.openxmlformats.org/officeDocument/2006/relationships/hyperlink" Target="https://www.microsoft.com/licensing/docs/view/SQL-Server" TargetMode="External"/><Relationship Id="rId173" Type="http://schemas.openxmlformats.org/officeDocument/2006/relationships/hyperlink" Target="https://www.microsoft.com/licensing/docs/view/SQL-Server" TargetMode="External"/><Relationship Id="rId174" Type="http://schemas.openxmlformats.org/officeDocument/2006/relationships/hyperlink" Target="https://www.microsoft.com/licensing/docs/view/SQL-Server" TargetMode="External"/><Relationship Id="rId175" Type="http://schemas.openxmlformats.org/officeDocument/2006/relationships/hyperlink" Target="https://www.microsoft.com/licensing/terms/" TargetMode="External"/><Relationship Id="rId176" Type="http://schemas.openxmlformats.org/officeDocument/2006/relationships/hyperlink" Target="https://www.microsoft.com/licensing/terms/" TargetMode="External"/><Relationship Id="rId177" Type="http://schemas.openxmlformats.org/officeDocument/2006/relationships/hyperlink" Target="https://www.microsoft.com/licensing/terms/" TargetMode="External"/><Relationship Id="rId178" Type="http://schemas.openxmlformats.org/officeDocument/2006/relationships/hyperlink" Target="https://www.microsoft.com/licensing/terms/" TargetMode="External"/><Relationship Id="rId179" Type="http://schemas.openxmlformats.org/officeDocument/2006/relationships/hyperlink" Target="https://azure.microsoft.com/pricing/hybrid-benefit/" TargetMode="External"/><Relationship Id="rId180" Type="http://schemas.openxmlformats.org/officeDocument/2006/relationships/hyperlink" Target="https://www.microsoft.com/licensing/terms/" TargetMode="External"/><Relationship Id="rId181" Type="http://schemas.openxmlformats.org/officeDocument/2006/relationships/hyperlink" Target="https://www.microsoft.com/licensing/terms/" TargetMode="External"/><Relationship Id="rId182" Type="http://schemas.openxmlformats.org/officeDocument/2006/relationships/hyperlink" Target="https://learn.microsoft.com/windows-server/remote/remote-desktop-services/rds-client-access-license" TargetMode="External"/><Relationship Id="rId183" Type="http://schemas.openxmlformats.org/officeDocument/2006/relationships/hyperlink" Target="https://www.microsoft.com/licensing/docs/view/SQL-Server" TargetMode="External"/><Relationship Id="rId184" Type="http://schemas.openxmlformats.org/officeDocument/2006/relationships/hyperlink" Target="https://www.microsoft.com/licensing/docs/view/SQL-Server" TargetMode="External"/><Relationship Id="rId185" Type="http://schemas.openxmlformats.org/officeDocument/2006/relationships/hyperlink" Target="https://www.microsoft.com/licensing/docs/view/SQL-Server" TargetMode="External"/><Relationship Id="rId186" Type="http://schemas.openxmlformats.org/officeDocument/2006/relationships/hyperlink" Target="https://learn.microsoft.com/windows/whats-new/windows-licensing" TargetMode="External"/><Relationship Id="rId187" Type="http://schemas.openxmlformats.org/officeDocument/2006/relationships/hyperlink" Target="https://learn.microsoft.com/windows/whats-new/windows-licensing" TargetMode="External"/><Relationship Id="rId188" Type="http://schemas.openxmlformats.org/officeDocument/2006/relationships/hyperlink" Target="https://learn.microsoft.com/windows/whats-new/windows-licensing" TargetMode="External"/><Relationship Id="rId189" Type="http://schemas.openxmlformats.org/officeDocument/2006/relationships/hyperlink" Target="https://www.microsoft.com/licensing/terms/" TargetMode="External"/><Relationship Id="rId190" Type="http://schemas.openxmlformats.org/officeDocument/2006/relationships/hyperlink" Target="https://www.microsoft.com/licensing/terms/" TargetMode="External"/><Relationship Id="rId191" Type="http://schemas.openxmlformats.org/officeDocument/2006/relationships/hyperlink" Target="https://www.microsoft.com/useterms" TargetMode="External"/><Relationship Id="rId192" Type="http://schemas.openxmlformats.org/officeDocument/2006/relationships/hyperlink" Target="https://learn.microsoft.com/microsoft-365-apps/licensing-activation/overview-shared-computer-activation" TargetMode="External"/><Relationship Id="rId193" Type="http://schemas.openxmlformats.org/officeDocument/2006/relationships/hyperlink" Target="https://visualstudio.microsoft.com/license-terms/" TargetMode="External"/><Relationship Id="rId194" Type="http://schemas.openxmlformats.org/officeDocument/2006/relationships/hyperlink" Target="https://www.microsoft.com/licensing/terms/" TargetMode="External"/><Relationship Id="rId195" Type="http://schemas.openxmlformats.org/officeDocument/2006/relationships/hyperlink" Target="https://www.microsoft.com/licensing/terms/" TargetMode="External"/><Relationship Id="rId196" Type="http://schemas.openxmlformats.org/officeDocument/2006/relationships/hyperlink" Target="https://www.microsoft.com/licensing/terms/" TargetMode="External"/><Relationship Id="rId197" Type="http://schemas.openxmlformats.org/officeDocument/2006/relationships/hyperlink" Target="https://www.microsoft.com/licensing/terms/" TargetMode="External"/><Relationship Id="rId198" Type="http://schemas.openxmlformats.org/officeDocument/2006/relationships/hyperlink" Target="https://learn.microsoft.com/mem/intune/fundamentals/licenses" TargetMode="External"/><Relationship Id="rId199" Type="http://schemas.openxmlformats.org/officeDocument/2006/relationships/hyperlink" Target="https://learn.microsoft.com/entra/fundamentals/licensing" TargetMode="External"/><Relationship Id="rId200" Type="http://schemas.openxmlformats.org/officeDocument/2006/relationships/hyperlink" Target="https://learn.microsoft.com/entra/fundamentals/licensing" TargetMode="External"/><Relationship Id="rId201"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202" Type="http://schemas.openxmlformats.org/officeDocument/2006/relationships/hyperlink" Target="https://learn.microsoft.com/office365/servicedescriptions/microsoft-365-service-descriptions/microsoft-365-tenantlevel-services-licensing-guidance/microsoft-365-security-compliance-licensing-guidance" TargetMode="External"/><Relationship Id="rId203" Type="http://schemas.openxmlformats.org/officeDocument/2006/relationships/hyperlink" Target="https://learn.microsoft.com/entra/identity/users/licensing-service-plan-reference" TargetMode="External"/><Relationship Id="rId204" Type="http://schemas.openxmlformats.org/officeDocument/2006/relationships/hyperlink" Target="https://learn.microsoft.com/lifecycle/products/" TargetMode="External"/><Relationship Id="rId205" Type="http://schemas.openxmlformats.org/officeDocument/2006/relationships/hyperlink" Target="https://www.microsoft.com/licensing/terms/" TargetMode="External"/><Relationship Id="rId206" Type="http://schemas.openxmlformats.org/officeDocument/2006/relationships/hyperlink" Target="https://www.microsoft.com/licensing/terms/" TargetMode="External"/></Relationships>
</file>

<file path=word/_rels/header1.xml.rels><?xml version="1.0" encoding="UTF-8" standalone="yes"?>
<Relationships xmlns="http://schemas.openxmlformats.org/package/2006/relationships"><Relationship Id="rIdLogo" Type="http://schemas.openxmlformats.org/officeDocument/2006/relationships/image" Target="media/header-logo.png"/></Relationships>
</file>

<file path=docProps/app.xml><?xml version="1.0" encoding="utf-8"?>
<Properties xmlns="http://schemas.openxmlformats.org/officeDocument/2006/extended-properties" xmlns:vt="http://schemas.openxmlformats.org/officeDocument/2006/docPropsVTypes">
  <Application>Microsoft License Assessment Tool (MLAT)</Application>
  <DocSecurity>0</DocSecurity>
  <ScaleCrop>false</ScaleCrop>
  <Company>Niyya Software</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 Company Ltd (fictional) - Microsoft Licensing Assessment Report</dc:title>
  <dc:subject>Technical Microsoft licensing assessment</dc:subject>
  <dc:creator>Niyya Software</dc:creator>
  <cp:keywords>MLAT; Microsoft licensing; license assessment; Demo Company Ltd (fictional)</cp:keywords>
  <dc:description>Microsoft License Assessment Tool (MLAT) by Niyya Software. Developed by Amr Hafez. Technical assessment - not a legal or contractual determination.</dc:description>
  <cp:lastModifiedBy>Niyya Software</cp:lastModifiedBy>
  <cp:category>Microsoft licensing assessment</cp:category>
  <cp:revision>1</cp:revision>
  <dcterms:created xsi:type="dcterms:W3CDTF">2026-10-02T01:33:23Z</dcterms:created>
  <dcterms:modified xsi:type="dcterms:W3CDTF">2026-10-02T01:33:23Z</dcterms:modified>
</cp:coreProperties>
</file>