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 w:after="0"/>
      </w:pPr>
      <w:r>
        <w:rPr>
          <w:b/>
          <w:bCs/>
          <w:color w:val="482AF6"/>
          <w:sz w:val="56"/>
          <w:szCs w:val="56"/>
          <w:rFonts w:ascii="Segoe UI" w:cs="Segoe UI" w:eastAsia="Segoe UI" w:hAnsi="Segoe UI"/>
        </w:rPr>
        <w:t xml:space="preserve">NUTANIX SIZER ULTRA</w:t>
      </w:r>
    </w:p>
    <w:p>
      <w:pPr>
        <w:spacing w:after="600"/>
      </w:pPr>
      <w:r>
        <w:rPr>
          <w:color w:val="131313"/>
          <w:sz w:val="32"/>
          <w:szCs w:val="32"/>
          <w:rFonts w:ascii="Segoe UI" w:cs="Segoe UI" w:eastAsia="Segoe UI" w:hAnsi="Segoe UI"/>
        </w:rPr>
        <w:t xml:space="preserve">Cluster Sizing &amp; Design Document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00"/>
        <w:gridCol w:w="1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Project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Contoso Datacentre Modernisation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Customer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Contoso Ltd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Prepared by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Solution Architect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Date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2026-09-20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Version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1.0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Use cases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Server Virtualisation, VDI / End-User Computing, Databases &amp; Business Critical Apps, Private Cloud / Mixed Workload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Platform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NX-8170-G9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 nodes, N+1, RF2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Licence edition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 Pro</w:t>
            </w:r>
          </w:p>
        </w:tc>
      </w:tr>
    </w:tbl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1. Executive summary</w:t>
      </w:r>
    </w:p>
    <w:p>
      <w:pPr>
        <w:spacing w:before="0" w:after="14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The proposed design is a 22-node Nutanix cluster built on Nutanix NX-8170-G9, sized for 834 virtual machines, 3,248 vCPU, 12,487 GB of RAM and 103.1 TiB of workload data.</w:t>
      </w:r>
    </w:p>
    <w:p>
      <w:pPr>
        <w:spacing w:before="0" w:after="14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Each node is configured with 2 x 32-core processors, 1024 GB of memory and 11.52 TB of raw storage, giving a cluster total of 1,408 physical cores, 22,528 GB of memory and 230.5 TiB raw.</w:t>
      </w:r>
    </w:p>
    <w:p>
      <w:pPr>
        <w:spacing w:before="0" w:after="14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The cluster is sized N+1 with Redundancy Factor 2. After replication, failure reserve and the 75% utilisation ceiling, 74.3 TiB of effective capacity is available for workload data.</w:t>
      </w:r>
    </w:p>
    <w:p>
      <w:pPr>
        <w:spacing w:before="0" w:after="14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The binding constraint on node count is cpu: 22 nodes would be required for CPU, 18 for memory and 22 for storage.</w:t>
      </w:r>
    </w:p>
    <w:p>
      <w:pPr>
        <w:spacing w:before="0" w:after="14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NCI Pro is the recommended licence edition, covering all 1,408 physical cores in the cluster for a 36-month term.</w:t>
      </w:r>
    </w:p>
    <w:p>
      <w:pPr>
        <w:spacing w:before="0" w:after="14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Growth is modelled at 12% per year over 3 years; the design point already includes that growth.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Key figures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3500"/>
        <w:gridCol w:w="55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Metric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Value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Project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Contoso Datacentre Modernisation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Customer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Contoso Ltd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Use cases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Server Virtualisation, VDI / End-User Computing, Databases &amp; Business Critical Apps, Private Cloud / Mixed Workload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Hypervisor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AHV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Platform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NX-8170-G9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Nodes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 (N+1)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Node configuration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 x 32 cores, 1024 GB RAM, 11.52 TB raw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physical cores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1,408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memory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22,528 GB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raw capacity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230.5 TiB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usable capacity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207.5 TiB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Effective workload capacity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74.3 TiB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Redundancy Factor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RF2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Rack footprint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 chassis, 22 RU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Estimated power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21.8 kW (74,388 BTU/hr)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Licence edition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 Pro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Licence term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36 months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Design validation findings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400"/>
        <w:gridCol w:w="76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Severity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Finding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WARN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Projected storage utilisation is 75% - close to the configured ceiling. Little room for unplanned growth.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INFO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is 22 nodes, which exceeds the 12-node maximum of NCI Starter. NCI Pro or Ultimate is required.</w:t>
            </w:r>
          </w:p>
        </w:tc>
      </w:tr>
    </w:tbl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2. Workload requirements</w:t>
      </w:r>
    </w:p>
    <w:p>
      <w:pPr>
        <w:spacing w:before="0" w:after="12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The table below lists every workload in scope. Growth has already been applied to the totals used for sizing.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Workload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Use case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Source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VMs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vCPU/VM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RAM/VM (GB)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Disk/VM (GB)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Used %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vCPU:core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Total vCPU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Physical cores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Total RAM (GB)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Data (TiB)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Windows general server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Server Virtualisation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Manual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180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250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4:1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1,012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253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4,046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38.3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Linux general server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Server Virtualisation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Manual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55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4:1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337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84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1,349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10.9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VDI - knowledge workers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VDI / End-User Computing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Manual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500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6:1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1,405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234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4,215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28.8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SQL Server OLTP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Databases &amp; Business Critical Apps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Manual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2000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2:1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225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112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1,798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19.2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Kubernetes workers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Private Cloud / Mixed Workload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Manual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300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4:1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270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67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1,079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5.9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TOTAL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834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4.3:1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3,248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751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12,487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103.1</w:t>
            </w:r>
          </w:p>
        </w:tc>
      </w:tr>
    </w:tbl>
    <w:p>
      <w:pPr>
        <w:spacing w:before="0" w:after="120"/>
      </w:pPr>
      <w:r>
        <w:rPr>
          <w:i/>
          <w:iCs/>
          <w:color w:val="565656"/>
          <w:sz w:val="21"/>
          <w:szCs w:val="21"/>
          <w:rFonts w:ascii="Segoe UI" w:cs="Segoe UI" w:eastAsia="Segoe UI" w:hAnsi="Segoe UI"/>
        </w:rPr>
        <w:t xml:space="preserve">[diagram unavailable]</w:t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1 - Resource demand by workload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3. Cluster design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3.1 Design policy and assumptions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2400"/>
        <w:gridCol w:w="2200"/>
        <w:gridCol w:w="44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Parameter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Value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Basis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Sizing ratios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Per workload, from its own Nutanix use-case profile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Each workload uses the ratios of its own use case, e.g. VDI at 6:1 next to databases at 2:1. Effective blended ratio across this estate: 4.3 vCPU per physical core.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Redundancy Factor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RF2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Minimum 3 nodes. Available in every NCI edition.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Failure tolerance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N+1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sizes RF2 clusters N+1 for both compute and storage so a failed node can restart its VMs and re-protect its data.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vCPU : physical core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4.3 : 1 (blended)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Use-case profile default; validate against measured utilisation.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Memory overcommit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 : 1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AHV does not overcommit memory by default.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CVM allocation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 vCPU / 64 GB per node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default is 12 vCPU / 32 GB, rising to 16 vCPU / 64 GB for storage-heavy database nodes. All CVM vCPUs must fit inside one socket.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CPU headroom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25%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Burst and rightsizing allowance held back from the usable core pool.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Memory headroom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20%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Burst and rightsizing allowance held back from the usable memory pool.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Storage utilisation ceiling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75%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flags Data Resiliency critical when free space drops below the capacity needed to rebuild a node.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Raw to usable overhead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10%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AOS metadata, oplog, Curator working space and drive formatting.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Compression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On (ratio per use case)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Inline compression is recommended on all containers.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Deduplication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Off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Recommended for VDI and backup data; not recommended for databases.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Erasure Coding (EC-X)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Off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Requires NCI Pro or higher and at least 4 nodes (6+ recommended).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Encryption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Software data-at-rest encryption with native KMS is included from NCI Pro 7.3.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Snapshot / clone reserve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Per use case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Capacity held for local snapshots, clones and recovery points.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Growth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12% per year over 3 years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Applied to all workload demand before sizing.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Thin provisioning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Yes - size on used capacity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containers are thin provisioned by default.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3.2 How the node count was derived</w:t>
      </w:r>
    </w:p>
    <w:p>
      <w:pPr>
        <w:spacing w:before="0" w:after="12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Each resource dimension is sized independently and the cluster takes the largest result. In this design the binding constraint is cpu.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800"/>
        <w:gridCol w:w="1400"/>
        <w:gridCol w:w="58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Driver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Nodes required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Calculation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CPU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ceil(1,002 cores required / 48.0 usable cores per node) + 1 spare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Memory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ceil(15,609 GB required / 952 GB usable per node) + 1 spare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Storage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ceil(148.4 TiB after RF / (9.4 TiB x 75%)) + 1 spare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Platform minimum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RF2 minimum cluster size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SELECTED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Highest of the above (CPU bound)</w:t>
            </w:r>
          </w:p>
        </w:tc>
      </w:tr>
    </w:tbl>
    <w:p>
      <w:pPr>
        <w:spacing w:before="0" w:after="120"/>
      </w:pPr>
      <w:r>
        <w:rPr>
          <w:i/>
          <w:iCs/>
          <w:color w:val="565656"/>
          <w:sz w:val="21"/>
          <w:szCs w:val="21"/>
          <w:rFonts w:ascii="Segoe UI" w:cs="Segoe UI" w:eastAsia="Segoe UI" w:hAnsi="Segoe UI"/>
        </w:rPr>
        <w:t xml:space="preserve">[diagram unavailable]</w:t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2 - Node count drivers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3.3 Resource balance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Metric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Required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Available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Utilisation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Physical cores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1,002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1,008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75%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Memory (GB)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15,609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19,992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62%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Usable storage (TiB)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148.4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198.0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75%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Estimated IOPS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150,327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3,150,000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5%</w:t>
            </w:r>
          </w:p>
        </w:tc>
      </w:tr>
    </w:tbl>
    <w:p>
      <w:pPr>
        <w:spacing w:before="0" w:after="120"/>
      </w:pPr>
      <w:r>
        <w:rPr>
          <w:i/>
          <w:iCs/>
          <w:color w:val="565656"/>
          <w:sz w:val="21"/>
          <w:szCs w:val="21"/>
          <w:rFonts w:ascii="Segoe UI" w:cs="Segoe UI" w:eastAsia="Segoe UI" w:hAnsi="Segoe UI"/>
        </w:rPr>
        <w:t xml:space="preserve">[diagram unavailable]</w:t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3 - Utilisation against the design ceilings</w:t>
      </w:r>
    </w:p>
    <w:p>
      <w:r>
        <w:br w:type="page"/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3.4 Storage capacity model</w:t>
      </w:r>
    </w:p>
    <w:p>
      <w:pPr>
        <w:spacing w:before="0" w:after="12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Capacity is calculated from workload data, through data-efficiency assumptions, the snapshot reserve, the replication factor, the failure reserve and the utilisation ceiling.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5000"/>
        <w:gridCol w:w="40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Metric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Value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Workload data (post growth)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103.1 TiB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Provisioned capacity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160.0 TiB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Combined data efficiency assumed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1.6 : 1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After data efficiency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62.8 TiB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Snapshot / clone reserve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11.4 TiB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Usable capacity required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74.2 TiB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Capacity after RF2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148.4 TiB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Per-node raw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10.5 TiB (11.52 TB)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Per-node usable after AOS overhead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9.4 TiB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raw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230.5 TiB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usable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207.5 TiB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Cluster usable after N+1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198.0 TiB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Effective workload capacity at the ceiling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74.3 TiB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Projected storage utilisation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75%</w:t>
            </w:r>
          </w:p>
        </w:tc>
      </w:tr>
    </w:tbl>
    <w:p>
      <w:pPr>
        <w:spacing w:before="0" w:after="120"/>
      </w:pPr>
      <w:r>
        <w:rPr>
          <w:i/>
          <w:iCs/>
          <w:color w:val="565656"/>
          <w:sz w:val="21"/>
          <w:szCs w:val="21"/>
          <w:rFonts w:ascii="Segoe UI" w:cs="Segoe UI" w:eastAsia="Segoe UI" w:hAnsi="Segoe UI"/>
        </w:rPr>
        <w:t xml:space="preserve">[diagram unavailable]</w:t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4 - Raw capacity allocation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4. Hardware platform</w:t>
      </w:r>
    </w:p>
    <w:p>
      <w:pPr>
        <w:spacing w:before="0" w:after="12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Platform data is taken from the official Nutanix Hardware Platform Spec Sheets.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3400"/>
        <w:gridCol w:w="56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Attribute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Value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Vendor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Model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NX-8170-G9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Published CPU options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Dual Intel Xeon 5th Gen. (Emerald Rapids)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Sockets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Max cores per socket (published)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32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Max memory per node (published)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4,096 GB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Storage type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All SSD SED, All NVMe SED, All SSD, NVMe+NST, All NVMe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Form factor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1U1N (1 node per 1U chassis)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Max raw capacity per node (published)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184.32 TB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published use cases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Database and Business Critical Apps, Analytics and Big Data, End-User Computing/Virtual Desktop Infrastructure, Private Cloud, Server Virtualization, IT Apps, Files and Objects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As configured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 x 32 cores, 1024 GB, 11.52 TB raw</w:t>
            </w:r>
          </w:p>
        </w:tc>
      </w:tr>
    </w:tbl>
    <w:p>
      <w:pPr>
        <w:spacing w:before="120" w:after="160"/>
        <w:jc w:val="center"/>
      </w:pPr>
      <w:r>
        <w:drawing>
          <wp:inline distT="0" distB="0" distL="0" distR="0">
            <wp:extent cx="2857500" cy="4124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5 - Rack elevation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5. Network design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3400"/>
        <w:gridCol w:w="56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Item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Value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Data ToR switch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Cisco Nexus 93180YC-FX3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ToR switch count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 (1 redundant pair)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Switch redundancy technology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vPC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Out-of-band switch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Cisco Nexus 92348GC-X x 1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NIC per node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 x 25 GbE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Total node data ports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44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Access port utilisation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46%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Bond mode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active-backup (Nutanix default)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Switch requirement for bond mode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 MLAG required. Both ToR switches carry the same VLANs.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Uplinks per switch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 x 100 G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Northbound bandwidth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400 Gbps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Node-to-fabric bandwidth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1,100 Gbps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MTU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1500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Data cables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44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Uplink cables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Peer-link cables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Out-of-band cables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5.1 VLAN plan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800"/>
        <w:gridCol w:w="2400"/>
        <w:gridCol w:w="1600"/>
        <w:gridCol w:w="700"/>
        <w:gridCol w:w="35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VLAN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Purpose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Example subnet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MTU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Notes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CVM / AHV Management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10.10.10.0/24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1500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CVM eth0 and AHV host management. Must be the same L2 for all nodes in a cluster.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Backplane / Storage (optional)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10.10.20.0/24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9000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Only when network segmentation for the storage backplane is enabled.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VM Guest Networks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10.10.100.0/22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1500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One or more guest VLANs presented to br0 as AHV networks.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Live Migration (ESXi vMotion)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10.10.30.0/24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9000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Only for ESXi clusters. AHV live migration uses the management network.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99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Out-of-band / IPMI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10.10.99.0/24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1500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IPMI / iDRAC / XCC / CIMC / iRMC. Separate physical switch recommended.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DR / Replication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10.10.40.0/24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1500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Async / NearSync / Metro replication traffic to the secondary site.</w:t>
            </w:r>
          </w:p>
        </w:tc>
      </w:tr>
    </w:tbl>
    <w:p>
      <w:r>
        <w:br w:type="page"/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5.2 Physical connectivity</w:t>
      </w:r>
    </w:p>
    <w:p>
      <w:pPr>
        <w:spacing w:before="120" w:after="160"/>
        <w:jc w:val="center"/>
      </w:pPr>
      <w:r>
        <w:drawing>
          <wp:inline distT="0" distB="0" distL="0" distR="0">
            <wp:extent cx="6286500" cy="383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6 - Physical connectivity diagram</w:t>
      </w:r>
    </w:p>
    <w:p>
      <w:r>
        <w:br w:type="page"/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5.3 Logical architecture</w:t>
      </w:r>
    </w:p>
    <w:p>
      <w:pPr>
        <w:spacing w:before="120" w:after="160"/>
        <w:jc w:val="center"/>
      </w:pPr>
      <w:r>
        <w:drawing>
          <wp:inline distT="0" distB="0" distL="0" distR="0">
            <wp:extent cx="62865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7 - Logical architecture diagram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6. Licensing</w:t>
      </w:r>
    </w:p>
    <w:p>
      <w:pPr>
        <w:spacing w:before="0" w:after="120"/>
      </w:pPr>
      <w:r>
        <w:rPr>
          <w:b/>
          <w:bCs/>
          <w:color w:val="131313"/>
          <w:sz w:val="21"/>
          <w:szCs w:val="21"/>
          <w:rFonts w:ascii="Segoe UI" w:cs="Segoe UI" w:eastAsia="Segoe UI" w:hAnsi="Segoe UI"/>
        </w:rPr>
        <w:t xml:space="preserve">Recommended edition: NCI Pro - Powerful feature set suited to most production workloads. No cluster size limit (NCI 7.3+).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Data-at-rest encryption with native KMS requires NCI Pro or higher.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Cluster of 22 nodes exceeds the 12-node NCI Starter limit.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Multi-site Async / MST replication requires NCI Pro.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6.1 Licence line items</w:t>
      </w:r>
    </w:p>
    <w:p>
      <w:pPr>
        <w:spacing w:before="0" w:after="120"/>
      </w:pPr>
      <w:r>
        <w:rPr>
          <w:i/>
          <w:iCs/>
          <w:color w:val="565656"/>
          <w:sz w:val="18"/>
          <w:szCs w:val="18"/>
          <w:rFonts w:ascii="Segoe UI" w:cs="Segoe UI" w:eastAsia="Segoe UI" w:hAnsi="Segoe UI"/>
        </w:rPr>
        <w:t xml:space="preserve">Nutanix does not publish list pricing. Quantities only - pricing is added by the partner or Nutanix account team.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600"/>
        <w:gridCol w:w="2000"/>
        <w:gridCol w:w="1400"/>
        <w:gridCol w:w="900"/>
        <w:gridCol w:w="900"/>
        <w:gridCol w:w="22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SKU (generic)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Product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Metric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Quantity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Term (months)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Notes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NCI-PRO-CORE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 Pro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1,408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 nodes x 2 sockets x 32 cores. Must cover 100% of cluster cores.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NCM-PRO-CORE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NCM Pro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Physical CPU core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1,408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36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Adds cost governance, self-service infrastructure and automation.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ADVREP-ADDON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Advanced Replication (Advanced DR)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1,408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Metro Availability, Sync and NearSync. Included natively in NCI Ultimate. Requires NCI Pro.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6.2 NCI edition comparison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400"/>
        <w:gridCol w:w="1600"/>
        <w:gridCol w:w="1300"/>
        <w:gridCol w:w="47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Edition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Licensing metric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Max cluster size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Key capabilities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 Starter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Per 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 nodes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AOS distributed storage + AHV hypervisor; Prism Element management, REST APIs, Lifecycle Manager (LCM); Nutanix Insights / Pulse; Native async Disaster Recovery, VM snapshots (1-hour minimum RPO)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 Pro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Per physical CPU core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 limit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Everything in Starter; Tunable redundancy - RF2 and RF3; Erasure Coding (EC-X) capacity optimisation; Data-at-rest encryption + native KMS (included from 7.3)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 Ultimate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Per 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 limit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Everything in Pro; Advanced Replication - Metro Availability, Synchronous and NearSync (RPO = 0); Cross-cluster live migration; Runbook automation / orchestrated DR</w:t>
            </w:r>
          </w:p>
        </w:tc>
      </w:tr>
    </w:tbl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7. Growth and lifecycle</w:t>
      </w:r>
    </w:p>
    <w:p>
      <w:pPr>
        <w:spacing w:before="0" w:after="12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Demand is modelled at 12% compound growth per year. The design point sits at year 3.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Year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vCPU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RAM (GB)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Data (TiB)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Nodes (CPU)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Nodes (RAM)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Nodes (storage)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Nodes required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2,312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8,888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73.4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13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2,589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9,955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82.2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18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2,900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11,149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92.0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16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3,248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12,487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103.1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3,638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13,985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115.5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25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20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25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25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5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4,075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15,664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129.3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28</w:t>
            </w:r>
          </w:p>
        </w:tc>
      </w:tr>
    </w:tbl>
    <w:p>
      <w:pPr>
        <w:spacing w:before="0" w:after="120"/>
      </w:pPr>
      <w:r>
        <w:rPr>
          <w:i/>
          <w:iCs/>
          <w:color w:val="565656"/>
          <w:sz w:val="21"/>
          <w:szCs w:val="21"/>
          <w:rFonts w:ascii="Segoe UI" w:cs="Segoe UI" w:eastAsia="Segoe UI" w:hAnsi="Segoe UI"/>
        </w:rPr>
        <w:t xml:space="preserve">[diagram unavailable]</w:t>
      </w:r>
    </w:p>
    <w:p>
      <w:pPr>
        <w:spacing w:after="240"/>
        <w:jc w:val="center"/>
      </w:pPr>
      <w:r>
        <w:rPr>
          <w:i/>
          <w:iCs/>
          <w:color w:val="565656"/>
          <w:sz w:val="16"/>
          <w:szCs w:val="16"/>
          <w:rFonts w:ascii="Segoe UI" w:cs="Segoe UI" w:eastAsia="Segoe UI" w:hAnsi="Segoe UI"/>
        </w:rPr>
        <w:t xml:space="preserve">Figure 8 - Growth projection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8. Nutanix best practices applied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Server Virtualisation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Size every RF2 cluster for N+1 on BOTH compute and storage so a failed node can be fully rebuilt and its VMs restarted.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Minimum 3 nodes for RF2. Use RF3 (minimum 5 nodes) where a double failure must be survivable.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Keep a uniform node model inside a cluster; mixed models are supported but the cluster inherits the lowest common capability.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Default CVM allocation is 12 vCPU / 32 GB RAM. All CVM vCPUs must fit inside a single NUMA socket.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Do not exceed roughly 4:1 vCPU-to-physical-core for general server workloads before validating with real utilisation data.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Enable inline compression on all containers; it is on by default and costs almost nothing on modern CPUs.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Use one storage container per policy (compression/EC/encryption), not one per application.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VDI / End-User Computing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All-flash is strongly recommended for VDI; boot and logon storms are latency-bound, not capacity-bound.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If performance-tier deduplication is enabled, raise CVM memory to 24 GB minimum; inline compression alone needs 16 GB.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Typical density planning: 6:1 vCPU-to-core for knowledge workers, 4:1 for power users, 8:1+ only for task workers.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Size for a 20-25% CPU headroom so a boot storm or a node failure does not saturate the surviving hosts.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Use instant/linked clones so Nutanix deduplication and Shadow Clones can serve the golden image from every node.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Separate the VDI cluster from server workloads when the desktop count exceeds roughly 1,000 seats.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For vGPU-backed desktops select a GPU-capable platform and NCI Pro or higher (vGPU is a Pro feature).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Databases &amp; Business Critical Apps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Nutanix recommends 16 vCPU and 64 GB RAM for the CVM on storage-heavy database nodes (minimum 12 vCPU).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Increase CVM memory to 64 GB for heavy I/O to enlarge the metadata cache and reduce latency.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All CVM vCPUs must fit within a single socket - do not assign more vCPUs than the cores available on one socket.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Do not enable deduplication for database containers; enable inline compression instead.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Keep vCPU-to-core at or below 2:1 for tier-1 databases, and 1:1 for licence-bound or latency-critical instances.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Use all-flash / NVMe platforms and keep the cluster below 75% storage utilisation for consistent latency.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Align database VM vCPU counts to the physical core and NUMA topology of the node to avoid vNUMA fragmentation.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Consider Nutanix Database Service (NDB) for provisioning, patching and copy-data management.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Private Cloud / Mixed Workload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Use Nutanix Cloud Manager (NCM) for capacity planning, rightsizing, showback and self-service.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Separate clusters by lifecycle (prod / non-prod) rather than by application where possible.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Standardise on one or two node models to keep LCM, spares and licensing simple.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Reserve 20-25% CPU and RAM headroom so rightsizing and burst do not push the cluster into contention.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Use categories and Flow Network Security for tenant isolation (Ultimate, or Pro plus the Security add-on).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Deploy Prism Central as a scale-out 3-VM instance for production private cloud.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Cross-cutting Nutanix design rules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Cluster resiliency: RF2 requires a minimum of 3 nodes; RF3 requires a minimum of 5 nodes. Size N+1 (or N+2 for RF3) so a failed node's VMs restart and its data re-protects.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Storage headroom: Keep steady-state utilisation at or below the configured ceiling. Nutanix flags Data Resiliency as critical when free space drops below the capacity needed to rebuild a node.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CVM: Every node runs a Controller VM. Reserve its vCPU and RAM out of usable host capacity - the default is 12 vCPU / 32 GB, rising to 16 vCPU / 64 GB for database-heavy nodes.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NUMA: All CVM vCPUs must fit inside one physical socket. Do not assign more CVM vCPUs than the cores available on a single socket.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Data efficiency: Inline compression should be on everywhere. Deduplication suits VDI and backup, not databases. EC-X suits cold data and needs 4+ nodes (6+ recommended).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Mixed clusters: NCI editions are set per cluster. A cluster with mixed licences defaults to the lowest tier, so licence every node in a cluster at the same edition.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Networking: Use two leaf/ToR switches with redundant uplinks per node. Nutanix recommends active-backup bonding by default; use balance-tcp (LACP) only with a properly configured MLAG/vPC pair.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Network speed: 10 GbE is the practical minimum; 25 GbE or faster is recommended for all-flash/NVMe nodes and for any cluster carrying database or VDI workloads.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Out-of-band: Every node needs an IPMI/iDRAC/XCC/CIMC port on a separate management switch or VLAN for Foundation, LCM and remote console.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20"/>
          <w:szCs w:val="20"/>
          <w:rFonts w:ascii="Segoe UI" w:cs="Segoe UI" w:eastAsia="Segoe UI" w:hAnsi="Segoe UI"/>
        </w:rPr>
        <w:t xml:space="preserve">Lifecycle: Standardise node models per cluster and keep AOS, AHV, firmware and Prism Central on versions validated together by Lifecycle Manager (LCM).</w:t>
      </w:r>
    </w:p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9. Generic bill of quantities</w:t>
      </w:r>
    </w:p>
    <w:p>
      <w:pPr>
        <w:spacing w:before="0" w:after="120"/>
      </w:pPr>
      <w:r>
        <w:rPr>
          <w:i/>
          <w:iCs/>
          <w:color w:val="565656"/>
          <w:sz w:val="18"/>
          <w:szCs w:val="18"/>
          <w:rFonts w:ascii="Segoe UI" w:cs="Segoe UI" w:eastAsia="Segoe UI" w:hAnsi="Segoe UI"/>
        </w:rPr>
        <w:t xml:space="preserve">Placeholder SKUs. Confirm exact part numbers with the vendor or distributor before ordering. No pricing is included.</w:t>
      </w:r>
    </w:p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Hardware - Nutanix cluster nodes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700"/>
        <w:gridCol w:w="3200"/>
        <w:gridCol w:w="700"/>
        <w:gridCol w:w="900"/>
        <w:gridCol w:w="25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SKU (generic)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Description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Qty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UoM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Notes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NUTANIX-NX-8170-G9-NODE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NX-8170-G9 node - 2x CPU, 32 cores/socket, 1024 GB RAM, 11.52 TB raw storage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node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Dual Intel Xeon 5th Gen. (Emerald Rapids). All SSD SED, All NVMe SED, All SSD, NVMe+NST, All NVMe. Form factor 1U1N.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NUTANIX-CPU-32C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CPU - 32 core processor (Dual Intel Xeon 5th Gen. (Emerald Rapids))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Select the exact SKU from the vendor configurator; core count must match the licensed core count.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MEM-32GB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Memory - 32 GB DIMM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704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32 DIMMs per node = 1024 GB. Populate symmetrically across both sockets / all channels.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DRV-NVME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Data drives - 1.92 TB NVMe SSD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132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6 drives per node = 11.52 TB raw. All SSD SED, All NVMe SED, All SSD, NVMe+NST, All NVMe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NIC-25G-2P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Network adapter - 2 x 25 GbE per node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Dual-port minimum, one port to each ToR switch. 25 GbE or faster recommended for all-flash nodes.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RAILKIT-STD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Rail kit / cable management arm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One per chassis.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PWR-C13-C14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Power cords (redundant PSU feeds)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Two per chassis - A and B feed. Confirm the local plug type.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Network - top of rack and out of band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700"/>
        <w:gridCol w:w="3200"/>
        <w:gridCol w:w="700"/>
        <w:gridCol w:w="900"/>
        <w:gridCol w:w="25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SKU (generic)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Description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Qty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UoM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Notes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CISCO-NEXUS93180YC-FX3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Cisco Nexus 93180YC-FX3 - data ToR switch (48x 25G + 6x 100G)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48x 1/10/25G SFP28 + 6x 40/100G QSFP28. Common Nutanix ToR. Deployed as 1 redundant pair(s) using vPC.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CISCO-NEXUS92348GC-X-OOB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Cisco Nexus 92348GC-X - out-of-band management switch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IPMI / iDRAC / XCC / CIMC / iRMC access for Foundation, LCM and remote console.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CAB-25G-SFP28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Node-to-ToR cabling - 25G SFP28 DAC / optic + LC patch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44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 per node x 22 nodes.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CAB-100G-QSFP28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Switch uplinks to spine/core - 100G QSFP28 DAC / optic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4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 uplinks per switch.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CAB-100G-QSFP28-PEER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vPC peer-link cabling between the ToR pair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Required when LACP / balance-tcp bonding is used. Recommended in all cases for the peer keepalive.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CAB-1G-RJ45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Out-of-band cabling - Cat6A copper patch (RJ45)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ea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One IPMI/BMC port per node.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Nutanix software licences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700"/>
        <w:gridCol w:w="3200"/>
        <w:gridCol w:w="700"/>
        <w:gridCol w:w="900"/>
        <w:gridCol w:w="25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SKU (generic)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Description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Qty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UoM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Notes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NCI-PRO-CORE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NCI Pro - 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1408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 nodes x 2 sockets x 32 cores. Must cover 100% of cluster cores. Term: 36 months.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NCM-PRO-CORE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NCM Pro - Physical CPU core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1408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Physical CPU core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Adds cost governance, self-service infrastructure and automation. Term: 36 months.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ADVREP-ADDON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Advanced Replication (Advanced DR) - 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1408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Physical CPU core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Metro Availability, Sync and NearSync. Included natively in NCI Ultimate. Requires NCI Pro. Term: 36 months.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Support and services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700"/>
        <w:gridCol w:w="3200"/>
        <w:gridCol w:w="700"/>
        <w:gridCol w:w="900"/>
        <w:gridCol w:w="25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SKU (generic)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Description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Qty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UoM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Notes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SUPPORT-PRODUCTION-36M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Nutanix Production support - hardware and software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node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36 month term, co-termed with the software licences.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SVC-FOUNDATION-DEPLOY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Deployment services - Foundation imaging, cluster creation, Prism Central, network integration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engagement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Sized for a 22-node cluster across 22 chassis at 2 site(s).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SVC-MIGRATION-MOVE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Workload migration services (Nutanix Move / cross-hypervisor conversion)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wave of 100 VMs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834 VMs in scope.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SVC-KNOWLEDGE-TRANSFER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Administrator knowledge transfer / handover workshop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1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engagement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Prism Element and Prism Central operations, LCM, DR runbook.</w:t>
            </w:r>
          </w:p>
        </w:tc>
      </w:tr>
    </w:tbl>
    <w:p>
      <w:pPr>
        <w:pStyle w:val="Heading2"/>
        <w:spacing w:before="280" w:after="140"/>
      </w:pPr>
      <w:r>
        <w:rPr>
          <w:b/>
          <w:bCs/>
          <w:color w:val="131313"/>
          <w:sz w:val="24"/>
          <w:szCs w:val="24"/>
          <w:rFonts w:ascii="Segoe UI" w:cs="Segoe UI" w:eastAsia="Segoe UI" w:hAnsi="Segoe UI"/>
        </w:rPr>
        <w:t xml:space="preserve">Facilities (informational)</w:t>
      </w:r>
    </w:p>
    <w:tbl>
      <w:tblPr>
        <w:tblW w:type="pct" w:w="100%"/>
        <w:tblBorders>
          <w:top w:val="single" w:color="D8D8DE" w:sz="2"/>
          <w:left w:val="single" w:color="D8D8DE" w:sz="2"/>
          <w:bottom w:val="single" w:color="D8D8DE" w:sz="2"/>
          <w:right w:val="single" w:color="D8D8DE" w:sz="2"/>
          <w:insideH w:val="single" w:color="D8D8DE" w:sz="1"/>
          <w:insideV w:val="single" w:color="D8D8DE" w:sz="1"/>
        </w:tblBorders>
      </w:tblPr>
      <w:tblGrid>
        <w:gridCol w:w="1700"/>
        <w:gridCol w:w="3200"/>
        <w:gridCol w:w="700"/>
        <w:gridCol w:w="900"/>
        <w:gridCol w:w="2500"/>
      </w:tblGrid>
      <w:tr>
        <w:trPr>
          <w:tblHeader/>
        </w:trPr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SKU (generic)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Description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Qty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UoM</w:t>
            </w:r>
          </w:p>
        </w:tc>
        <w:tc>
          <w:tcPr>
            <w:shd w:fill="482AF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color w:val="FFFFFF"/>
                <w:sz w:val="18"/>
                <w:szCs w:val="18"/>
                <w:rFonts w:ascii="Segoe UI" w:cs="Segoe UI" w:eastAsia="Segoe UI" w:hAnsi="Segoe UI"/>
              </w:rPr>
              <w:t xml:space="preserve">Notes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RACK-U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Rack units consumed by Nutanix nodes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RU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22 x 1U1N chassis. Add 3 RU for switches.</w:t>
            </w:r>
          </w:p>
        </w:tc>
      </w:tr>
      <w:tr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PWR-KW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Estimated peak power draw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21.8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kW</w:t>
            </w:r>
          </w:p>
        </w:tc>
        <w:tc>
          <w:tcPr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991 W per node estimate. Confirm against the vendor power calculator before ordering PDUs.</w:t>
            </w:r>
          </w:p>
        </w:tc>
      </w:tr>
      <w:tr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COOL-BTU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Estimated heat load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74388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BTU/hr</w:t>
            </w:r>
          </w:p>
        </w:tc>
        <w:tc>
          <w:tcPr>
            <w:shd w:fill="FAF9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before="0" w:after="0"/>
            </w:pPr>
            <w:r>
              <w:rPr>
                <w:color w:val="131313"/>
                <w:sz w:val="18"/>
                <w:szCs w:val="18"/>
                <w:rFonts w:ascii="Segoe UI" w:cs="Segoe UI" w:eastAsia="Segoe UI" w:hAnsi="Segoe UI"/>
              </w:rPr>
              <w:t xml:space="preserve">Derived from the power estimate.</w:t>
            </w:r>
          </w:p>
        </w:tc>
      </w:tr>
    </w:tbl>
    <w:p>
      <w:r>
        <w:br w:type="page"/>
      </w:r>
    </w:p>
    <w:p>
      <w:pPr>
        <w:pStyle w:val="Heading1"/>
        <w:spacing w:before="280" w:after="140"/>
      </w:pPr>
      <w:r>
        <w:rPr>
          <w:b/>
          <w:bCs/>
          <w:color w:val="482AF6"/>
          <w:sz w:val="30"/>
          <w:szCs w:val="30"/>
          <w:rFonts w:ascii="Segoe UI" w:cs="Segoe UI" w:eastAsia="Segoe UI" w:hAnsi="Segoe UI"/>
        </w:rPr>
        <w:t xml:space="preserve">10. Data sources</w:t>
      </w:r>
    </w:p>
    <w:p>
      <w:pPr>
        <w:spacing w:before="0" w:after="120"/>
      </w:pPr>
      <w:r>
        <w:rPr>
          <w:color w:val="131313"/>
          <w:sz w:val="21"/>
          <w:szCs w:val="21"/>
          <w:rFonts w:ascii="Segoe UI" w:cs="Segoe UI" w:eastAsia="Segoe UI" w:hAnsi="Segoe UI"/>
        </w:rPr>
        <w:t xml:space="preserve">All hardware specifications, licensing rules and best-practice guidance in this document are taken from official Nutanix sources.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565656"/>
          <w:sz w:val="19"/>
          <w:szCs w:val="19"/>
          <w:rFonts w:ascii="Segoe UI" w:cs="Segoe UI" w:eastAsia="Segoe UI" w:hAnsi="Segoe UI"/>
        </w:rPr>
        <w:t xml:space="preserve">Nutanix Hardware Platform Spec Sheets - https://www.nutanix.com/products/hardware-platforms/specsheet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565656"/>
          <w:sz w:val="19"/>
          <w:szCs w:val="19"/>
          <w:rFonts w:ascii="Segoe UI" w:cs="Segoe UI" w:eastAsia="Segoe UI" w:hAnsi="Segoe UI"/>
        </w:rPr>
        <w:t xml:space="preserve">Nutanix Cloud Infrastructure (NCI) datasheet - https://www.nutanix.com/library/datasheets/nci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565656"/>
          <w:sz w:val="19"/>
          <w:szCs w:val="19"/>
          <w:rFonts w:ascii="Segoe UI" w:cs="Segoe UI" w:eastAsia="Segoe UI" w:hAnsi="Segoe UI"/>
        </w:rPr>
        <w:t xml:space="preserve">Nutanix licensing and software options - https://www.nutanix.com/products/cloud-platform/software-options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565656"/>
          <w:sz w:val="19"/>
          <w:szCs w:val="19"/>
          <w:rFonts w:ascii="Segoe UI" w:cs="Segoe UI" w:eastAsia="Segoe UI" w:hAnsi="Segoe UI"/>
        </w:rPr>
        <w:t xml:space="preserve">Nutanix Cloud Manager (NCM) datasheet - https://www.nutanix.com/library/datasheets/ncm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565656"/>
          <w:sz w:val="19"/>
          <w:szCs w:val="19"/>
          <w:rFonts w:ascii="Segoe UI" w:cs="Segoe UI" w:eastAsia="Segoe UI" w:hAnsi="Segoe UI"/>
        </w:rPr>
        <w:t xml:space="preserve">Nutanix CVM considerations, Microsoft SQL Server on Nutanix best practice guide (BP-2015)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565656"/>
          <w:sz w:val="19"/>
          <w:szCs w:val="19"/>
          <w:rFonts w:ascii="Segoe UI" w:cs="Segoe UI" w:eastAsia="Segoe UI" w:hAnsi="Segoe UI"/>
        </w:rPr>
        <w:t xml:space="preserve">Oracle on Nutanix best practice guide (BP-2000) - Nutanix configuration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565656"/>
          <w:sz w:val="19"/>
          <w:szCs w:val="19"/>
          <w:rFonts w:ascii="Segoe UI" w:cs="Segoe UI" w:eastAsia="Segoe UI" w:hAnsi="Segoe UI"/>
        </w:rPr>
        <w:t xml:space="preserve">Nutanix Hybrid Cloud Reference Architecture - compute and storage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65656"/>
        <w:sz w:val="16"/>
        <w:szCs w:val="16"/>
        <w:rFonts w:ascii="Segoe UI" w:cs="Segoe UI" w:eastAsia="Segoe UI" w:hAnsi="Segoe UI"/>
      </w:rPr>
      <w:t xml:space="preserve">Page </w:t>
    </w:r>
    <w:r>
      <w:rPr>
        <w:color w:val="565656"/>
        <w:sz w:val="16"/>
        <w:szCs w:val="16"/>
        <w:rFonts w:ascii="Segoe UI" w:cs="Segoe UI" w:eastAsia="Segoe UI" w:hAnsi="Segoe UI"/>
      </w:rPr>
      <w:fldChar w:fldCharType="begin"/>
      <w:instrText xml:space="preserve">PAGE</w:instrText>
      <w:fldChar w:fldCharType="separate"/>
      <w:fldChar w:fldCharType="end"/>
    </w:r>
    <w:r>
      <w:rPr>
        <w:color w:val="565656"/>
        <w:sz w:val="16"/>
        <w:szCs w:val="16"/>
        <w:rFonts w:ascii="Segoe UI" w:cs="Segoe UI" w:eastAsia="Segoe UI" w:hAnsi="Segoe UI"/>
      </w:rPr>
      <w:t xml:space="preserve"> of </w:t>
    </w:r>
    <w:r>
      <w:rPr>
        <w:color w:val="565656"/>
        <w:sz w:val="16"/>
        <w:szCs w:val="16"/>
        <w:rFonts w:ascii="Segoe UI" w:cs="Segoe UI" w:eastAsia="Segoe UI" w:hAnsi="Segoe UI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65656"/>
        <w:sz w:val="16"/>
        <w:szCs w:val="16"/>
        <w:rFonts w:ascii="Segoe UI" w:cs="Segoe UI" w:eastAsia="Segoe UI" w:hAnsi="Segoe UI"/>
      </w:rPr>
      <w:t xml:space="preserve">Contoso Datacentre Modernisation | Nutanix Sizer Ultra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31313"/>
        <w:sz w:val="21"/>
        <w:szCs w:val="21"/>
        <w:rFonts w:ascii="Segoe UI" w:cs="Segoe UI" w:eastAsia="Segoe UI" w:hAnsi="Segoe U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482AF6"/>
      <w:sz w:val="30"/>
      <w:szCs w:val="30"/>
      <w:rFonts w:ascii="Segoe UI" w:cs="Segoe UI" w:eastAsia="Segoe UI" w:hAnsi="Segoe UI"/>
    </w:rPr>
  </w:style>
  <w:style w:type="paragraph" w:styleId="Heading2">
    <w:name w:val="Heading 2"/>
    <w:basedOn w:val="Normal"/>
    <w:next w:val="Normal"/>
    <w:qFormat/>
    <w:rPr>
      <w:b/>
      <w:bCs/>
      <w:color w:val="131313"/>
      <w:sz w:val="24"/>
      <w:szCs w:val="24"/>
      <w:rFonts w:ascii="Segoe UI" w:cs="Segoe UI" w:eastAsia="Segoe UI" w:hAnsi="Segoe UI"/>
    </w:rPr>
  </w:style>
  <w:style w:type="paragraph" w:styleId="Heading3">
    <w:name w:val="Heading 3"/>
    <w:basedOn w:val="Normal"/>
    <w:next w:val="Normal"/>
    <w:qFormat/>
    <w:rPr>
      <w:b/>
      <w:bCs/>
      <w:color w:val="565656"/>
      <w:sz w:val="22"/>
      <w:szCs w:val="22"/>
      <w:rFonts w:ascii="Segoe UI" w:cs="Segoe UI" w:eastAsia="Segoe UI" w:hAnsi="Segoe U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1tktasqrppmvdahy2vpmt.png"/><Relationship Id="rId9" Type="http://schemas.openxmlformats.org/officeDocument/2006/relationships/image" Target="media/405xknioyoh5ogsno7fov.png"/><Relationship Id="rId10" Type="http://schemas.openxmlformats.org/officeDocument/2006/relationships/image" Target="media/rmu5-yv9ne3dtx1r0pm_i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Contoso Datacentre Modernisation - Nutanix Sizing</dc:title>
  <dc:creator>Solution Architect</dc:creator>
  <dc:description>Generated by Nutanix Sizer Ultra</dc:description>
  <cp:lastModifiedBy>Un-named</cp:lastModifiedBy>
  <cp:revision>1</cp:revision>
  <dcterms:created xsi:type="dcterms:W3CDTF">2026-09-20T18:57:59.918Z</dcterms:created>
  <dcterms:modified xsi:type="dcterms:W3CDTF">2026-09-20T18:57:59.918Z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