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64pt; height:64pt; margin-left:0pt; margin-top:0pt; mso-position-horizontal:left; mso-position-vertical:top; mso-position-horizontal-relative:char; mso-position-vertical-relative:line;">
            <w10:wrap type="inline"/>
            <v:imagedata r:id="rId7" o:title=""/>
          </v:shape>
        </w:pict>
      </w:r>
    </w:p>
    <w:p>
      <w:pPr>
        <w:spacing w:before="120"/>
      </w:pPr>
      <w:r>
        <w:rPr>
          <w:color w:val="6B6B66"/>
          <w:sz w:val="20"/>
          <w:szCs w:val="20"/>
          <w:b w:val="1"/>
          <w:bCs w:val="1"/>
        </w:rPr>
        <w:t xml:space="preserve">Omnissa Sizer by Niyyasoft</w:t>
      </w:r>
    </w:p>
    <w:p/>
    <w:p/>
    <w:p>
      <w:pPr>
        <w:spacing w:after="0"/>
      </w:pPr>
      <w:r>
        <w:rPr>
          <w:color w:val="0B0B0B"/>
          <w:sz w:val="60"/>
          <w:szCs w:val="60"/>
          <w:b w:val="1"/>
          <w:bCs w:val="1"/>
        </w:rPr>
        <w:t xml:space="preserve">Omnissa Horizon</w:t>
      </w:r>
    </w:p>
    <w:p>
      <w:pPr/>
      <w:r>
        <w:rPr>
          <w:color w:val="D6336C"/>
          <w:sz w:val="60"/>
          <w:szCs w:val="60"/>
        </w:rPr>
        <w:t xml:space="preserve">Technical sizing report</w:t>
      </w:r>
    </w:p>
    <w:p/>
    <w:p>
      <w:pPr/>
      <w:r>
        <w:rPr>
          <w:sz w:val="32"/>
          <w:szCs w:val="32"/>
          <w:b w:val="1"/>
          <w:bCs w:val="1"/>
        </w:rPr>
        <w:t xml:space="preserve">Sample — Engineering design studio, three-tier FC with GPU</w:t>
      </w:r>
    </w:p>
    <w:p>
      <w:pPr/>
      <w:r>
        <w:rPr>
          <w:sz w:val="24"/>
          <w:szCs w:val="24"/>
        </w:rPr>
        <w:t xml:space="preserve">Customer: Fabrikam Engineering (fictitious)</w:t>
      </w:r>
    </w:p>
    <w:p/>
    <w:tbl>
      <w:tblGrid>
        <w:gridCol w:w="2600" w:type="dxa"/>
        <w:gridCol w:w="6800" w:type="dxa"/>
      </w:tblGrid>
      <w:tblPr>
        <w:tblW w:w="0" w:type="auto"/>
        <w:tblLayout w:type="autofit"/>
        <w:tblCellMar>
          <w:top w:w="40" w:type="dxa"/>
          <w:left w:w="40" w:type="dxa"/>
          <w:right w:w="40" w:type="dxa"/>
          <w:bottom w:w="40" w:type="dxa"/>
        </w:tblCellMar>
        <w:tblBorders>
          <w:top w:val="single" w:sz="0"/>
          <w:left w:val="single" w:sz="0"/>
          <w:right w:val="single" w:sz="0"/>
          <w:bottom w:val="single" w:sz="0"/>
          <w:insideH w:val="single" w:sz="0"/>
          <w:insideV w:val="single" w:sz="0"/>
        </w:tblBorders>
      </w:tblPr>
      <w:tr>
        <w:trPr/>
        <w:tc>
          <w:tcPr>
            <w:tcW w:w="2600" w:type="dxa"/>
            <w:noWrap/>
          </w:tcPr>
          <w:p>
            <w:pPr>
              <w:pStyle w:val="cell"/>
            </w:pPr>
            <w:r>
              <w:rPr>
                <w:color w:val="6B6B66"/>
                <w:b w:val="1"/>
                <w:bCs w:val="1"/>
              </w:rPr>
              <w:t xml:space="preserve">Revision</w:t>
            </w:r>
          </w:p>
        </w:tc>
        <w:tc>
          <w:tcPr>
            <w:tcW w:w="6800" w:type="dxa"/>
            <w:noWrap/>
          </w:tcPr>
          <w:p>
            <w:pPr>
              <w:pStyle w:val="cell"/>
            </w:pPr>
            <w:r>
              <w:rPr/>
              <w:t xml:space="preserve">Revision 1 — Sample baseline</w:t>
            </w:r>
          </w:p>
        </w:tc>
      </w:tr>
      <w:tr>
        <w:trPr/>
        <w:tc>
          <w:tcPr>
            <w:tcW w:w="2600" w:type="dxa"/>
            <w:noWrap/>
          </w:tcPr>
          <w:p>
            <w:pPr>
              <w:pStyle w:val="cell"/>
            </w:pPr>
            <w:r>
              <w:rPr>
                <w:color w:val="6B6B66"/>
                <w:b w:val="1"/>
                <w:bCs w:val="1"/>
              </w:rPr>
              <w:t xml:space="preserve">Calculated</w:t>
            </w:r>
          </w:p>
        </w:tc>
        <w:tc>
          <w:tcPr>
            <w:tcW w:w="6800" w:type="dxa"/>
            <w:noWrap/>
          </w:tcPr>
          <w:p>
            <w:pPr>
              <w:pStyle w:val="cell"/>
            </w:pPr>
            <w:r>
              <w:rPr/>
              <w:t xml:space="preserve">2026-10-02 03:56 UTC</w:t>
            </w:r>
          </w:p>
        </w:tc>
      </w:tr>
      <w:tr>
        <w:trPr/>
        <w:tc>
          <w:tcPr>
            <w:tcW w:w="2600" w:type="dxa"/>
            <w:noWrap/>
          </w:tcPr>
          <w:p>
            <w:pPr>
              <w:pStyle w:val="cell"/>
            </w:pPr>
            <w:r>
              <w:rPr>
                <w:color w:val="6B6B66"/>
                <w:b w:val="1"/>
                <w:bCs w:val="1"/>
              </w:rPr>
              <w:t xml:space="preserve">Deployment model</w:t>
            </w:r>
          </w:p>
        </w:tc>
        <w:tc>
          <w:tcPr>
            <w:tcW w:w="6800" w:type="dxa"/>
            <w:noWrap/>
          </w:tcPr>
          <w:p>
            <w:pPr>
              <w:pStyle w:val="cell"/>
            </w:pPr>
            <w:r>
              <w:rPr/>
              <w:t xml:space="preserve">On-premises Horizon 8</w:t>
            </w:r>
          </w:p>
        </w:tc>
      </w:tr>
      <w:tr>
        <w:trPr/>
        <w:tc>
          <w:tcPr>
            <w:tcW w:w="2600" w:type="dxa"/>
            <w:noWrap/>
          </w:tcPr>
          <w:p>
            <w:pPr>
              <w:pStyle w:val="cell"/>
            </w:pPr>
            <w:r>
              <w:rPr>
                <w:color w:val="6B6B66"/>
                <w:b w:val="1"/>
                <w:bCs w:val="1"/>
              </w:rPr>
              <w:t xml:space="preserve">Horizon version</w:t>
            </w:r>
          </w:p>
        </w:tc>
        <w:tc>
          <w:tcPr>
            <w:tcW w:w="6800" w:type="dxa"/>
            <w:noWrap/>
          </w:tcPr>
          <w:p>
            <w:pPr>
              <w:pStyle w:val="cell"/>
            </w:pPr>
            <w:r>
              <w:rPr/>
              <w:t xml:space="preserve">Horizon 2606</w:t>
            </w:r>
          </w:p>
        </w:tc>
      </w:tr>
      <w:tr>
        <w:trPr/>
        <w:tc>
          <w:tcPr>
            <w:tcW w:w="2600" w:type="dxa"/>
            <w:noWrap/>
          </w:tcPr>
          <w:p>
            <w:pPr>
              <w:pStyle w:val="cell"/>
            </w:pPr>
            <w:r>
              <w:rPr>
                <w:color w:val="6B6B66"/>
                <w:b w:val="1"/>
                <w:bCs w:val="1"/>
              </w:rPr>
              <w:t xml:space="preserve">Platform</w:t>
            </w:r>
          </w:p>
        </w:tc>
        <w:tc>
          <w:tcPr>
            <w:tcW w:w="6800" w:type="dxa"/>
            <w:noWrap/>
          </w:tcPr>
          <w:p>
            <w:pPr>
              <w:pStyle w:val="cell"/>
            </w:pPr>
            <w:r>
              <w:rPr/>
              <w:t xml:space="preserve">VMware vSphere (ESXi), three-tier with FC shared storage</w:t>
            </w:r>
          </w:p>
        </w:tc>
      </w:tr>
      <w:tr>
        <w:trPr/>
        <w:tc>
          <w:tcPr>
            <w:tcW w:w="2600" w:type="dxa"/>
            <w:noWrap/>
          </w:tcPr>
          <w:p>
            <w:pPr>
              <w:pStyle w:val="cell"/>
            </w:pPr>
            <w:r>
              <w:rPr>
                <w:color w:val="6B6B66"/>
                <w:b w:val="1"/>
                <w:bCs w:val="1"/>
              </w:rPr>
              <w:t xml:space="preserve">Versions</w:t>
            </w:r>
          </w:p>
        </w:tc>
        <w:tc>
          <w:tcPr>
            <w:tcW w:w="6800" w:type="dxa"/>
            <w:noWrap/>
          </w:tcPr>
          <w:p>
            <w:pPr>
              <w:pStyle w:val="cell"/>
            </w:pPr>
            <w:r>
              <w:rPr/>
              <w:t xml:space="preserve">Sizing engine 1.0.0 • knowledge base 2026.10.02+2a179270</w:t>
            </w:r>
          </w:p>
        </w:tc>
      </w:tr>
      <w:tr>
        <w:trPr/>
        <w:tc>
          <w:tcPr>
            <w:tcW w:w="2600" w:type="dxa"/>
            <w:noWrap/>
          </w:tcPr>
          <w:p>
            <w:pPr>
              <w:pStyle w:val="cell"/>
            </w:pPr>
            <w:r>
              <w:rPr>
                <w:color w:val="6B6B66"/>
                <w:b w:val="1"/>
                <w:bCs w:val="1"/>
              </w:rPr>
              <w:t xml:space="preserve">Prepared by</w:t>
            </w:r>
          </w:p>
        </w:tc>
        <w:tc>
          <w:tcPr>
            <w:tcW w:w="6800" w:type="dxa"/>
            <w:noWrap/>
          </w:tcPr>
          <w:p>
            <w:pPr>
              <w:pStyle w:val="cell"/>
            </w:pPr>
            <w:r>
              <w:rPr/>
              <w:t xml:space="preserve">Administrator</w:t>
            </w:r>
          </w:p>
        </w:tc>
      </w:tr>
    </w:tbl>
    <w:p/>
    <w:p/>
    <w:p/>
    <w:p>
      <w:pPr/>
      <w:r>
        <w:rPr>
          <w:color w:val="6B6B66"/>
          <w:sz w:val="17"/>
          <w:szCs w:val="17"/>
          <w:i w:val="1"/>
          <w:iCs w:val="1"/>
        </w:rPr>
        <w:t xml:space="preserve">Omnissa Sizer is an independent planning tool by Niyyasoft. It is not produced, certified or endorsed by Omnissa. Results are estimates that must be validated with a pilot and with each vendor before purchase or implementation.</w:t>
      </w:r>
    </w:p>
    <w:p>
      <w:pPr>
        <w:sectPr>
          <w:pgSz w:orient="portrait" w:w="11905.511811023622" w:h="16837.79527559055"/>
          <w:pgMar w:top="1400" w:right="1200" w:bottom="1440" w:left="1200" w:header="720" w:footer="720" w:gutter="0"/>
          <w:cols w:num="1" w:space="720"/>
        </w:sectPr>
      </w:pPr>
    </w:p>
    <w:p>
      <w:pPr>
        <w:pStyle w:val="Heading1"/>
      </w:pPr>
      <w:bookmarkStart w:id="0" w:name="_Toc0"/>
      <w:r>
        <w:t>Contents</w:t>
      </w:r>
      <w:bookmarkEnd w:id="0"/>
    </w:p>
    <w:p>
      <w:pPr>
        <w:tabs>
          <w:tab w:val="right" w:leader="dot" w:pos="9062"/>
        </w:tabs>
      </w:pPr>
      <w:r>
        <w:fldChar w:fldCharType="begin"/>
      </w:r>
      <w:r>
        <w:instrText xml:space="preserve">TOC \o 1-2 \h \z \u</w:instrText>
      </w:r>
      <w:r>
        <w:fldChar w:fldCharType="separate"/>
      </w:r>
      <w:hyperlink w:anchor="_Toc0" w:history="1">
        <w:r>
          <w:rPr>
            <w:sz w:val="20"/>
            <w:szCs w:val="20"/>
          </w:rPr>
          <w:t>Contents</w:t>
        </w:r>
        <w:r>
          <w:tab/>
        </w:r>
        <w:r>
          <w:fldChar w:fldCharType="begin"/>
        </w:r>
        <w:r>
          <w:instrText xml:space="preserve">PAGEREF 0 \h</w:instrText>
        </w:r>
        <w:r>
          <w:fldChar w:fldCharType="end"/>
        </w:r>
      </w:hyperlink>
    </w:p>
    <w:p>
      <w:pPr>
        <w:tabs>
          <w:tab w:val="right" w:leader="dot" w:pos="9062"/>
        </w:tabs>
      </w:pPr>
      <w:hyperlink w:anchor="_Toc1" w:history="1">
        <w:r>
          <w:rPr>
            <w:sz w:val="20"/>
            <w:szCs w:val="20"/>
          </w:rPr>
          <w:t>1. Executive summary</w:t>
        </w:r>
        <w:r>
          <w:tab/>
        </w:r>
        <w:r>
          <w:fldChar w:fldCharType="begin"/>
        </w:r>
        <w:r>
          <w:instrText xml:space="preserve">PAGEREF 1 \h</w:instrText>
        </w:r>
        <w:r>
          <w:fldChar w:fldCharType="end"/>
        </w:r>
      </w:hyperlink>
    </w:p>
    <w:p>
      <w:pPr>
        <w:tabs>
          <w:tab w:val="right" w:leader="dot" w:pos="9062"/>
        </w:tabs>
        <w:ind w:left="200"/>
      </w:pPr>
      <w:hyperlink w:anchor="_Toc2" w:history="1">
        <w:r>
          <w:rPr>
            <w:sz w:val="20"/>
            <w:szCs w:val="20"/>
          </w:rPr>
          <w:t>Scenarios</w:t>
        </w:r>
        <w:r>
          <w:tab/>
        </w:r>
        <w:r>
          <w:fldChar w:fldCharType="begin"/>
        </w:r>
        <w:r>
          <w:instrText xml:space="preserve">PAGEREF 2 \h</w:instrText>
        </w:r>
        <w:r>
          <w:fldChar w:fldCharType="end"/>
        </w:r>
      </w:hyperlink>
    </w:p>
    <w:p>
      <w:pPr>
        <w:tabs>
          <w:tab w:val="right" w:leader="dot" w:pos="9062"/>
        </w:tabs>
      </w:pPr>
      <w:hyperlink w:anchor="_Toc3" w:history="1">
        <w:r>
          <w:rPr>
            <w:sz w:val="20"/>
            <w:szCs w:val="20"/>
          </w:rPr>
          <w:t>2. Customer requirements</w:t>
        </w:r>
        <w:r>
          <w:tab/>
        </w:r>
        <w:r>
          <w:fldChar w:fldCharType="begin"/>
        </w:r>
        <w:r>
          <w:instrText xml:space="preserve">PAGEREF 3 \h</w:instrText>
        </w:r>
        <w:r>
          <w:fldChar w:fldCharType="end"/>
        </w:r>
      </w:hyperlink>
    </w:p>
    <w:p>
      <w:pPr>
        <w:tabs>
          <w:tab w:val="right" w:leader="dot" w:pos="9062"/>
        </w:tabs>
        <w:ind w:left="200"/>
      </w:pPr>
      <w:hyperlink w:anchor="_Toc4" w:history="1">
        <w:r>
          <w:rPr>
            <w:sz w:val="20"/>
            <w:szCs w:val="20"/>
          </w:rPr>
          <w:t>Workloads</w:t>
        </w:r>
        <w:r>
          <w:tab/>
        </w:r>
        <w:r>
          <w:fldChar w:fldCharType="begin"/>
        </w:r>
        <w:r>
          <w:instrText xml:space="preserve">PAGEREF 4 \h</w:instrText>
        </w:r>
        <w:r>
          <w:fldChar w:fldCharType="end"/>
        </w:r>
      </w:hyperlink>
    </w:p>
    <w:p>
      <w:pPr>
        <w:tabs>
          <w:tab w:val="right" w:leader="dot" w:pos="9062"/>
        </w:tabs>
      </w:pPr>
      <w:hyperlink w:anchor="_Toc5" w:history="1">
        <w:r>
          <w:rPr>
            <w:sz w:val="20"/>
            <w:szCs w:val="20"/>
          </w:rPr>
          <w:t>3. Workload assumptions</w:t>
        </w:r>
        <w:r>
          <w:tab/>
        </w:r>
        <w:r>
          <w:fldChar w:fldCharType="begin"/>
        </w:r>
        <w:r>
          <w:instrText xml:space="preserve">PAGEREF 5 \h</w:instrText>
        </w:r>
        <w:r>
          <w:fldChar w:fldCharType="end"/>
        </w:r>
      </w:hyperlink>
    </w:p>
    <w:p>
      <w:pPr>
        <w:tabs>
          <w:tab w:val="right" w:leader="dot" w:pos="9062"/>
        </w:tabs>
      </w:pPr>
      <w:hyperlink w:anchor="_Toc6" w:history="1">
        <w:r>
          <w:rPr>
            <w:sz w:val="20"/>
            <w:szCs w:val="20"/>
          </w:rPr>
          <w:t>4. Sizing methodology</w:t>
        </w:r>
        <w:r>
          <w:tab/>
        </w:r>
        <w:r>
          <w:fldChar w:fldCharType="begin"/>
        </w:r>
        <w:r>
          <w:instrText xml:space="preserve">PAGEREF 6 \h</w:instrText>
        </w:r>
        <w:r>
          <w:fldChar w:fldCharType="end"/>
        </w:r>
      </w:hyperlink>
    </w:p>
    <w:p>
      <w:pPr>
        <w:tabs>
          <w:tab w:val="right" w:leader="dot" w:pos="9062"/>
        </w:tabs>
      </w:pPr>
      <w:hyperlink w:anchor="_Toc7" w:history="1">
        <w:r>
          <w:rPr>
            <w:sz w:val="20"/>
            <w:szCs w:val="20"/>
          </w:rPr>
          <w:t>5. Compute and memory sizing</w:t>
        </w:r>
        <w:r>
          <w:tab/>
        </w:r>
        <w:r>
          <w:fldChar w:fldCharType="begin"/>
        </w:r>
        <w:r>
          <w:instrText xml:space="preserve">PAGEREF 7 \h</w:instrText>
        </w:r>
        <w:r>
          <w:fldChar w:fldCharType="end"/>
        </w:r>
      </w:hyperlink>
    </w:p>
    <w:p>
      <w:pPr>
        <w:tabs>
          <w:tab w:val="right" w:leader="dot" w:pos="9062"/>
        </w:tabs>
        <w:ind w:left="200"/>
      </w:pPr>
      <w:hyperlink w:anchor="_Toc8" w:history="1">
        <w:r>
          <w:rPr>
            <w:sz w:val="20"/>
            <w:szCs w:val="20"/>
          </w:rPr>
          <w:t>Workload demand</w:t>
        </w:r>
        <w:r>
          <w:tab/>
        </w:r>
        <w:r>
          <w:fldChar w:fldCharType="begin"/>
        </w:r>
        <w:r>
          <w:instrText xml:space="preserve">PAGEREF 8 \h</w:instrText>
        </w:r>
        <w:r>
          <w:fldChar w:fldCharType="end"/>
        </w:r>
      </w:hyperlink>
    </w:p>
    <w:p>
      <w:pPr>
        <w:tabs>
          <w:tab w:val="right" w:leader="dot" w:pos="9062"/>
        </w:tabs>
        <w:ind w:left="200"/>
      </w:pPr>
      <w:hyperlink w:anchor="_Toc9" w:history="1">
        <w:r>
          <w:rPr>
            <w:sz w:val="20"/>
            <w:szCs w:val="20"/>
          </w:rPr>
          <w:t>Clusters</w:t>
        </w:r>
        <w:r>
          <w:tab/>
        </w:r>
        <w:r>
          <w:fldChar w:fldCharType="begin"/>
        </w:r>
        <w:r>
          <w:instrText xml:space="preserve">PAGEREF 9 \h</w:instrText>
        </w:r>
        <w:r>
          <w:fldChar w:fldCharType="end"/>
        </w:r>
      </w:hyperlink>
    </w:p>
    <w:p>
      <w:pPr>
        <w:tabs>
          <w:tab w:val="right" w:leader="dot" w:pos="9062"/>
        </w:tabs>
      </w:pPr>
      <w:hyperlink w:anchor="_Toc10" w:history="1">
        <w:r>
          <w:rPr>
            <w:sz w:val="20"/>
            <w:szCs w:val="20"/>
          </w:rPr>
          <w:t>6. Storage capacity and performance</w:t>
        </w:r>
        <w:r>
          <w:tab/>
        </w:r>
        <w:r>
          <w:fldChar w:fldCharType="begin"/>
        </w:r>
        <w:r>
          <w:instrText xml:space="preserve">PAGEREF 10 \h</w:instrText>
        </w:r>
        <w:r>
          <w:fldChar w:fldCharType="end"/>
        </w:r>
      </w:hyperlink>
    </w:p>
    <w:p>
      <w:pPr>
        <w:tabs>
          <w:tab w:val="right" w:leader="dot" w:pos="9062"/>
        </w:tabs>
        <w:ind w:left="200"/>
      </w:pPr>
      <w:hyperlink w:anchor="_Toc11" w:history="1">
        <w:r>
          <w:rPr>
            <w:sz w:val="20"/>
            <w:szCs w:val="20"/>
          </w:rPr>
          <w:t>Usable versus raw</w:t>
        </w:r>
        <w:r>
          <w:tab/>
        </w:r>
        <w:r>
          <w:fldChar w:fldCharType="begin"/>
        </w:r>
        <w:r>
          <w:instrText xml:space="preserve">PAGEREF 11 \h</w:instrText>
        </w:r>
        <w:r>
          <w:fldChar w:fldCharType="end"/>
        </w:r>
      </w:hyperlink>
    </w:p>
    <w:p>
      <w:pPr>
        <w:tabs>
          <w:tab w:val="right" w:leader="dot" w:pos="9062"/>
        </w:tabs>
        <w:ind w:left="200"/>
      </w:pPr>
      <w:hyperlink w:anchor="_Toc12" w:history="1">
        <w:r>
          <w:rPr>
            <w:sz w:val="20"/>
            <w:szCs w:val="20"/>
          </w:rPr>
          <w:t>Performance</w:t>
        </w:r>
        <w:r>
          <w:tab/>
        </w:r>
        <w:r>
          <w:fldChar w:fldCharType="begin"/>
        </w:r>
        <w:r>
          <w:instrText xml:space="preserve">PAGEREF 12 \h</w:instrText>
        </w:r>
        <w:r>
          <w:fldChar w:fldCharType="end"/>
        </w:r>
      </w:hyperlink>
    </w:p>
    <w:p>
      <w:pPr>
        <w:tabs>
          <w:tab w:val="right" w:leader="dot" w:pos="9062"/>
        </w:tabs>
      </w:pPr>
      <w:hyperlink w:anchor="_Toc13" w:history="1">
        <w:r>
          <w:rPr>
            <w:sz w:val="20"/>
            <w:szCs w:val="20"/>
          </w:rPr>
          <w:t>7. Network sizing</w:t>
        </w:r>
        <w:r>
          <w:tab/>
        </w:r>
        <w:r>
          <w:fldChar w:fldCharType="begin"/>
        </w:r>
        <w:r>
          <w:instrText xml:space="preserve">PAGEREF 13 \h</w:instrText>
        </w:r>
        <w:r>
          <w:fldChar w:fldCharType="end"/>
        </w:r>
      </w:hyperlink>
    </w:p>
    <w:p>
      <w:pPr>
        <w:tabs>
          <w:tab w:val="right" w:leader="dot" w:pos="9062"/>
        </w:tabs>
        <w:ind w:left="200"/>
      </w:pPr>
      <w:hyperlink w:anchor="_Toc14" w:history="1">
        <w:r>
          <w:rPr>
            <w:sz w:val="20"/>
            <w:szCs w:val="20"/>
          </w:rPr>
          <w:t>Host uplinks (per host, FTT hosts failed)</w:t>
        </w:r>
        <w:r>
          <w:tab/>
        </w:r>
        <w:r>
          <w:fldChar w:fldCharType="begin"/>
        </w:r>
        <w:r>
          <w:instrText xml:space="preserve">PAGEREF 14 \h</w:instrText>
        </w:r>
        <w:r>
          <w:fldChar w:fldCharType="end"/>
        </w:r>
      </w:hyperlink>
    </w:p>
    <w:p>
      <w:pPr>
        <w:tabs>
          <w:tab w:val="right" w:leader="dot" w:pos="9062"/>
        </w:tabs>
        <w:ind w:left="200"/>
      </w:pPr>
      <w:hyperlink w:anchor="_Toc15" w:history="1">
        <w:r>
          <w:rPr>
            <w:sz w:val="20"/>
            <w:szCs w:val="20"/>
          </w:rPr>
          <w:t>Switching</w:t>
        </w:r>
        <w:r>
          <w:tab/>
        </w:r>
        <w:r>
          <w:fldChar w:fldCharType="begin"/>
        </w:r>
        <w:r>
          <w:instrText xml:space="preserve">PAGEREF 15 \h</w:instrText>
        </w:r>
        <w:r>
          <w:fldChar w:fldCharType="end"/>
        </w:r>
      </w:hyperlink>
    </w:p>
    <w:p>
      <w:pPr>
        <w:tabs>
          <w:tab w:val="right" w:leader="dot" w:pos="9062"/>
        </w:tabs>
      </w:pPr>
      <w:hyperlink w:anchor="_Toc16" w:history="1">
        <w:r>
          <w:rPr>
            <w:sz w:val="20"/>
            <w:szCs w:val="20"/>
          </w:rPr>
          <w:t>8. Recommended hardware bill of materials</w:t>
        </w:r>
        <w:r>
          <w:tab/>
        </w:r>
        <w:r>
          <w:fldChar w:fldCharType="begin"/>
        </w:r>
        <w:r>
          <w:instrText xml:space="preserve">PAGEREF 16 \h</w:instrText>
        </w:r>
        <w:r>
          <w:fldChar w:fldCharType="end"/>
        </w:r>
      </w:hyperlink>
    </w:p>
    <w:p>
      <w:pPr>
        <w:tabs>
          <w:tab w:val="right" w:leader="dot" w:pos="9062"/>
        </w:tabs>
      </w:pPr>
      <w:hyperlink w:anchor="_Toc17" w:history="1">
        <w:r>
          <w:rPr>
            <w:sz w:val="20"/>
            <w:szCs w:val="20"/>
          </w:rPr>
          <w:t>9. Logical architecture</w:t>
        </w:r>
        <w:r>
          <w:tab/>
        </w:r>
        <w:r>
          <w:fldChar w:fldCharType="begin"/>
        </w:r>
        <w:r>
          <w:instrText xml:space="preserve">PAGEREF 17 \h</w:instrText>
        </w:r>
        <w:r>
          <w:fldChar w:fldCharType="end"/>
        </w:r>
      </w:hyperlink>
    </w:p>
    <w:p>
      <w:pPr>
        <w:tabs>
          <w:tab w:val="right" w:leader="dot" w:pos="9062"/>
        </w:tabs>
      </w:pPr>
      <w:hyperlink w:anchor="_Toc18" w:history="1">
        <w:r>
          <w:rPr>
            <w:sz w:val="20"/>
            <w:szCs w:val="20"/>
          </w:rPr>
          <w:t>10. Physical connectivity</w:t>
        </w:r>
        <w:r>
          <w:tab/>
        </w:r>
        <w:r>
          <w:fldChar w:fldCharType="begin"/>
        </w:r>
        <w:r>
          <w:instrText xml:space="preserve">PAGEREF 18 \h</w:instrText>
        </w:r>
        <w:r>
          <w:fldChar w:fldCharType="end"/>
        </w:r>
      </w:hyperlink>
    </w:p>
    <w:p>
      <w:pPr>
        <w:tabs>
          <w:tab w:val="right" w:leader="dot" w:pos="9062"/>
        </w:tabs>
      </w:pPr>
      <w:hyperlink w:anchor="_Toc19" w:history="1">
        <w:r>
          <w:rPr>
            <w:sz w:val="20"/>
            <w:szCs w:val="20"/>
          </w:rPr>
          <w:t>11. Firewall ports</w:t>
        </w:r>
        <w:r>
          <w:tab/>
        </w:r>
        <w:r>
          <w:fldChar w:fldCharType="begin"/>
        </w:r>
        <w:r>
          <w:instrText xml:space="preserve">PAGEREF 19 \h</w:instrText>
        </w:r>
        <w:r>
          <w:fldChar w:fldCharType="end"/>
        </w:r>
      </w:hyperlink>
    </w:p>
    <w:p>
      <w:pPr>
        <w:tabs>
          <w:tab w:val="right" w:leader="dot" w:pos="9062"/>
        </w:tabs>
      </w:pPr>
      <w:hyperlink w:anchor="_Toc20" w:history="1">
        <w:r>
          <w:rPr>
            <w:sz w:val="20"/>
            <w:szCs w:val="20"/>
          </w:rPr>
          <w:t>Firewall connectivity (zone to zone)</w:t>
        </w:r>
        <w:r>
          <w:tab/>
        </w:r>
        <w:r>
          <w:fldChar w:fldCharType="begin"/>
        </w:r>
        <w:r>
          <w:instrText xml:space="preserve">PAGEREF 20 \h</w:instrText>
        </w:r>
        <w:r>
          <w:fldChar w:fldCharType="end"/>
        </w:r>
      </w:hyperlink>
    </w:p>
    <w:p>
      <w:pPr>
        <w:tabs>
          <w:tab w:val="right" w:leader="dot" w:pos="9062"/>
        </w:tabs>
      </w:pPr>
      <w:hyperlink w:anchor="_Toc21" w:history="1">
        <w:r>
          <w:rPr>
            <w:sz w:val="20"/>
            <w:szCs w:val="20"/>
          </w:rPr>
          <w:t>12. High availability and failure scenarios</w:t>
        </w:r>
        <w:r>
          <w:tab/>
        </w:r>
        <w:r>
          <w:fldChar w:fldCharType="begin"/>
        </w:r>
        <w:r>
          <w:instrText xml:space="preserve">PAGEREF 21 \h</w:instrText>
        </w:r>
        <w:r>
          <w:fldChar w:fldCharType="end"/>
        </w:r>
      </w:hyperlink>
    </w:p>
    <w:p>
      <w:pPr>
        <w:tabs>
          <w:tab w:val="right" w:leader="dot" w:pos="9062"/>
        </w:tabs>
      </w:pPr>
      <w:hyperlink w:anchor="_Toc22" w:history="1">
        <w:r>
          <w:rPr>
            <w:sz w:val="20"/>
            <w:szCs w:val="20"/>
          </w:rPr>
          <w:t>13. Risks and dependencies</w:t>
        </w:r>
        <w:r>
          <w:tab/>
        </w:r>
        <w:r>
          <w:fldChar w:fldCharType="begin"/>
        </w:r>
        <w:r>
          <w:instrText xml:space="preserve">PAGEREF 22 \h</w:instrText>
        </w:r>
        <w:r>
          <w:fldChar w:fldCharType="end"/>
        </w:r>
      </w:hyperlink>
    </w:p>
    <w:p>
      <w:pPr>
        <w:tabs>
          <w:tab w:val="right" w:leader="dot" w:pos="9062"/>
        </w:tabs>
      </w:pPr>
      <w:hyperlink w:anchor="_Toc27" w:history="1">
        <w:r>
          <w:rPr>
            <w:sz w:val="20"/>
            <w:szCs w:val="20"/>
          </w:rPr>
          <w:t>14. Official references</w:t>
        </w:r>
        <w:r>
          <w:tab/>
        </w:r>
        <w:r>
          <w:fldChar w:fldCharType="begin"/>
        </w:r>
        <w:r>
          <w:instrText xml:space="preserve">PAGEREF 27 \h</w:instrText>
        </w:r>
        <w:r>
          <w:fldChar w:fldCharType="end"/>
        </w:r>
      </w:hyperlink>
    </w:p>
    <w:p>
      <w:pPr>
        <w:tabs>
          <w:tab w:val="right" w:leader="dot" w:pos="9062"/>
        </w:tabs>
      </w:pPr>
      <w:hyperlink w:anchor="_Toc28" w:history="1">
        <w:r>
          <w:rPr>
            <w:sz w:val="20"/>
            <w:szCs w:val="20"/>
          </w:rPr>
          <w:t>15. Detailed calculation appendix</w:t>
        </w:r>
        <w:r>
          <w:tab/>
        </w:r>
        <w:r>
          <w:fldChar w:fldCharType="begin"/>
        </w:r>
        <w:r>
          <w:instrText xml:space="preserve">PAGEREF 28 \h</w:instrText>
        </w:r>
        <w:r>
          <w:fldChar w:fldCharType="end"/>
        </w:r>
      </w:hyperlink>
    </w:p>
    <w:p>
      <w:r>
        <w:fldChar w:fldCharType="end"/>
      </w:r>
    </w:p>
    <w:p>
      <w:r>
        <w:br w:type="page"/>
      </w:r>
    </w:p>
    <w:p>
      <w:pPr>
        <w:pStyle w:val="Heading1"/>
      </w:pPr>
      <w:bookmarkStart w:id="1" w:name="_Toc1"/>
      <w:r>
        <w:t>1. Executive summary</w:t>
      </w:r>
      <w:bookmarkEnd w:id="1"/>
    </w:p>
    <w:p>
      <w:pPr>
        <w:spacing w:after="100"/>
      </w:pPr>
      <w:r>
        <w:rPr/>
        <w:t xml:space="preserve">The recommended (balanced) design supports 3,050 users with 2,510 peak concurrent sessions — 3,050 provisioned desktops and 0 RDS hosts.</w:t>
      </w:r>
    </w:p>
    <w:p>
      <w:pPr>
        <w:spacing w:after="100"/>
      </w:pPr>
      <w:r>
        <w:rPr/>
        <w:t xml:space="preserve">It runs on 35 virtualization hosts in 3 cluster(s) with 2,176 physical cores, 40,448 GB of installed RAM and 648.7 TB of raw storage on VMware vSphere (ESXi), three-tier with FC shared storage.</w:t>
      </w:r>
    </w:p>
    <w:p>
      <w:pPr>
        <w:spacing w:after="100"/>
      </w:pPr>
      <w:r>
        <w:rPr/>
        <w:t xml:space="preserve">Every cluster keeps N+1 failure tolerance; with the failed hosts out of service CPU use peaks at 93.8% and memory at 95.6% of usable capacity.</w:t>
      </w:r>
    </w:p>
    <w:p>
      <w:pPr>
        <w:spacing w:after="100"/>
      </w:pPr>
      <w:r>
        <w:rPr/>
        <w:t xml:space="preserve">Horizon access uses 4 Connection Server(s) in 2 pod(s) with Cloud Pod Architecture and 2 Unified Access Gateway appliance(s) for 502 external sessions.</w:t>
      </w:r>
    </w:p>
    <w:p>
      <w:pPr>
        <w:spacing w:after="100"/>
      </w:pPr>
      <w:r>
        <w:rPr/>
        <w:t xml:space="preserve">No blocking sizing errors were found. Assumptions and vendor-validation items listed in this report must be confirmed before purchase.</w:t>
      </w:r>
    </w:p>
    <w:tbl>
      <w:tblGrid>
        <w:gridCol w:w="5200" w:type="dxa"/>
        <w:gridCol w:w="4400" w:type="dxa"/>
      </w:tblGrid>
      <w:tblPr>
        <w:tblStyle w:val="grid"/>
      </w:tblPr>
      <w:tr>
        <w:trPr>
          <w:tblHeader w:val="1"/>
          <w:cantSplit w:val="1"/>
        </w:trPr>
        <w:tc>
          <w:tcPr>
            <w:tcW w:w="5200" w:type="dxa"/>
            <w:shd w:val="clear" w:fill="0B0B0B"/>
            <w:noWrap/>
          </w:tcPr>
          <w:p>
            <w:pPr>
              <w:pStyle w:val="cell"/>
            </w:pPr>
            <w:r>
              <w:rPr>
                <w:color w:val="FFFFFF"/>
                <w:sz w:val="18"/>
                <w:szCs w:val="18"/>
                <w:b w:val="1"/>
                <w:bCs w:val="1"/>
              </w:rPr>
              <w:t xml:space="preserve">Metric</w:t>
            </w:r>
          </w:p>
        </w:tc>
        <w:tc>
          <w:tcPr>
            <w:tcW w:w="4400" w:type="dxa"/>
            <w:shd w:val="clear" w:fill="0B0B0B"/>
            <w:noWrap/>
          </w:tcPr>
          <w:p>
            <w:pPr>
              <w:pStyle w:val="cell"/>
            </w:pPr>
            <w:r>
              <w:rPr>
                <w:color w:val="FFFFFF"/>
                <w:sz w:val="18"/>
                <w:szCs w:val="18"/>
                <w:b w:val="1"/>
                <w:bCs w:val="1"/>
              </w:rPr>
              <w:t xml:space="preserve">Value</w:t>
            </w:r>
          </w:p>
        </w:tc>
      </w:tr>
      <w:tr>
        <w:trPr>
          <w:cantSplit w:val="1"/>
        </w:trPr>
        <w:tc>
          <w:tcPr>
            <w:tcW w:w="5200" w:type="dxa"/>
            <w:noWrap/>
          </w:tcPr>
          <w:p>
            <w:pPr>
              <w:pStyle w:val="cell"/>
            </w:pPr>
            <w:r>
              <w:rPr>
                <w:sz w:val="18"/>
                <w:szCs w:val="18"/>
              </w:rPr>
              <w:t xml:space="preserve">Users</w:t>
            </w:r>
          </w:p>
        </w:tc>
        <w:tc>
          <w:tcPr>
            <w:tcW w:w="4400" w:type="dxa"/>
            <w:noWrap/>
          </w:tcPr>
          <w:p>
            <w:pPr>
              <w:pStyle w:val="cell"/>
            </w:pPr>
            <w:r>
              <w:rPr>
                <w:sz w:val="18"/>
                <w:szCs w:val="18"/>
              </w:rPr>
              <w:t xml:space="preserve">3,050</w:t>
            </w:r>
          </w:p>
        </w:tc>
      </w:tr>
      <w:tr>
        <w:trPr>
          <w:cantSplit w:val="1"/>
        </w:trPr>
        <w:tc>
          <w:tcPr>
            <w:tcW w:w="5200" w:type="dxa"/>
            <w:shd w:val="clear" w:fill="F3F1EC"/>
            <w:noWrap/>
          </w:tcPr>
          <w:p>
            <w:pPr>
              <w:pStyle w:val="cell"/>
            </w:pPr>
            <w:r>
              <w:rPr>
                <w:sz w:val="18"/>
                <w:szCs w:val="18"/>
              </w:rPr>
              <w:t xml:space="preserve">Peak concurrent sessions</w:t>
            </w:r>
          </w:p>
        </w:tc>
        <w:tc>
          <w:tcPr>
            <w:tcW w:w="4400" w:type="dxa"/>
            <w:shd w:val="clear" w:fill="F3F1EC"/>
            <w:noWrap/>
          </w:tcPr>
          <w:p>
            <w:pPr>
              <w:pStyle w:val="cell"/>
            </w:pPr>
            <w:r>
              <w:rPr>
                <w:sz w:val="18"/>
                <w:szCs w:val="18"/>
              </w:rPr>
              <w:t xml:space="preserve">2,510</w:t>
            </w:r>
          </w:p>
        </w:tc>
      </w:tr>
      <w:tr>
        <w:trPr>
          <w:cantSplit w:val="1"/>
        </w:trPr>
        <w:tc>
          <w:tcPr>
            <w:tcW w:w="5200" w:type="dxa"/>
            <w:noWrap/>
          </w:tcPr>
          <w:p>
            <w:pPr>
              <w:pStyle w:val="cell"/>
            </w:pPr>
            <w:r>
              <w:rPr>
                <w:sz w:val="18"/>
                <w:szCs w:val="18"/>
              </w:rPr>
              <w:t xml:space="preserve">Provisioned desktops / RDS hosts</w:t>
            </w:r>
          </w:p>
        </w:tc>
        <w:tc>
          <w:tcPr>
            <w:tcW w:w="4400" w:type="dxa"/>
            <w:noWrap/>
          </w:tcPr>
          <w:p>
            <w:pPr>
              <w:pStyle w:val="cell"/>
            </w:pPr>
            <w:r>
              <w:rPr>
                <w:sz w:val="18"/>
                <w:szCs w:val="18"/>
              </w:rPr>
              <w:t xml:space="preserve">3,050 / 0</w:t>
            </w:r>
          </w:p>
        </w:tc>
      </w:tr>
      <w:tr>
        <w:trPr>
          <w:cantSplit w:val="1"/>
        </w:trPr>
        <w:tc>
          <w:tcPr>
            <w:tcW w:w="5200" w:type="dxa"/>
            <w:shd w:val="clear" w:fill="F3F1EC"/>
            <w:noWrap/>
          </w:tcPr>
          <w:p>
            <w:pPr>
              <w:pStyle w:val="cell"/>
            </w:pPr>
            <w:r>
              <w:rPr>
                <w:sz w:val="18"/>
                <w:szCs w:val="18"/>
              </w:rPr>
              <w:t xml:space="preserve">Physical hosts / clusters</w:t>
            </w:r>
          </w:p>
        </w:tc>
        <w:tc>
          <w:tcPr>
            <w:tcW w:w="4400" w:type="dxa"/>
            <w:shd w:val="clear" w:fill="F3F1EC"/>
            <w:noWrap/>
          </w:tcPr>
          <w:p>
            <w:pPr>
              <w:pStyle w:val="cell"/>
            </w:pPr>
            <w:r>
              <w:rPr>
                <w:sz w:val="18"/>
                <w:szCs w:val="18"/>
              </w:rPr>
              <w:t xml:space="preserve">35 / 3</w:t>
            </w:r>
          </w:p>
        </w:tc>
      </w:tr>
      <w:tr>
        <w:trPr>
          <w:cantSplit w:val="1"/>
        </w:trPr>
        <w:tc>
          <w:tcPr>
            <w:tcW w:w="5200" w:type="dxa"/>
            <w:noWrap/>
          </w:tcPr>
          <w:p>
            <w:pPr>
              <w:pStyle w:val="cell"/>
            </w:pPr>
            <w:r>
              <w:rPr>
                <w:sz w:val="18"/>
                <w:szCs w:val="18"/>
              </w:rPr>
              <w:t xml:space="preserve">Physical cores / vCPU:core</w:t>
            </w:r>
          </w:p>
        </w:tc>
        <w:tc>
          <w:tcPr>
            <w:tcW w:w="4400" w:type="dxa"/>
            <w:noWrap/>
          </w:tcPr>
          <w:p>
            <w:pPr>
              <w:pStyle w:val="cell"/>
            </w:pPr>
            <w:r>
              <w:rPr>
                <w:sz w:val="18"/>
                <w:szCs w:val="18"/>
              </w:rPr>
              <w:t xml:space="preserve">2,176 / 3.60:1</w:t>
            </w:r>
          </w:p>
        </w:tc>
      </w:tr>
      <w:tr>
        <w:trPr>
          <w:cantSplit w:val="1"/>
        </w:trPr>
        <w:tc>
          <w:tcPr>
            <w:tcW w:w="5200" w:type="dxa"/>
            <w:shd w:val="clear" w:fill="F3F1EC"/>
            <w:noWrap/>
          </w:tcPr>
          <w:p>
            <w:pPr>
              <w:pStyle w:val="cell"/>
            </w:pPr>
            <w:r>
              <w:rPr>
                <w:sz w:val="18"/>
                <w:szCs w:val="18"/>
              </w:rPr>
              <w:t xml:space="preserve">Installed RAM / workload memory</w:t>
            </w:r>
          </w:p>
        </w:tc>
        <w:tc>
          <w:tcPr>
            <w:tcW w:w="4400" w:type="dxa"/>
            <w:shd w:val="clear" w:fill="F3F1EC"/>
            <w:noWrap/>
          </w:tcPr>
          <w:p>
            <w:pPr>
              <w:pStyle w:val="cell"/>
            </w:pPr>
            <w:r>
              <w:rPr>
                <w:sz w:val="18"/>
                <w:szCs w:val="18"/>
              </w:rPr>
              <w:t xml:space="preserve">40,448 GB / 23,671 GB</w:t>
            </w:r>
          </w:p>
        </w:tc>
      </w:tr>
      <w:tr>
        <w:trPr>
          <w:cantSplit w:val="1"/>
        </w:trPr>
        <w:tc>
          <w:tcPr>
            <w:tcW w:w="5200" w:type="dxa"/>
            <w:noWrap/>
          </w:tcPr>
          <w:p>
            <w:pPr>
              <w:pStyle w:val="cell"/>
            </w:pPr>
            <w:r>
              <w:rPr>
                <w:sz w:val="18"/>
                <w:szCs w:val="18"/>
              </w:rPr>
              <w:t xml:space="preserve">Storage (all components, usable) / raw</w:t>
            </w:r>
          </w:p>
        </w:tc>
        <w:tc>
          <w:tcPr>
            <w:tcW w:w="4400" w:type="dxa"/>
            <w:noWrap/>
          </w:tcPr>
          <w:p>
            <w:pPr>
              <w:pStyle w:val="cell"/>
            </w:pPr>
            <w:r>
              <w:rPr>
                <w:sz w:val="18"/>
                <w:szCs w:val="18"/>
              </w:rPr>
              <w:t xml:space="preserve">1,451.11 TB / 648.69 TB</w:t>
            </w:r>
          </w:p>
        </w:tc>
      </w:tr>
      <w:tr>
        <w:trPr>
          <w:cantSplit w:val="1"/>
        </w:trPr>
        <w:tc>
          <w:tcPr>
            <w:tcW w:w="5200" w:type="dxa"/>
            <w:shd w:val="clear" w:fill="F3F1EC"/>
            <w:noWrap/>
          </w:tcPr>
          <w:p>
            <w:pPr>
              <w:pStyle w:val="cell"/>
            </w:pPr>
            <w:r>
              <w:rPr>
                <w:sz w:val="18"/>
                <w:szCs w:val="18"/>
              </w:rPr>
              <w:t xml:space="preserve">Peak IOPS (assumption-based unless measured)</w:t>
            </w:r>
          </w:p>
        </w:tc>
        <w:tc>
          <w:tcPr>
            <w:tcW w:w="4400" w:type="dxa"/>
            <w:shd w:val="clear" w:fill="F3F1EC"/>
            <w:noWrap/>
          </w:tcPr>
          <w:p>
            <w:pPr>
              <w:pStyle w:val="cell"/>
            </w:pPr>
            <w:r>
              <w:rPr>
                <w:sz w:val="18"/>
                <w:szCs w:val="18"/>
              </w:rPr>
              <w:t xml:space="preserve">44,500</w:t>
            </w:r>
          </w:p>
        </w:tc>
      </w:tr>
      <w:tr>
        <w:trPr>
          <w:cantSplit w:val="1"/>
        </w:trPr>
        <w:tc>
          <w:tcPr>
            <w:tcW w:w="5200" w:type="dxa"/>
            <w:noWrap/>
          </w:tcPr>
          <w:p>
            <w:pPr>
              <w:pStyle w:val="cell"/>
            </w:pPr>
            <w:r>
              <w:rPr>
                <w:sz w:val="18"/>
                <w:szCs w:val="18"/>
              </w:rPr>
              <w:t xml:space="preserve">Display bandwidth (total / external)</w:t>
            </w:r>
          </w:p>
        </w:tc>
        <w:tc>
          <w:tcPr>
            <w:tcW w:w="4400" w:type="dxa"/>
            <w:noWrap/>
          </w:tcPr>
          <w:p>
            <w:pPr>
              <w:pStyle w:val="cell"/>
            </w:pPr>
            <w:r>
              <w:rPr>
                <w:sz w:val="18"/>
                <w:szCs w:val="18"/>
              </w:rPr>
              <w:t xml:space="preserve">1,887.5 / 377.5 Mbps</w:t>
            </w:r>
          </w:p>
        </w:tc>
      </w:tr>
      <w:tr>
        <w:trPr>
          <w:cantSplit w:val="1"/>
        </w:trPr>
        <w:tc>
          <w:tcPr>
            <w:tcW w:w="5200" w:type="dxa"/>
            <w:shd w:val="clear" w:fill="F3F1EC"/>
            <w:noWrap/>
          </w:tcPr>
          <w:p>
            <w:pPr>
              <w:pStyle w:val="cell"/>
            </w:pPr>
            <w:r>
              <w:rPr>
                <w:sz w:val="18"/>
                <w:szCs w:val="18"/>
              </w:rPr>
              <w:t xml:space="preserve">Connection Servers / UAG / pods</w:t>
            </w:r>
          </w:p>
        </w:tc>
        <w:tc>
          <w:tcPr>
            <w:tcW w:w="4400" w:type="dxa"/>
            <w:shd w:val="clear" w:fill="F3F1EC"/>
            <w:noWrap/>
          </w:tcPr>
          <w:p>
            <w:pPr>
              <w:pStyle w:val="cell"/>
            </w:pPr>
            <w:r>
              <w:rPr>
                <w:sz w:val="18"/>
                <w:szCs w:val="18"/>
              </w:rPr>
              <w:t xml:space="preserve">4 / 2 / 2</w:t>
            </w:r>
          </w:p>
        </w:tc>
      </w:tr>
      <w:tr>
        <w:trPr>
          <w:cantSplit w:val="1"/>
        </w:trPr>
        <w:tc>
          <w:tcPr>
            <w:tcW w:w="5200" w:type="dxa"/>
            <w:noWrap/>
          </w:tcPr>
          <w:p>
            <w:pPr>
              <w:pStyle w:val="cell"/>
            </w:pPr>
            <w:r>
              <w:rPr>
                <w:sz w:val="18"/>
                <w:szCs w:val="18"/>
              </w:rPr>
              <w:t xml:space="preserve">GPU boards</w:t>
            </w:r>
          </w:p>
        </w:tc>
        <w:tc>
          <w:tcPr>
            <w:tcW w:w="4400" w:type="dxa"/>
            <w:noWrap/>
          </w:tcPr>
          <w:p>
            <w:pPr>
              <w:pStyle w:val="cell"/>
            </w:pPr>
            <w:r>
              <w:rPr>
                <w:sz w:val="18"/>
                <w:szCs w:val="18"/>
              </w:rPr>
              <w:t xml:space="preserve">25</w:t>
            </w:r>
          </w:p>
        </w:tc>
      </w:tr>
    </w:tbl>
    <w:p>
      <w:pPr>
        <w:rPr>
          <w:sz w:val="8"/>
          <w:szCs w:val="8"/>
        </w:rPr>
      </w:pPr>
    </w:p>
    <w:p>
      <w:pPr>
        <w:pStyle w:val="Heading2"/>
      </w:pPr>
      <w:bookmarkStart w:id="2" w:name="_Toc2"/>
      <w:r>
        <w:t>Scenarios</w:t>
      </w:r>
      <w:bookmarkEnd w:id="2"/>
    </w:p>
    <w:tbl>
      <w:tblGrid>
        <w:gridCol w:w="3000" w:type="dxa"/>
        <w:gridCol w:w="900" w:type="dxa"/>
        <w:gridCol w:w="1000" w:type="dxa"/>
        <w:gridCol w:w="800" w:type="dxa"/>
        <w:gridCol w:w="900" w:type="dxa"/>
        <w:gridCol w:w="1000" w:type="dxa"/>
        <w:gridCol w:w="900" w:type="dxa"/>
        <w:gridCol w:w="1300" w:type="dxa"/>
      </w:tblGrid>
      <w:tblPr>
        <w:tblStyle w:val="grid"/>
      </w:tblPr>
      <w:tr>
        <w:trPr>
          <w:tblHeader w:val="1"/>
          <w:cantSplit w:val="1"/>
        </w:trPr>
        <w:tc>
          <w:tcPr>
            <w:tcW w:w="3000" w:type="dxa"/>
            <w:shd w:val="clear" w:fill="0B0B0B"/>
            <w:noWrap/>
          </w:tcPr>
          <w:p>
            <w:pPr>
              <w:pStyle w:val="cell"/>
            </w:pPr>
            <w:r>
              <w:rPr>
                <w:color w:val="FFFFFF"/>
                <w:sz w:val="17"/>
                <w:szCs w:val="17"/>
                <w:b w:val="1"/>
                <w:bCs w:val="1"/>
              </w:rPr>
              <w:t xml:space="preserve">Scenario</w:t>
            </w:r>
          </w:p>
        </w:tc>
        <w:tc>
          <w:tcPr>
            <w:tcW w:w="900" w:type="dxa"/>
            <w:shd w:val="clear" w:fill="0B0B0B"/>
            <w:noWrap/>
          </w:tcPr>
          <w:p>
            <w:pPr>
              <w:pStyle w:val="cell"/>
            </w:pPr>
            <w:r>
              <w:rPr>
                <w:color w:val="FFFFFF"/>
                <w:sz w:val="17"/>
                <w:szCs w:val="17"/>
                <w:b w:val="1"/>
                <w:bCs w:val="1"/>
              </w:rPr>
              <w:t xml:space="preserve">Users</w:t>
            </w:r>
          </w:p>
        </w:tc>
        <w:tc>
          <w:tcPr>
            <w:tcW w:w="1000" w:type="dxa"/>
            <w:shd w:val="clear" w:fill="0B0B0B"/>
            <w:noWrap/>
          </w:tcPr>
          <w:p>
            <w:pPr>
              <w:pStyle w:val="cell"/>
            </w:pPr>
            <w:r>
              <w:rPr>
                <w:color w:val="FFFFFF"/>
                <w:sz w:val="17"/>
                <w:szCs w:val="17"/>
                <w:b w:val="1"/>
                <w:bCs w:val="1"/>
              </w:rPr>
              <w:t xml:space="preserve">Sessions</w:t>
            </w:r>
          </w:p>
        </w:tc>
        <w:tc>
          <w:tcPr>
            <w:tcW w:w="800" w:type="dxa"/>
            <w:shd w:val="clear" w:fill="0B0B0B"/>
            <w:noWrap/>
          </w:tcPr>
          <w:p>
            <w:pPr>
              <w:pStyle w:val="cell"/>
            </w:pPr>
            <w:r>
              <w:rPr>
                <w:color w:val="FFFFFF"/>
                <w:sz w:val="17"/>
                <w:szCs w:val="17"/>
                <w:b w:val="1"/>
                <w:bCs w:val="1"/>
              </w:rPr>
              <w:t xml:space="preserve">Hosts</w:t>
            </w:r>
          </w:p>
        </w:tc>
        <w:tc>
          <w:tcPr>
            <w:tcW w:w="900" w:type="dxa"/>
            <w:shd w:val="clear" w:fill="0B0B0B"/>
            <w:noWrap/>
          </w:tcPr>
          <w:p>
            <w:pPr>
              <w:pStyle w:val="cell"/>
            </w:pPr>
            <w:r>
              <w:rPr>
                <w:color w:val="FFFFFF"/>
                <w:sz w:val="17"/>
                <w:szCs w:val="17"/>
                <w:b w:val="1"/>
                <w:bCs w:val="1"/>
              </w:rPr>
              <w:t xml:space="preserve">Cores</w:t>
            </w:r>
          </w:p>
        </w:tc>
        <w:tc>
          <w:tcPr>
            <w:tcW w:w="1000" w:type="dxa"/>
            <w:shd w:val="clear" w:fill="0B0B0B"/>
            <w:noWrap/>
          </w:tcPr>
          <w:p>
            <w:pPr>
              <w:pStyle w:val="cell"/>
            </w:pPr>
            <w:r>
              <w:rPr>
                <w:color w:val="FFFFFF"/>
                <w:sz w:val="17"/>
                <w:szCs w:val="17"/>
                <w:b w:val="1"/>
                <w:bCs w:val="1"/>
              </w:rPr>
              <w:t xml:space="preserve">RAM GB</w:t>
            </w:r>
          </w:p>
        </w:tc>
        <w:tc>
          <w:tcPr>
            <w:tcW w:w="900" w:type="dxa"/>
            <w:shd w:val="clear" w:fill="0B0B0B"/>
            <w:noWrap/>
          </w:tcPr>
          <w:p>
            <w:pPr>
              <w:pStyle w:val="cell"/>
            </w:pPr>
            <w:r>
              <w:rPr>
                <w:color w:val="FFFFFF"/>
                <w:sz w:val="17"/>
                <w:szCs w:val="17"/>
                <w:b w:val="1"/>
                <w:bCs w:val="1"/>
              </w:rPr>
              <w:t xml:space="preserve">Raw TB</w:t>
            </w:r>
          </w:p>
        </w:tc>
        <w:tc>
          <w:tcPr>
            <w:tcW w:w="1300" w:type="dxa"/>
            <w:shd w:val="clear" w:fill="0B0B0B"/>
            <w:noWrap/>
          </w:tcPr>
          <w:p>
            <w:pPr>
              <w:pStyle w:val="cell"/>
            </w:pPr>
            <w:r>
              <w:rPr>
                <w:color w:val="FFFFFF"/>
                <w:sz w:val="17"/>
                <w:szCs w:val="17"/>
                <w:b w:val="1"/>
                <w:bCs w:val="1"/>
              </w:rPr>
              <w:t xml:space="preserve">CPU / RAM used</w:t>
            </w:r>
          </w:p>
        </w:tc>
      </w:tr>
      <w:tr>
        <w:trPr>
          <w:cantSplit w:val="1"/>
        </w:trPr>
        <w:tc>
          <w:tcPr>
            <w:tcW w:w="3000" w:type="dxa"/>
            <w:noWrap/>
          </w:tcPr>
          <w:p>
            <w:pPr>
              <w:pStyle w:val="cell"/>
            </w:pPr>
            <w:r>
              <w:rPr>
                <w:sz w:val="17"/>
                <w:szCs w:val="17"/>
              </w:rPr>
              <w:t xml:space="preserve">Baseline — current users, no failure reserve</w:t>
            </w:r>
          </w:p>
        </w:tc>
        <w:tc>
          <w:tcPr>
            <w:tcW w:w="900" w:type="dxa"/>
            <w:noWrap/>
          </w:tcPr>
          <w:p>
            <w:pPr>
              <w:pStyle w:val="cell"/>
            </w:pPr>
            <w:r>
              <w:rPr>
                <w:sz w:val="17"/>
                <w:szCs w:val="17"/>
              </w:rPr>
              <w:t xml:space="preserve">3,050</w:t>
            </w:r>
          </w:p>
        </w:tc>
        <w:tc>
          <w:tcPr>
            <w:tcW w:w="1000" w:type="dxa"/>
            <w:noWrap/>
          </w:tcPr>
          <w:p>
            <w:pPr>
              <w:pStyle w:val="cell"/>
            </w:pPr>
            <w:r>
              <w:rPr>
                <w:sz w:val="17"/>
                <w:szCs w:val="17"/>
              </w:rPr>
              <w:t xml:space="preserve">2,510</w:t>
            </w:r>
          </w:p>
        </w:tc>
        <w:tc>
          <w:tcPr>
            <w:tcW w:w="800" w:type="dxa"/>
            <w:noWrap/>
          </w:tcPr>
          <w:p>
            <w:pPr>
              <w:pStyle w:val="cell"/>
            </w:pPr>
            <w:r>
              <w:rPr>
                <w:sz w:val="17"/>
                <w:szCs w:val="17"/>
              </w:rPr>
              <w:t xml:space="preserve">33</w:t>
            </w:r>
          </w:p>
        </w:tc>
        <w:tc>
          <w:tcPr>
            <w:tcW w:w="900" w:type="dxa"/>
            <w:noWrap/>
          </w:tcPr>
          <w:p>
            <w:pPr>
              <w:pStyle w:val="cell"/>
            </w:pPr>
            <w:r>
              <w:rPr>
                <w:sz w:val="17"/>
                <w:szCs w:val="17"/>
              </w:rPr>
              <w:t xml:space="preserve">2,048</w:t>
            </w:r>
          </w:p>
        </w:tc>
        <w:tc>
          <w:tcPr>
            <w:tcW w:w="1000" w:type="dxa"/>
            <w:noWrap/>
          </w:tcPr>
          <w:p>
            <w:pPr>
              <w:pStyle w:val="cell"/>
            </w:pPr>
            <w:r>
              <w:rPr>
                <w:sz w:val="17"/>
                <w:szCs w:val="17"/>
              </w:rPr>
              <w:t xml:space="preserve">37,888</w:t>
            </w:r>
          </w:p>
        </w:tc>
        <w:tc>
          <w:tcPr>
            <w:tcW w:w="900" w:type="dxa"/>
            <w:noWrap/>
          </w:tcPr>
          <w:p>
            <w:pPr>
              <w:pStyle w:val="cell"/>
            </w:pPr>
            <w:r>
              <w:rPr>
                <w:sz w:val="17"/>
                <w:szCs w:val="17"/>
              </w:rPr>
              <w:t xml:space="preserve">648.7</w:t>
            </w:r>
          </w:p>
        </w:tc>
        <w:tc>
          <w:tcPr>
            <w:tcW w:w="1300" w:type="dxa"/>
            <w:noWrap/>
          </w:tcPr>
          <w:p>
            <w:pPr>
              <w:pStyle w:val="cell"/>
            </w:pPr>
            <w:r>
              <w:rPr>
                <w:sz w:val="17"/>
                <w:szCs w:val="17"/>
              </w:rPr>
              <w:t xml:space="preserve">93.8% / 95.6%</w:t>
            </w:r>
          </w:p>
        </w:tc>
      </w:tr>
      <w:tr>
        <w:trPr>
          <w:cantSplit w:val="1"/>
        </w:trPr>
        <w:tc>
          <w:tcPr>
            <w:tcW w:w="3000" w:type="dxa"/>
            <w:shd w:val="clear" w:fill="F3F1EC"/>
            <w:noWrap/>
          </w:tcPr>
          <w:p>
            <w:pPr>
              <w:pStyle w:val="cell"/>
            </w:pPr>
            <w:r>
              <w:rPr>
                <w:sz w:val="17"/>
                <w:szCs w:val="17"/>
              </w:rPr>
              <w:t xml:space="preserve">Balanced (recommended) — configured failure tolerance and headroom</w:t>
            </w:r>
          </w:p>
        </w:tc>
        <w:tc>
          <w:tcPr>
            <w:tcW w:w="900" w:type="dxa"/>
            <w:shd w:val="clear" w:fill="F3F1EC"/>
            <w:noWrap/>
          </w:tcPr>
          <w:p>
            <w:pPr>
              <w:pStyle w:val="cell"/>
            </w:pPr>
            <w:r>
              <w:rPr>
                <w:sz w:val="17"/>
                <w:szCs w:val="17"/>
              </w:rPr>
              <w:t xml:space="preserve">3,050</w:t>
            </w:r>
          </w:p>
        </w:tc>
        <w:tc>
          <w:tcPr>
            <w:tcW w:w="1000" w:type="dxa"/>
            <w:shd w:val="clear" w:fill="F3F1EC"/>
            <w:noWrap/>
          </w:tcPr>
          <w:p>
            <w:pPr>
              <w:pStyle w:val="cell"/>
            </w:pPr>
            <w:r>
              <w:rPr>
                <w:sz w:val="17"/>
                <w:szCs w:val="17"/>
              </w:rPr>
              <w:t xml:space="preserve">2,510</w:t>
            </w:r>
          </w:p>
        </w:tc>
        <w:tc>
          <w:tcPr>
            <w:tcW w:w="800" w:type="dxa"/>
            <w:shd w:val="clear" w:fill="F3F1EC"/>
            <w:noWrap/>
          </w:tcPr>
          <w:p>
            <w:pPr>
              <w:pStyle w:val="cell"/>
            </w:pPr>
            <w:r>
              <w:rPr>
                <w:sz w:val="17"/>
                <w:szCs w:val="17"/>
              </w:rPr>
              <w:t xml:space="preserve">35</w:t>
            </w:r>
          </w:p>
        </w:tc>
        <w:tc>
          <w:tcPr>
            <w:tcW w:w="900" w:type="dxa"/>
            <w:shd w:val="clear" w:fill="F3F1EC"/>
            <w:noWrap/>
          </w:tcPr>
          <w:p>
            <w:pPr>
              <w:pStyle w:val="cell"/>
            </w:pPr>
            <w:r>
              <w:rPr>
                <w:sz w:val="17"/>
                <w:szCs w:val="17"/>
              </w:rPr>
              <w:t xml:space="preserve">2,176</w:t>
            </w:r>
          </w:p>
        </w:tc>
        <w:tc>
          <w:tcPr>
            <w:tcW w:w="1000" w:type="dxa"/>
            <w:shd w:val="clear" w:fill="F3F1EC"/>
            <w:noWrap/>
          </w:tcPr>
          <w:p>
            <w:pPr>
              <w:pStyle w:val="cell"/>
            </w:pPr>
            <w:r>
              <w:rPr>
                <w:sz w:val="17"/>
                <w:szCs w:val="17"/>
              </w:rPr>
              <w:t xml:space="preserve">40,448</w:t>
            </w:r>
          </w:p>
        </w:tc>
        <w:tc>
          <w:tcPr>
            <w:tcW w:w="900" w:type="dxa"/>
            <w:shd w:val="clear" w:fill="F3F1EC"/>
            <w:noWrap/>
          </w:tcPr>
          <w:p>
            <w:pPr>
              <w:pStyle w:val="cell"/>
            </w:pPr>
            <w:r>
              <w:rPr>
                <w:sz w:val="17"/>
                <w:szCs w:val="17"/>
              </w:rPr>
              <w:t xml:space="preserve">648.7</w:t>
            </w:r>
          </w:p>
        </w:tc>
        <w:tc>
          <w:tcPr>
            <w:tcW w:w="1300" w:type="dxa"/>
            <w:shd w:val="clear" w:fill="F3F1EC"/>
            <w:noWrap/>
          </w:tcPr>
          <w:p>
            <w:pPr>
              <w:pStyle w:val="cell"/>
            </w:pPr>
            <w:r>
              <w:rPr>
                <w:sz w:val="17"/>
                <w:szCs w:val="17"/>
              </w:rPr>
              <w:t xml:space="preserve">87.6% / 91.2%</w:t>
            </w:r>
          </w:p>
        </w:tc>
      </w:tr>
      <w:tr>
        <w:trPr>
          <w:cantSplit w:val="1"/>
        </w:trPr>
        <w:tc>
          <w:tcPr>
            <w:tcW w:w="3000" w:type="dxa"/>
            <w:noWrap/>
          </w:tcPr>
          <w:p>
            <w:pPr>
              <w:pStyle w:val="cell"/>
            </w:pPr>
            <w:r>
              <w:rPr>
                <w:sz w:val="17"/>
                <w:szCs w:val="17"/>
              </w:rPr>
              <w:t xml:space="preserve">Performance-oriented — lower consolidation and utilization targets</w:t>
            </w:r>
          </w:p>
        </w:tc>
        <w:tc>
          <w:tcPr>
            <w:tcW w:w="900" w:type="dxa"/>
            <w:noWrap/>
          </w:tcPr>
          <w:p>
            <w:pPr>
              <w:pStyle w:val="cell"/>
            </w:pPr>
            <w:r>
              <w:rPr>
                <w:sz w:val="17"/>
                <w:szCs w:val="17"/>
              </w:rPr>
              <w:t xml:space="preserve">3,050</w:t>
            </w:r>
          </w:p>
        </w:tc>
        <w:tc>
          <w:tcPr>
            <w:tcW w:w="1000" w:type="dxa"/>
            <w:noWrap/>
          </w:tcPr>
          <w:p>
            <w:pPr>
              <w:pStyle w:val="cell"/>
            </w:pPr>
            <w:r>
              <w:rPr>
                <w:sz w:val="17"/>
                <w:szCs w:val="17"/>
              </w:rPr>
              <w:t xml:space="preserve">2,510</w:t>
            </w:r>
          </w:p>
        </w:tc>
        <w:tc>
          <w:tcPr>
            <w:tcW w:w="800" w:type="dxa"/>
            <w:noWrap/>
          </w:tcPr>
          <w:p>
            <w:pPr>
              <w:pStyle w:val="cell"/>
            </w:pPr>
            <w:r>
              <w:rPr>
                <w:sz w:val="17"/>
                <w:szCs w:val="17"/>
              </w:rPr>
              <w:t xml:space="preserve">43</w:t>
            </w:r>
          </w:p>
        </w:tc>
        <w:tc>
          <w:tcPr>
            <w:tcW w:w="900" w:type="dxa"/>
            <w:noWrap/>
          </w:tcPr>
          <w:p>
            <w:pPr>
              <w:pStyle w:val="cell"/>
            </w:pPr>
            <w:r>
              <w:rPr>
                <w:sz w:val="17"/>
                <w:szCs w:val="17"/>
              </w:rPr>
              <w:t xml:space="preserve">2,688</w:t>
            </w:r>
          </w:p>
        </w:tc>
        <w:tc>
          <w:tcPr>
            <w:tcW w:w="1000" w:type="dxa"/>
            <w:noWrap/>
          </w:tcPr>
          <w:p>
            <w:pPr>
              <w:pStyle w:val="cell"/>
            </w:pPr>
            <w:r>
              <w:rPr>
                <w:sz w:val="17"/>
                <w:szCs w:val="17"/>
              </w:rPr>
              <w:t xml:space="preserve">50,176</w:t>
            </w:r>
          </w:p>
        </w:tc>
        <w:tc>
          <w:tcPr>
            <w:tcW w:w="900" w:type="dxa"/>
            <w:noWrap/>
          </w:tcPr>
          <w:p>
            <w:pPr>
              <w:pStyle w:val="cell"/>
            </w:pPr>
            <w:r>
              <w:rPr>
                <w:sz w:val="17"/>
                <w:szCs w:val="17"/>
              </w:rPr>
              <w:t xml:space="preserve">648.7</w:t>
            </w:r>
          </w:p>
        </w:tc>
        <w:tc>
          <w:tcPr>
            <w:tcW w:w="1300" w:type="dxa"/>
            <w:noWrap/>
          </w:tcPr>
          <w:p>
            <w:pPr>
              <w:pStyle w:val="cell"/>
            </w:pPr>
            <w:r>
              <w:rPr>
                <w:sz w:val="17"/>
                <w:szCs w:val="17"/>
              </w:rPr>
              <w:t xml:space="preserve">95.2% / 78.5%</w:t>
            </w:r>
          </w:p>
        </w:tc>
      </w:tr>
      <w:tr>
        <w:trPr>
          <w:cantSplit w:val="1"/>
        </w:trPr>
        <w:tc>
          <w:tcPr>
            <w:tcW w:w="3000" w:type="dxa"/>
            <w:shd w:val="clear" w:fill="F3F1EC"/>
            <w:noWrap/>
          </w:tcPr>
          <w:p>
            <w:pPr>
              <w:pStyle w:val="cell"/>
            </w:pPr>
            <w:r>
              <w:rPr>
                <w:sz w:val="17"/>
                <w:szCs w:val="17"/>
              </w:rPr>
              <w:t xml:space="preserve">Failure scenario — balanced design with FTT hosts out of service</w:t>
            </w:r>
          </w:p>
        </w:tc>
        <w:tc>
          <w:tcPr>
            <w:tcW w:w="900" w:type="dxa"/>
            <w:shd w:val="clear" w:fill="F3F1EC"/>
            <w:noWrap/>
          </w:tcPr>
          <w:p>
            <w:pPr>
              <w:pStyle w:val="cell"/>
            </w:pPr>
            <w:r>
              <w:rPr>
                <w:sz w:val="17"/>
                <w:szCs w:val="17"/>
              </w:rPr>
              <w:t xml:space="preserve">3,050</w:t>
            </w:r>
          </w:p>
        </w:tc>
        <w:tc>
          <w:tcPr>
            <w:tcW w:w="1000" w:type="dxa"/>
            <w:shd w:val="clear" w:fill="F3F1EC"/>
            <w:noWrap/>
          </w:tcPr>
          <w:p>
            <w:pPr>
              <w:pStyle w:val="cell"/>
            </w:pPr>
            <w:r>
              <w:rPr>
                <w:sz w:val="17"/>
                <w:szCs w:val="17"/>
              </w:rPr>
              <w:t xml:space="preserve">2,510</w:t>
            </w:r>
          </w:p>
        </w:tc>
        <w:tc>
          <w:tcPr>
            <w:tcW w:w="800" w:type="dxa"/>
            <w:shd w:val="clear" w:fill="F3F1EC"/>
            <w:noWrap/>
          </w:tcPr>
          <w:p>
            <w:pPr>
              <w:pStyle w:val="cell"/>
            </w:pPr>
            <w:r>
              <w:rPr>
                <w:sz w:val="17"/>
                <w:szCs w:val="17"/>
              </w:rPr>
              <w:t xml:space="preserve">35</w:t>
            </w:r>
          </w:p>
        </w:tc>
        <w:tc>
          <w:tcPr>
            <w:tcW w:w="900" w:type="dxa"/>
            <w:shd w:val="clear" w:fill="F3F1EC"/>
            <w:noWrap/>
          </w:tcPr>
          <w:p>
            <w:pPr>
              <w:pStyle w:val="cell"/>
            </w:pPr>
            <w:r>
              <w:rPr>
                <w:sz w:val="17"/>
                <w:szCs w:val="17"/>
              </w:rPr>
              <w:t xml:space="preserve">2,176</w:t>
            </w:r>
          </w:p>
        </w:tc>
        <w:tc>
          <w:tcPr>
            <w:tcW w:w="1000" w:type="dxa"/>
            <w:shd w:val="clear" w:fill="F3F1EC"/>
            <w:noWrap/>
          </w:tcPr>
          <w:p>
            <w:pPr>
              <w:pStyle w:val="cell"/>
            </w:pPr>
            <w:r>
              <w:rPr>
                <w:sz w:val="17"/>
                <w:szCs w:val="17"/>
              </w:rPr>
              <w:t xml:space="preserve">40,448</w:t>
            </w:r>
          </w:p>
        </w:tc>
        <w:tc>
          <w:tcPr>
            <w:tcW w:w="900" w:type="dxa"/>
            <w:shd w:val="clear" w:fill="F3F1EC"/>
            <w:noWrap/>
          </w:tcPr>
          <w:p>
            <w:pPr>
              <w:pStyle w:val="cell"/>
            </w:pPr>
            <w:r>
              <w:rPr>
                <w:sz w:val="17"/>
                <w:szCs w:val="17"/>
              </w:rPr>
              <w:t xml:space="preserve">648.7</w:t>
            </w:r>
          </w:p>
        </w:tc>
        <w:tc>
          <w:tcPr>
            <w:tcW w:w="1300" w:type="dxa"/>
            <w:shd w:val="clear" w:fill="F3F1EC"/>
            <w:noWrap/>
          </w:tcPr>
          <w:p>
            <w:pPr>
              <w:pStyle w:val="cell"/>
            </w:pPr>
            <w:r>
              <w:rPr>
                <w:sz w:val="17"/>
                <w:szCs w:val="17"/>
              </w:rPr>
              <w:t xml:space="preserve">93.8% / 95.6%</w:t>
            </w:r>
          </w:p>
        </w:tc>
      </w:tr>
      <w:tr>
        <w:trPr>
          <w:cantSplit w:val="1"/>
        </w:trPr>
        <w:tc>
          <w:tcPr>
            <w:tcW w:w="3000" w:type="dxa"/>
            <w:noWrap/>
          </w:tcPr>
          <w:p>
            <w:pPr>
              <w:pStyle w:val="cell"/>
            </w:pPr>
            <w:r>
              <w:rPr>
                <w:sz w:val="17"/>
                <w:szCs w:val="17"/>
              </w:rPr>
              <w:t xml:space="preserve">Growth — balanced design with users grown over the planning horizon</w:t>
            </w:r>
          </w:p>
        </w:tc>
        <w:tc>
          <w:tcPr>
            <w:tcW w:w="900" w:type="dxa"/>
            <w:noWrap/>
          </w:tcPr>
          <w:p>
            <w:pPr>
              <w:pStyle w:val="cell"/>
            </w:pPr>
            <w:r>
              <w:rPr>
                <w:sz w:val="17"/>
                <w:szCs w:val="17"/>
              </w:rPr>
              <w:t xml:space="preserve">4,483</w:t>
            </w:r>
          </w:p>
        </w:tc>
        <w:tc>
          <w:tcPr>
            <w:tcW w:w="1000" w:type="dxa"/>
            <w:noWrap/>
          </w:tcPr>
          <w:p>
            <w:pPr>
              <w:pStyle w:val="cell"/>
            </w:pPr>
            <w:r>
              <w:rPr>
                <w:sz w:val="17"/>
                <w:szCs w:val="17"/>
              </w:rPr>
              <w:t xml:space="preserve">3,691</w:t>
            </w:r>
          </w:p>
        </w:tc>
        <w:tc>
          <w:tcPr>
            <w:tcW w:w="800" w:type="dxa"/>
            <w:noWrap/>
          </w:tcPr>
          <w:p>
            <w:pPr>
              <w:pStyle w:val="cell"/>
            </w:pPr>
            <w:r>
              <w:rPr>
                <w:sz w:val="17"/>
                <w:szCs w:val="17"/>
              </w:rPr>
              <w:t xml:space="preserve">48</w:t>
            </w:r>
          </w:p>
        </w:tc>
        <w:tc>
          <w:tcPr>
            <w:tcW w:w="900" w:type="dxa"/>
            <w:noWrap/>
          </w:tcPr>
          <w:p>
            <w:pPr>
              <w:pStyle w:val="cell"/>
            </w:pPr>
            <w:r>
              <w:rPr>
                <w:sz w:val="17"/>
                <w:szCs w:val="17"/>
              </w:rPr>
              <w:t xml:space="preserve">3,008</w:t>
            </w:r>
          </w:p>
        </w:tc>
        <w:tc>
          <w:tcPr>
            <w:tcW w:w="1000" w:type="dxa"/>
            <w:noWrap/>
          </w:tcPr>
          <w:p>
            <w:pPr>
              <w:pStyle w:val="cell"/>
            </w:pPr>
            <w:r>
              <w:rPr>
                <w:sz w:val="17"/>
                <w:szCs w:val="17"/>
              </w:rPr>
              <w:t xml:space="preserve">55,808</w:t>
            </w:r>
          </w:p>
        </w:tc>
        <w:tc>
          <w:tcPr>
            <w:tcW w:w="900" w:type="dxa"/>
            <w:noWrap/>
          </w:tcPr>
          <w:p>
            <w:pPr>
              <w:pStyle w:val="cell"/>
            </w:pPr>
            <w:r>
              <w:rPr>
                <w:sz w:val="17"/>
                <w:szCs w:val="17"/>
              </w:rPr>
              <w:t xml:space="preserve">951.6</w:t>
            </w:r>
          </w:p>
        </w:tc>
        <w:tc>
          <w:tcPr>
            <w:tcW w:w="1300" w:type="dxa"/>
            <w:noWrap/>
          </w:tcPr>
          <w:p>
            <w:pPr>
              <w:pStyle w:val="cell"/>
            </w:pPr>
            <w:r>
              <w:rPr>
                <w:sz w:val="17"/>
                <w:szCs w:val="17"/>
              </w:rPr>
              <w:t xml:space="preserve">92.1% / 95.2%</w:t>
            </w:r>
          </w:p>
        </w:tc>
      </w:tr>
    </w:tbl>
    <w:p>
      <w:pPr>
        <w:rPr>
          <w:sz w:val="8"/>
          <w:szCs w:val="8"/>
        </w:rPr>
      </w:pPr>
    </w:p>
    <w:p>
      <w:pPr>
        <w:pStyle w:val="Heading1"/>
      </w:pPr>
      <w:bookmarkStart w:id="3" w:name="_Toc3"/>
      <w:r>
        <w:t>2. Customer requirements</w:t>
      </w:r>
      <w:bookmarkEnd w:id="3"/>
    </w:p>
    <w:tbl>
      <w:tblGrid>
        <w:gridCol w:w="3000" w:type="dxa"/>
        <w:gridCol w:w="6600" w:type="dxa"/>
      </w:tblGrid>
      <w:tblPr>
        <w:tblStyle w:val="grid"/>
      </w:tblPr>
      <w:tr>
        <w:trPr>
          <w:tblHeader w:val="1"/>
          <w:cantSplit w:val="1"/>
        </w:trPr>
        <w:tc>
          <w:tcPr>
            <w:tcW w:w="3000" w:type="dxa"/>
            <w:shd w:val="clear" w:fill="0B0B0B"/>
            <w:noWrap/>
          </w:tcPr>
          <w:p>
            <w:pPr>
              <w:pStyle w:val="cell"/>
            </w:pPr>
            <w:r>
              <w:rPr>
                <w:color w:val="FFFFFF"/>
                <w:sz w:val="18"/>
                <w:szCs w:val="18"/>
                <w:b w:val="1"/>
                <w:bCs w:val="1"/>
              </w:rPr>
              <w:t xml:space="preserve">Item</w:t>
            </w:r>
          </w:p>
        </w:tc>
        <w:tc>
          <w:tcPr>
            <w:tcW w:w="6600" w:type="dxa"/>
            <w:shd w:val="clear" w:fill="0B0B0B"/>
            <w:noWrap/>
          </w:tcPr>
          <w:p>
            <w:pPr>
              <w:pStyle w:val="cell"/>
            </w:pPr>
            <w:r>
              <w:rPr>
                <w:color w:val="FFFFFF"/>
                <w:sz w:val="18"/>
                <w:szCs w:val="18"/>
                <w:b w:val="1"/>
                <w:bCs w:val="1"/>
              </w:rPr>
              <w:t xml:space="preserve">Value</w:t>
            </w:r>
          </w:p>
        </w:tc>
      </w:tr>
      <w:tr>
        <w:trPr>
          <w:cantSplit w:val="1"/>
        </w:trPr>
        <w:tc>
          <w:tcPr>
            <w:tcW w:w="3000" w:type="dxa"/>
            <w:noWrap/>
          </w:tcPr>
          <w:p>
            <w:pPr>
              <w:pStyle w:val="cell"/>
            </w:pPr>
            <w:r>
              <w:rPr>
                <w:sz w:val="18"/>
                <w:szCs w:val="18"/>
              </w:rPr>
              <w:t xml:space="preserve">Customer</w:t>
            </w:r>
          </w:p>
        </w:tc>
        <w:tc>
          <w:tcPr>
            <w:tcW w:w="6600" w:type="dxa"/>
            <w:noWrap/>
          </w:tcPr>
          <w:p>
            <w:pPr>
              <w:pStyle w:val="cell"/>
            </w:pPr>
            <w:r>
              <w:rPr>
                <w:sz w:val="18"/>
                <w:szCs w:val="18"/>
              </w:rPr>
              <w:t xml:space="preserve">Fabrikam Engineering (fictitious)</w:t>
            </w:r>
          </w:p>
        </w:tc>
      </w:tr>
      <w:tr>
        <w:trPr>
          <w:cantSplit w:val="1"/>
        </w:trPr>
        <w:tc>
          <w:tcPr>
            <w:tcW w:w="3000" w:type="dxa"/>
            <w:shd w:val="clear" w:fill="F3F1EC"/>
            <w:noWrap/>
          </w:tcPr>
          <w:p>
            <w:pPr>
              <w:pStyle w:val="cell"/>
            </w:pPr>
            <w:r>
              <w:rPr>
                <w:sz w:val="18"/>
                <w:szCs w:val="18"/>
              </w:rPr>
              <w:t xml:space="preserve">Industry / region</w:t>
            </w:r>
          </w:p>
        </w:tc>
        <w:tc>
          <w:tcPr>
            <w:tcW w:w="6600" w:type="dxa"/>
            <w:shd w:val="clear" w:fill="F3F1EC"/>
            <w:noWrap/>
          </w:tcPr>
          <w:p>
            <w:pPr>
              <w:pStyle w:val="cell"/>
            </w:pPr>
            <w:r>
              <w:rPr>
                <w:sz w:val="18"/>
                <w:szCs w:val="18"/>
              </w:rPr>
              <w:t xml:space="preserve">Engineering / manufacturing / North America</w:t>
            </w:r>
          </w:p>
        </w:tc>
      </w:tr>
      <w:tr>
        <w:trPr>
          <w:cantSplit w:val="1"/>
        </w:trPr>
        <w:tc>
          <w:tcPr>
            <w:tcW w:w="3000" w:type="dxa"/>
            <w:noWrap/>
          </w:tcPr>
          <w:p>
            <w:pPr>
              <w:pStyle w:val="cell"/>
            </w:pPr>
            <w:r>
              <w:rPr>
                <w:sz w:val="18"/>
                <w:szCs w:val="18"/>
              </w:rPr>
              <w:t xml:space="preserve">Project</w:t>
            </w:r>
          </w:p>
        </w:tc>
        <w:tc>
          <w:tcPr>
            <w:tcW w:w="6600" w:type="dxa"/>
            <w:noWrap/>
          </w:tcPr>
          <w:p>
            <w:pPr>
              <w:pStyle w:val="cell"/>
            </w:pPr>
            <w:r>
              <w:rPr>
                <w:sz w:val="18"/>
                <w:szCs w:val="18"/>
              </w:rPr>
              <w:t xml:space="preserve">Sample — Engineering design studio, three-tier FC with GPU</w:t>
            </w:r>
          </w:p>
        </w:tc>
      </w:tr>
      <w:tr>
        <w:trPr>
          <w:cantSplit w:val="1"/>
        </w:trPr>
        <w:tc>
          <w:tcPr>
            <w:tcW w:w="3000" w:type="dxa"/>
            <w:shd w:val="clear" w:fill="F3F1EC"/>
            <w:noWrap/>
          </w:tcPr>
          <w:p>
            <w:pPr>
              <w:pStyle w:val="cell"/>
            </w:pPr>
            <w:r>
              <w:rPr>
                <w:sz w:val="18"/>
                <w:szCs w:val="18"/>
              </w:rPr>
              <w:t xml:space="preserve">Description</w:t>
            </w:r>
          </w:p>
        </w:tc>
        <w:tc>
          <w:tcPr>
            <w:tcW w:w="6600" w:type="dxa"/>
            <w:shd w:val="clear" w:fill="F3F1EC"/>
            <w:noWrap/>
          </w:tcPr>
          <w:p>
            <w:pPr>
              <w:pStyle w:val="cell"/>
            </w:pPr>
            <w:r>
              <w:rPr>
                <w:sz w:val="18"/>
                <w:szCs w:val="18"/>
              </w:rPr>
              <w:t xml:space="preserve">Persistent desktops for engineers, NVIDIA vGPU workstations for CAD, developers on dedicated desktops, Fibre Channel array, DR at 50 %.</w:t>
            </w:r>
          </w:p>
        </w:tc>
      </w:tr>
      <w:tr>
        <w:trPr>
          <w:cantSplit w:val="1"/>
        </w:trPr>
        <w:tc>
          <w:tcPr>
            <w:tcW w:w="3000" w:type="dxa"/>
            <w:noWrap/>
          </w:tcPr>
          <w:p>
            <w:pPr>
              <w:pStyle w:val="cell"/>
            </w:pPr>
            <w:r>
              <w:rPr>
                <w:sz w:val="18"/>
                <w:szCs w:val="18"/>
              </w:rPr>
              <w:t xml:space="preserve">Deployment model</w:t>
            </w:r>
          </w:p>
        </w:tc>
        <w:tc>
          <w:tcPr>
            <w:tcW w:w="6600" w:type="dxa"/>
            <w:noWrap/>
          </w:tcPr>
          <w:p>
            <w:pPr>
              <w:pStyle w:val="cell"/>
            </w:pPr>
            <w:r>
              <w:rPr>
                <w:sz w:val="18"/>
                <w:szCs w:val="18"/>
              </w:rPr>
              <w:t xml:space="preserve">On-premises Horizon 8</w:t>
            </w:r>
          </w:p>
        </w:tc>
      </w:tr>
      <w:tr>
        <w:trPr>
          <w:cantSplit w:val="1"/>
        </w:trPr>
        <w:tc>
          <w:tcPr>
            <w:tcW w:w="3000" w:type="dxa"/>
            <w:shd w:val="clear" w:fill="F3F1EC"/>
            <w:noWrap/>
          </w:tcPr>
          <w:p>
            <w:pPr>
              <w:pStyle w:val="cell"/>
            </w:pPr>
            <w:r>
              <w:rPr>
                <w:sz w:val="18"/>
                <w:szCs w:val="18"/>
              </w:rPr>
              <w:t xml:space="preserve">Sites</w:t>
            </w:r>
          </w:p>
        </w:tc>
        <w:tc>
          <w:tcPr>
            <w:tcW w:w="6600" w:type="dxa"/>
            <w:shd w:val="clear" w:fill="F3F1EC"/>
            <w:noWrap/>
          </w:tcPr>
          <w:p>
            <w:pPr>
              <w:pStyle w:val="cell"/>
            </w:pPr>
            <w:r>
              <w:rPr>
                <w:sz w:val="18"/>
                <w:szCs w:val="18"/>
              </w:rPr>
              <w:t xml:space="preserve">2</w:t>
            </w:r>
          </w:p>
        </w:tc>
      </w:tr>
      <w:tr>
        <w:trPr>
          <w:cantSplit w:val="1"/>
        </w:trPr>
        <w:tc>
          <w:tcPr>
            <w:tcW w:w="3000" w:type="dxa"/>
            <w:noWrap/>
          </w:tcPr>
          <w:p>
            <w:pPr>
              <w:pStyle w:val="cell"/>
            </w:pPr>
            <w:r>
              <w:rPr>
                <w:sz w:val="18"/>
                <w:szCs w:val="18"/>
              </w:rPr>
              <w:t xml:space="preserve">Access</w:t>
            </w:r>
          </w:p>
        </w:tc>
        <w:tc>
          <w:tcPr>
            <w:tcW w:w="6600" w:type="dxa"/>
            <w:noWrap/>
          </w:tcPr>
          <w:p>
            <w:pPr>
              <w:pStyle w:val="cell"/>
            </w:pPr>
            <w:r>
              <w:rPr>
                <w:sz w:val="18"/>
                <w:szCs w:val="18"/>
              </w:rPr>
              <w:t xml:space="preserve">Internal (direct), external via UAG (20% of sessions)</w:t>
            </w:r>
          </w:p>
        </w:tc>
      </w:tr>
      <w:tr>
        <w:trPr>
          <w:cantSplit w:val="1"/>
        </w:trPr>
        <w:tc>
          <w:tcPr>
            <w:tcW w:w="3000" w:type="dxa"/>
            <w:shd w:val="clear" w:fill="F3F1EC"/>
            <w:noWrap/>
          </w:tcPr>
          <w:p>
            <w:pPr>
              <w:pStyle w:val="cell"/>
            </w:pPr>
            <w:r>
              <w:rPr>
                <w:sz w:val="18"/>
                <w:szCs w:val="18"/>
              </w:rPr>
              <w:t xml:space="preserve">Display protocols</w:t>
            </w:r>
          </w:p>
        </w:tc>
        <w:tc>
          <w:tcPr>
            <w:tcW w:w="6600" w:type="dxa"/>
            <w:shd w:val="clear" w:fill="F3F1EC"/>
            <w:noWrap/>
          </w:tcPr>
          <w:p>
            <w:pPr>
              <w:pStyle w:val="cell"/>
            </w:pPr>
            <w:r>
              <w:rPr>
                <w:sz w:val="18"/>
                <w:szCs w:val="18"/>
              </w:rPr>
              <w:t xml:space="preserve">BLAST, PCOIP</w:t>
            </w:r>
          </w:p>
        </w:tc>
      </w:tr>
      <w:tr>
        <w:trPr>
          <w:cantSplit w:val="1"/>
        </w:trPr>
        <w:tc>
          <w:tcPr>
            <w:tcW w:w="3000" w:type="dxa"/>
            <w:noWrap/>
          </w:tcPr>
          <w:p>
            <w:pPr>
              <w:pStyle w:val="cell"/>
            </w:pPr>
            <w:r>
              <w:rPr>
                <w:sz w:val="18"/>
                <w:szCs w:val="18"/>
              </w:rPr>
              <w:t xml:space="preserve">Availability</w:t>
            </w:r>
          </w:p>
        </w:tc>
        <w:tc>
          <w:tcPr>
            <w:tcW w:w="6600" w:type="dxa"/>
            <w:noWrap/>
          </w:tcPr>
          <w:p>
            <w:pPr>
              <w:pStyle w:val="cell"/>
            </w:pPr>
            <w:r>
              <w:rPr>
                <w:sz w:val="18"/>
                <w:szCs w:val="18"/>
              </w:rPr>
              <w:t xml:space="preserve">N+1 per cluster; RPO 24 h, RTO 8 h; DR site at 50%</w:t>
            </w:r>
          </w:p>
        </w:tc>
      </w:tr>
      <w:tr>
        <w:trPr>
          <w:cantSplit w:val="1"/>
        </w:trPr>
        <w:tc>
          <w:tcPr>
            <w:tcW w:w="3000" w:type="dxa"/>
            <w:shd w:val="clear" w:fill="F3F1EC"/>
            <w:noWrap/>
          </w:tcPr>
          <w:p>
            <w:pPr>
              <w:pStyle w:val="cell"/>
            </w:pPr>
            <w:r>
              <w:rPr>
                <w:sz w:val="18"/>
                <w:szCs w:val="18"/>
              </w:rPr>
              <w:t xml:space="preserve">Growth</w:t>
            </w:r>
          </w:p>
        </w:tc>
        <w:tc>
          <w:tcPr>
            <w:tcW w:w="6600" w:type="dxa"/>
            <w:shd w:val="clear" w:fill="F3F1EC"/>
            <w:noWrap/>
          </w:tcPr>
          <w:p>
            <w:pPr>
              <w:pStyle w:val="cell"/>
            </w:pPr>
            <w:r>
              <w:rPr>
                <w:sz w:val="18"/>
                <w:szCs w:val="18"/>
              </w:rPr>
              <w:t xml:space="preserve">8% per year for 5 years</w:t>
            </w:r>
          </w:p>
        </w:tc>
      </w:tr>
    </w:tbl>
    <w:p>
      <w:pPr>
        <w:rPr>
          <w:sz w:val="8"/>
          <w:szCs w:val="8"/>
        </w:rPr>
      </w:pPr>
    </w:p>
    <w:p>
      <w:pPr>
        <w:pStyle w:val="Heading2"/>
      </w:pPr>
      <w:bookmarkStart w:id="4" w:name="_Toc4"/>
      <w:r>
        <w:t>Workloads</w:t>
      </w:r>
      <w:bookmarkEnd w:id="4"/>
    </w:p>
    <w:tbl>
      <w:tblGrid>
        <w:gridCol w:w="1900" w:type="dxa"/>
        <w:gridCol w:w="1500" w:type="dxa"/>
        <w:gridCol w:w="900" w:type="dxa"/>
        <w:gridCol w:w="1000" w:type="dxa"/>
        <w:gridCol w:w="3100" w:type="dxa"/>
        <w:gridCol w:w="1500" w:type="dxa"/>
      </w:tblGrid>
      <w:tblPr>
        <w:tblStyle w:val="grid"/>
      </w:tblPr>
      <w:tr>
        <w:trPr>
          <w:tblHeader w:val="1"/>
          <w:cantSplit w:val="1"/>
        </w:trPr>
        <w:tc>
          <w:tcPr>
            <w:tcW w:w="1900" w:type="dxa"/>
            <w:shd w:val="clear" w:fill="0B0B0B"/>
            <w:noWrap/>
          </w:tcPr>
          <w:p>
            <w:pPr>
              <w:pStyle w:val="cell"/>
            </w:pPr>
            <w:r>
              <w:rPr>
                <w:color w:val="FFFFFF"/>
                <w:sz w:val="17"/>
                <w:szCs w:val="17"/>
                <w:b w:val="1"/>
                <w:bCs w:val="1"/>
              </w:rPr>
              <w:t xml:space="preserve">Workload</w:t>
            </w:r>
          </w:p>
        </w:tc>
        <w:tc>
          <w:tcPr>
            <w:tcW w:w="1500" w:type="dxa"/>
            <w:shd w:val="clear" w:fill="0B0B0B"/>
            <w:noWrap/>
          </w:tcPr>
          <w:p>
            <w:pPr>
              <w:pStyle w:val="cell"/>
            </w:pPr>
            <w:r>
              <w:rPr>
                <w:color w:val="FFFFFF"/>
                <w:sz w:val="17"/>
                <w:szCs w:val="17"/>
                <w:b w:val="1"/>
                <w:bCs w:val="1"/>
              </w:rPr>
              <w:t xml:space="preserve">Type</w:t>
            </w:r>
          </w:p>
        </w:tc>
        <w:tc>
          <w:tcPr>
            <w:tcW w:w="900" w:type="dxa"/>
            <w:shd w:val="clear" w:fill="0B0B0B"/>
            <w:noWrap/>
          </w:tcPr>
          <w:p>
            <w:pPr>
              <w:pStyle w:val="cell"/>
            </w:pPr>
            <w:r>
              <w:rPr>
                <w:color w:val="FFFFFF"/>
                <w:sz w:val="17"/>
                <w:szCs w:val="17"/>
                <w:b w:val="1"/>
                <w:bCs w:val="1"/>
              </w:rPr>
              <w:t xml:space="preserve">Users</w:t>
            </w:r>
          </w:p>
        </w:tc>
        <w:tc>
          <w:tcPr>
            <w:tcW w:w="1000" w:type="dxa"/>
            <w:shd w:val="clear" w:fill="0B0B0B"/>
            <w:noWrap/>
          </w:tcPr>
          <w:p>
            <w:pPr>
              <w:pStyle w:val="cell"/>
            </w:pPr>
            <w:r>
              <w:rPr>
                <w:color w:val="FFFFFF"/>
                <w:sz w:val="17"/>
                <w:szCs w:val="17"/>
                <w:b w:val="1"/>
                <w:bCs w:val="1"/>
              </w:rPr>
              <w:t xml:space="preserve">Concurrency</w:t>
            </w:r>
          </w:p>
        </w:tc>
        <w:tc>
          <w:tcPr>
            <w:tcW w:w="3100" w:type="dxa"/>
            <w:shd w:val="clear" w:fill="0B0B0B"/>
            <w:noWrap/>
          </w:tcPr>
          <w:p>
            <w:pPr>
              <w:pStyle w:val="cell"/>
            </w:pPr>
            <w:r>
              <w:rPr>
                <w:color w:val="FFFFFF"/>
                <w:sz w:val="17"/>
                <w:szCs w:val="17"/>
                <w:b w:val="1"/>
                <w:bCs w:val="1"/>
              </w:rPr>
              <w:t xml:space="preserve">Sizing inputs</w:t>
            </w:r>
          </w:p>
        </w:tc>
        <w:tc>
          <w:tcPr>
            <w:tcW w:w="1500" w:type="dxa"/>
            <w:shd w:val="clear" w:fill="0B0B0B"/>
            <w:noWrap/>
          </w:tcPr>
          <w:p>
            <w:pPr>
              <w:pStyle w:val="cell"/>
            </w:pPr>
            <w:r>
              <w:rPr>
                <w:color w:val="FFFFFF"/>
                <w:sz w:val="17"/>
                <w:szCs w:val="17"/>
                <w:b w:val="1"/>
                <w:bCs w:val="1"/>
              </w:rPr>
              <w:t xml:space="preserve">OS</w:t>
            </w:r>
          </w:p>
        </w:tc>
      </w:tr>
      <w:tr>
        <w:trPr>
          <w:cantSplit w:val="1"/>
        </w:trPr>
        <w:tc>
          <w:tcPr>
            <w:tcW w:w="1900" w:type="dxa"/>
            <w:noWrap/>
          </w:tcPr>
          <w:p>
            <w:pPr>
              <w:pStyle w:val="cell"/>
            </w:pPr>
            <w:r>
              <w:rPr>
                <w:sz w:val="17"/>
                <w:szCs w:val="17"/>
              </w:rPr>
              <w:t xml:space="preserve">Engineering office users</w:t>
            </w:r>
          </w:p>
        </w:tc>
        <w:tc>
          <w:tcPr>
            <w:tcW w:w="1500" w:type="dxa"/>
            <w:noWrap/>
          </w:tcPr>
          <w:p>
            <w:pPr>
              <w:pStyle w:val="cell"/>
            </w:pPr>
            <w:r>
              <w:rPr>
                <w:sz w:val="17"/>
                <w:szCs w:val="17"/>
              </w:rPr>
              <w:t xml:space="preserve">VDI dedicated / persistent</w:t>
            </w:r>
          </w:p>
        </w:tc>
        <w:tc>
          <w:tcPr>
            <w:tcW w:w="900" w:type="dxa"/>
            <w:noWrap/>
          </w:tcPr>
          <w:p>
            <w:pPr>
              <w:pStyle w:val="cell"/>
            </w:pPr>
            <w:r>
              <w:rPr>
                <w:sz w:val="17"/>
                <w:szCs w:val="17"/>
              </w:rPr>
              <w:t xml:space="preserve">2,500</w:t>
            </w:r>
          </w:p>
        </w:tc>
        <w:tc>
          <w:tcPr>
            <w:tcW w:w="1000" w:type="dxa"/>
            <w:noWrap/>
          </w:tcPr>
          <w:p>
            <w:pPr>
              <w:pStyle w:val="cell"/>
            </w:pPr>
            <w:r>
              <w:rPr>
                <w:sz w:val="17"/>
                <w:szCs w:val="17"/>
              </w:rPr>
              <w:t xml:space="preserve">80%</w:t>
            </w:r>
          </w:p>
        </w:tc>
        <w:tc>
          <w:tcPr>
            <w:tcW w:w="3100" w:type="dxa"/>
            <w:noWrap/>
          </w:tcPr>
          <w:p>
            <w:pPr>
              <w:pStyle w:val="cell"/>
            </w:pPr>
            <w:r>
              <w:rPr>
                <w:sz w:val="17"/>
                <w:szCs w:val="17"/>
              </w:rPr>
              <w:t xml:space="preserve">2 vCPU / 6 GB / 100 GB, 2 × 1080p</w:t>
            </w:r>
          </w:p>
        </w:tc>
        <w:tc>
          <w:tcPr>
            <w:tcW w:w="1500" w:type="dxa"/>
            <w:noWrap/>
          </w:tcPr>
          <w:p>
            <w:pPr>
              <w:pStyle w:val="cell"/>
            </w:pPr>
            <w:r>
              <w:rPr>
                <w:sz w:val="17"/>
                <w:szCs w:val="17"/>
              </w:rPr>
              <w:t xml:space="preserve">Windows 11 Enterprise</w:t>
            </w:r>
          </w:p>
        </w:tc>
      </w:tr>
      <w:tr>
        <w:trPr>
          <w:cantSplit w:val="1"/>
        </w:trPr>
        <w:tc>
          <w:tcPr>
            <w:tcW w:w="1900" w:type="dxa"/>
            <w:shd w:val="clear" w:fill="F3F1EC"/>
            <w:noWrap/>
          </w:tcPr>
          <w:p>
            <w:pPr>
              <w:pStyle w:val="cell"/>
            </w:pPr>
            <w:r>
              <w:rPr>
                <w:sz w:val="17"/>
                <w:szCs w:val="17"/>
              </w:rPr>
              <w:t xml:space="preserve">CAD workstations (vGPU)</w:t>
            </w:r>
          </w:p>
        </w:tc>
        <w:tc>
          <w:tcPr>
            <w:tcW w:w="1500" w:type="dxa"/>
            <w:shd w:val="clear" w:fill="F3F1EC"/>
            <w:noWrap/>
          </w:tcPr>
          <w:p>
            <w:pPr>
              <w:pStyle w:val="cell"/>
            </w:pPr>
            <w:r>
              <w:rPr>
                <w:sz w:val="17"/>
                <w:szCs w:val="17"/>
              </w:rPr>
              <w:t xml:space="preserve">VDI dedicated / persistent</w:t>
            </w:r>
          </w:p>
        </w:tc>
        <w:tc>
          <w:tcPr>
            <w:tcW w:w="900" w:type="dxa"/>
            <w:shd w:val="clear" w:fill="F3F1EC"/>
            <w:noWrap/>
          </w:tcPr>
          <w:p>
            <w:pPr>
              <w:pStyle w:val="cell"/>
            </w:pPr>
            <w:r>
              <w:rPr>
                <w:sz w:val="17"/>
                <w:szCs w:val="17"/>
              </w:rPr>
              <w:t xml:space="preserve">150</w:t>
            </w:r>
          </w:p>
        </w:tc>
        <w:tc>
          <w:tcPr>
            <w:tcW w:w="1000" w:type="dxa"/>
            <w:shd w:val="clear" w:fill="F3F1EC"/>
            <w:noWrap/>
          </w:tcPr>
          <w:p>
            <w:pPr>
              <w:pStyle w:val="cell"/>
            </w:pPr>
            <w:r>
              <w:rPr>
                <w:sz w:val="17"/>
                <w:szCs w:val="17"/>
              </w:rPr>
              <w:t xml:space="preserve">100%</w:t>
            </w:r>
          </w:p>
        </w:tc>
        <w:tc>
          <w:tcPr>
            <w:tcW w:w="3100" w:type="dxa"/>
            <w:shd w:val="clear" w:fill="F3F1EC"/>
            <w:noWrap/>
          </w:tcPr>
          <w:p>
            <w:pPr>
              <w:pStyle w:val="cell"/>
            </w:pPr>
            <w:r>
              <w:rPr>
                <w:sz w:val="17"/>
                <w:szCs w:val="17"/>
              </w:rPr>
              <w:t xml:space="preserve">8 vCPU / 32 GB / 200 GB, 2 × 1080p, vgpu L40S-8Q</w:t>
            </w:r>
          </w:p>
        </w:tc>
        <w:tc>
          <w:tcPr>
            <w:tcW w:w="1500" w:type="dxa"/>
            <w:shd w:val="clear" w:fill="F3F1EC"/>
            <w:noWrap/>
          </w:tcPr>
          <w:p>
            <w:pPr>
              <w:pStyle w:val="cell"/>
            </w:pPr>
            <w:r>
              <w:rPr>
                <w:sz w:val="17"/>
                <w:szCs w:val="17"/>
              </w:rPr>
              <w:t xml:space="preserve">Windows 11 Enterprise</w:t>
            </w:r>
          </w:p>
        </w:tc>
      </w:tr>
      <w:tr>
        <w:trPr>
          <w:cantSplit w:val="1"/>
        </w:trPr>
        <w:tc>
          <w:tcPr>
            <w:tcW w:w="1900" w:type="dxa"/>
            <w:noWrap/>
          </w:tcPr>
          <w:p>
            <w:pPr>
              <w:pStyle w:val="cell"/>
            </w:pPr>
            <w:r>
              <w:rPr>
                <w:sz w:val="17"/>
                <w:szCs w:val="17"/>
              </w:rPr>
              <w:t xml:space="preserve">Software developers</w:t>
            </w:r>
          </w:p>
        </w:tc>
        <w:tc>
          <w:tcPr>
            <w:tcW w:w="1500" w:type="dxa"/>
            <w:noWrap/>
          </w:tcPr>
          <w:p>
            <w:pPr>
              <w:pStyle w:val="cell"/>
            </w:pPr>
            <w:r>
              <w:rPr>
                <w:sz w:val="17"/>
                <w:szCs w:val="17"/>
              </w:rPr>
              <w:t xml:space="preserve">VDI dedicated / persistent</w:t>
            </w:r>
          </w:p>
        </w:tc>
        <w:tc>
          <w:tcPr>
            <w:tcW w:w="900" w:type="dxa"/>
            <w:noWrap/>
          </w:tcPr>
          <w:p>
            <w:pPr>
              <w:pStyle w:val="cell"/>
            </w:pPr>
            <w:r>
              <w:rPr>
                <w:sz w:val="17"/>
                <w:szCs w:val="17"/>
              </w:rPr>
              <w:t xml:space="preserve">400</w:t>
            </w:r>
          </w:p>
        </w:tc>
        <w:tc>
          <w:tcPr>
            <w:tcW w:w="1000" w:type="dxa"/>
            <w:noWrap/>
          </w:tcPr>
          <w:p>
            <w:pPr>
              <w:pStyle w:val="cell"/>
            </w:pPr>
            <w:r>
              <w:rPr>
                <w:sz w:val="17"/>
                <w:szCs w:val="17"/>
              </w:rPr>
              <w:t xml:space="preserve">90%</w:t>
            </w:r>
          </w:p>
        </w:tc>
        <w:tc>
          <w:tcPr>
            <w:tcW w:w="3100" w:type="dxa"/>
            <w:noWrap/>
          </w:tcPr>
          <w:p>
            <w:pPr>
              <w:pStyle w:val="cell"/>
            </w:pPr>
            <w:r>
              <w:rPr>
                <w:sz w:val="17"/>
                <w:szCs w:val="17"/>
              </w:rPr>
              <w:t xml:space="preserve">4 vCPU / 8 GB / 100 GB, 2 × 1080p</w:t>
            </w:r>
          </w:p>
        </w:tc>
        <w:tc>
          <w:tcPr>
            <w:tcW w:w="1500" w:type="dxa"/>
            <w:noWrap/>
          </w:tcPr>
          <w:p>
            <w:pPr>
              <w:pStyle w:val="cell"/>
            </w:pPr>
            <w:r>
              <w:rPr>
                <w:sz w:val="17"/>
                <w:szCs w:val="17"/>
              </w:rPr>
              <w:t xml:space="preserve">Windows 11 Enterprise</w:t>
            </w:r>
          </w:p>
        </w:tc>
      </w:tr>
    </w:tbl>
    <w:p>
      <w:pPr>
        <w:rPr>
          <w:sz w:val="8"/>
          <w:szCs w:val="8"/>
        </w:rPr>
      </w:pPr>
    </w:p>
    <w:p>
      <w:pPr>
        <w:pStyle w:val="Heading1"/>
      </w:pPr>
      <w:bookmarkStart w:id="5" w:name="_Toc5"/>
      <w:r>
        <w:t>3. Workload assumptions</w:t>
      </w:r>
      <w:bookmarkEnd w:id="5"/>
    </w:p>
    <w:p>
      <w:pPr/>
      <w:r>
        <w:rPr>
          <w:color w:val="6B6B66"/>
          <w:sz w:val="18"/>
          <w:szCs w:val="18"/>
        </w:rPr>
        <w:t xml:space="preserve">Values are classified as Official (documented by Omnissa or the platform vendor), Customer (provided or measured), Assumption (configurable engineering assumption), Calculated, or Validate (requires vendor validation). Assumptions are not Omnissa recommendations.</w:t>
      </w:r>
    </w:p>
    <w:tbl>
      <w:tblGrid>
        <w:gridCol w:w="3200" w:type="dxa"/>
        <w:gridCol w:w="1900" w:type="dxa"/>
        <w:gridCol w:w="900" w:type="dxa"/>
        <w:gridCol w:w="1200" w:type="dxa"/>
        <w:gridCol w:w="2600" w:type="dxa"/>
      </w:tblGrid>
      <w:tblPr>
        <w:tblStyle w:val="grid"/>
      </w:tblPr>
      <w:tr>
        <w:trPr>
          <w:tblHeader w:val="1"/>
          <w:cantSplit w:val="1"/>
        </w:trPr>
        <w:tc>
          <w:tcPr>
            <w:tcW w:w="3200" w:type="dxa"/>
            <w:shd w:val="clear" w:fill="0B0B0B"/>
            <w:noWrap/>
          </w:tcPr>
          <w:p>
            <w:pPr>
              <w:pStyle w:val="cell"/>
            </w:pPr>
            <w:r>
              <w:rPr>
                <w:color w:val="FFFFFF"/>
                <w:sz w:val="16"/>
                <w:szCs w:val="16"/>
                <w:b w:val="1"/>
                <w:bCs w:val="1"/>
              </w:rPr>
              <w:t xml:space="preserve">Rule / assumption</w:t>
            </w:r>
          </w:p>
        </w:tc>
        <w:tc>
          <w:tcPr>
            <w:tcW w:w="1900" w:type="dxa"/>
            <w:shd w:val="clear" w:fill="0B0B0B"/>
            <w:noWrap/>
          </w:tcPr>
          <w:p>
            <w:pPr>
              <w:pStyle w:val="cell"/>
            </w:pPr>
            <w:r>
              <w:rPr>
                <w:color w:val="FFFFFF"/>
                <w:sz w:val="16"/>
                <w:szCs w:val="16"/>
                <w:b w:val="1"/>
                <w:bCs w:val="1"/>
              </w:rPr>
              <w:t xml:space="preserve">Value</w:t>
            </w:r>
          </w:p>
        </w:tc>
        <w:tc>
          <w:tcPr>
            <w:tcW w:w="900" w:type="dxa"/>
            <w:shd w:val="clear" w:fill="0B0B0B"/>
            <w:noWrap/>
          </w:tcPr>
          <w:p>
            <w:pPr>
              <w:pStyle w:val="cell"/>
            </w:pPr>
            <w:r>
              <w:rPr>
                <w:color w:val="FFFFFF"/>
                <w:sz w:val="16"/>
                <w:szCs w:val="16"/>
                <w:b w:val="1"/>
                <w:bCs w:val="1"/>
              </w:rPr>
              <w:t xml:space="preserve">Unit</w:t>
            </w:r>
          </w:p>
        </w:tc>
        <w:tc>
          <w:tcPr>
            <w:tcW w:w="1200" w:type="dxa"/>
            <w:shd w:val="clear" w:fill="0B0B0B"/>
            <w:noWrap/>
          </w:tcPr>
          <w:p>
            <w:pPr>
              <w:pStyle w:val="cell"/>
            </w:pPr>
            <w:r>
              <w:rPr>
                <w:color w:val="FFFFFF"/>
                <w:sz w:val="16"/>
                <w:szCs w:val="16"/>
                <w:b w:val="1"/>
                <w:bCs w:val="1"/>
              </w:rPr>
              <w:t xml:space="preserve">Class</w:t>
            </w:r>
          </w:p>
        </w:tc>
        <w:tc>
          <w:tcPr>
            <w:tcW w:w="2600" w:type="dxa"/>
            <w:shd w:val="clear" w:fill="0B0B0B"/>
            <w:noWrap/>
          </w:tcPr>
          <w:p>
            <w:pPr>
              <w:pStyle w:val="cell"/>
            </w:pPr>
            <w:r>
              <w:rPr>
                <w:color w:val="FFFFFF"/>
                <w:sz w:val="16"/>
                <w:szCs w:val="16"/>
                <w:b w:val="1"/>
                <w:bCs w:val="1"/>
              </w:rPr>
              <w:t xml:space="preserve">Source</w:t>
            </w:r>
          </w:p>
        </w:tc>
      </w:tr>
      <w:tr>
        <w:trPr>
          <w:cantSplit w:val="1"/>
        </w:trPr>
        <w:tc>
          <w:tcPr>
            <w:tcW w:w="3200" w:type="dxa"/>
            <w:noWrap/>
          </w:tcPr>
          <w:p>
            <w:pPr>
              <w:pStyle w:val="cell"/>
            </w:pPr>
            <w:r>
              <w:rPr>
                <w:sz w:val="16"/>
                <w:szCs w:val="16"/>
              </w:rPr>
              <w:t xml:space="preserve">vCPU recommended for hardware-accelerated 3D</w:t>
            </w:r>
          </w:p>
        </w:tc>
        <w:tc>
          <w:tcPr>
            <w:tcW w:w="1900" w:type="dxa"/>
            <w:noWrap/>
          </w:tcPr>
          <w:p>
            <w:pPr>
              <w:pStyle w:val="cell"/>
            </w:pPr>
            <w:r>
              <w:rPr>
                <w:sz w:val="16"/>
                <w:szCs w:val="16"/>
              </w:rPr>
              <w:t xml:space="preserve">2</w:t>
            </w:r>
          </w:p>
        </w:tc>
        <w:tc>
          <w:tcPr>
            <w:tcW w:w="900" w:type="dxa"/>
            <w:noWrap/>
          </w:tcPr>
          <w:p>
            <w:pPr>
              <w:pStyle w:val="cell"/>
            </w:pPr>
            <w:r>
              <w:rPr>
                <w:sz w:val="16"/>
                <w:szCs w:val="16"/>
              </w:rPr>
              <w:t xml:space="preserve">vCPU</w:t>
            </w:r>
          </w:p>
        </w:tc>
        <w:tc>
          <w:tcPr>
            <w:tcW w:w="1200" w:type="dxa"/>
            <w:noWrap/>
          </w:tcPr>
          <w:p>
            <w:pPr>
              <w:pStyle w:val="cell"/>
            </w:pPr>
            <w:r>
              <w:rPr>
                <w:sz w:val="16"/>
                <w:szCs w:val="16"/>
              </w:rPr>
              <w:t xml:space="preserve">Official</w:t>
            </w:r>
          </w:p>
        </w:tc>
        <w:tc>
          <w:tcPr>
            <w:tcW w:w="2600" w:type="dxa"/>
            <w:noWrap/>
          </w:tcPr>
          <w:p>
            <w:pPr>
              <w:pStyle w:val="cell"/>
            </w:pPr>
            <w:r>
              <w:rPr>
                <w:sz w:val="16"/>
                <w:szCs w:val="16"/>
              </w:rPr>
              <w:t xml:space="preserve">Estimating Memory Requirements for Virtual Machine Desktops</w:t>
            </w:r>
          </w:p>
        </w:tc>
      </w:tr>
      <w:tr>
        <w:trPr>
          <w:cantSplit w:val="1"/>
        </w:trPr>
        <w:tc>
          <w:tcPr>
            <w:tcW w:w="3200" w:type="dxa"/>
            <w:shd w:val="clear" w:fill="F3F1EC"/>
            <w:noWrap/>
          </w:tcPr>
          <w:p>
            <w:pPr>
              <w:pStyle w:val="cell"/>
            </w:pPr>
            <w:r>
              <w:rPr>
                <w:sz w:val="16"/>
                <w:szCs w:val="16"/>
              </w:rPr>
              <w:t xml:space="preserve">3D rendering monitor limit</w:t>
            </w:r>
          </w:p>
        </w:tc>
        <w:tc>
          <w:tcPr>
            <w:tcW w:w="1900" w:type="dxa"/>
            <w:shd w:val="clear" w:fill="F3F1EC"/>
            <w:noWrap/>
          </w:tcPr>
          <w:p>
            <w:pPr>
              <w:pStyle w:val="cell"/>
            </w:pPr>
            <w:r>
              <w:rPr>
                <w:sz w:val="16"/>
                <w:szCs w:val="16"/>
              </w:rPr>
              <w:t xml:space="preserve">monitors: 2, max_resolution: 1920x1200, uhd4k_monitors: 1</w:t>
            </w:r>
          </w:p>
        </w:tc>
        <w:tc>
          <w:tcPr>
            <w:tcW w:w="900" w:type="dxa"/>
            <w:shd w:val="clear" w:fill="F3F1EC"/>
            <w:noWrap/>
          </w:tcPr>
          <w:p>
            <w:pPr>
              <w:pStyle w:val="cell"/>
            </w:pPr>
            <w:r>
              <w:rPr>
                <w:sz w:val="16"/>
                <w:szCs w:val="16"/>
              </w:rPr>
              <w:t xml:space="preserve"/>
            </w:r>
          </w:p>
        </w:tc>
        <w:tc>
          <w:tcPr>
            <w:tcW w:w="1200" w:type="dxa"/>
            <w:shd w:val="clear" w:fill="F3F1EC"/>
            <w:noWrap/>
          </w:tcPr>
          <w:p>
            <w:pPr>
              <w:pStyle w:val="cell"/>
            </w:pPr>
            <w:r>
              <w:rPr>
                <w:sz w:val="16"/>
                <w:szCs w:val="16"/>
              </w:rPr>
              <w:t xml:space="preserve">Official</w:t>
            </w:r>
          </w:p>
        </w:tc>
        <w:tc>
          <w:tcPr>
            <w:tcW w:w="2600" w:type="dxa"/>
            <w:shd w:val="clear" w:fill="F3F1EC"/>
            <w:noWrap/>
          </w:tcPr>
          <w:p>
            <w:pPr>
              <w:pStyle w:val="cell"/>
            </w:pPr>
            <w:r>
              <w:rPr>
                <w:sz w:val="16"/>
                <w:szCs w:val="16"/>
              </w:rPr>
              <w:t xml:space="preserve">Monitors and Screen Resolution</w:t>
            </w:r>
          </w:p>
        </w:tc>
      </w:tr>
      <w:tr>
        <w:trPr>
          <w:cantSplit w:val="1"/>
        </w:trPr>
        <w:tc>
          <w:tcPr>
            <w:tcW w:w="3200" w:type="dxa"/>
            <w:noWrap/>
          </w:tcPr>
          <w:p>
            <w:pPr>
              <w:pStyle w:val="cell"/>
            </w:pPr>
            <w:r>
              <w:rPr>
                <w:sz w:val="16"/>
                <w:szCs w:val="16"/>
              </w:rPr>
              <w:t xml:space="preserve">Graphics acceleration by hypervisor</w:t>
            </w:r>
          </w:p>
        </w:tc>
        <w:tc>
          <w:tcPr>
            <w:tcW w:w="1900" w:type="dxa"/>
            <w:noWrap/>
          </w:tcPr>
          <w:p>
            <w:pPr>
              <w:pStyle w:val="cell"/>
            </w:pPr>
            <w:r>
              <w:rPr>
                <w:sz w:val="16"/>
                <w:szCs w:val="16"/>
              </w:rPr>
              <w:t xml:space="preserve">vgpu, vdga, vsga, mxgpu, soft3d</w:t>
            </w:r>
          </w:p>
        </w:tc>
        <w:tc>
          <w:tcPr>
            <w:tcW w:w="900" w:type="dxa"/>
            <w:noWrap/>
          </w:tcPr>
          <w:p>
            <w:pPr>
              <w:pStyle w:val="cell"/>
            </w:pPr>
            <w:r>
              <w:rPr>
                <w:sz w:val="16"/>
                <w:szCs w:val="16"/>
              </w:rPr>
              <w:t xml:space="preserve"/>
            </w:r>
          </w:p>
        </w:tc>
        <w:tc>
          <w:tcPr>
            <w:tcW w:w="1200" w:type="dxa"/>
            <w:noWrap/>
          </w:tcPr>
          <w:p>
            <w:pPr>
              <w:pStyle w:val="cell"/>
            </w:pPr>
            <w:r>
              <w:rPr>
                <w:sz w:val="16"/>
                <w:szCs w:val="16"/>
              </w:rPr>
              <w:t xml:space="preserve">Official</w:t>
            </w:r>
          </w:p>
        </w:tc>
        <w:tc>
          <w:tcPr>
            <w:tcW w:w="2600" w:type="dxa"/>
            <w:noWrap/>
          </w:tcPr>
          <w:p>
            <w:pPr>
              <w:pStyle w:val="cell"/>
            </w:pPr>
            <w:r>
              <w:rPr>
                <w:sz w:val="16"/>
                <w:szCs w:val="16"/>
              </w:rPr>
              <w:t xml:space="preserve">Using 3D Graphics Applications</w:t>
            </w:r>
          </w:p>
        </w:tc>
      </w:tr>
      <w:tr>
        <w:trPr>
          <w:cantSplit w:val="1"/>
        </w:trPr>
        <w:tc>
          <w:tcPr>
            <w:tcW w:w="3200" w:type="dxa"/>
            <w:shd w:val="clear" w:fill="F3F1EC"/>
            <w:noWrap/>
          </w:tcPr>
          <w:p>
            <w:pPr>
              <w:pStyle w:val="cell"/>
            </w:pPr>
            <w:r>
              <w:rPr>
                <w:sz w:val="16"/>
                <w:szCs w:val="16"/>
              </w:rPr>
              <w:t xml:space="preserve">Minimum vGPU frame buffer for hardware encoding</w:t>
            </w:r>
          </w:p>
        </w:tc>
        <w:tc>
          <w:tcPr>
            <w:tcW w:w="1900" w:type="dxa"/>
            <w:shd w:val="clear" w:fill="F3F1EC"/>
            <w:noWrap/>
          </w:tcPr>
          <w:p>
            <w:pPr>
              <w:pStyle w:val="cell"/>
            </w:pPr>
            <w:r>
              <w:rPr>
                <w:sz w:val="16"/>
                <w:szCs w:val="16"/>
              </w:rPr>
              <w:t xml:space="preserve">1,024</w:t>
            </w:r>
          </w:p>
        </w:tc>
        <w:tc>
          <w:tcPr>
            <w:tcW w:w="900" w:type="dxa"/>
            <w:shd w:val="clear" w:fill="F3F1EC"/>
            <w:noWrap/>
          </w:tcPr>
          <w:p>
            <w:pPr>
              <w:pStyle w:val="cell"/>
            </w:pPr>
            <w:r>
              <w:rPr>
                <w:sz w:val="16"/>
                <w:szCs w:val="16"/>
              </w:rPr>
              <w:t xml:space="preserve">MB</w:t>
            </w:r>
          </w:p>
        </w:tc>
        <w:tc>
          <w:tcPr>
            <w:tcW w:w="1200" w:type="dxa"/>
            <w:shd w:val="clear" w:fill="F3F1EC"/>
            <w:noWrap/>
          </w:tcPr>
          <w:p>
            <w:pPr>
              <w:pStyle w:val="cell"/>
            </w:pPr>
            <w:r>
              <w:rPr>
                <w:sz w:val="16"/>
                <w:szCs w:val="16"/>
              </w:rPr>
              <w:t xml:space="preserve">Official</w:t>
            </w:r>
          </w:p>
        </w:tc>
        <w:tc>
          <w:tcPr>
            <w:tcW w:w="2600" w:type="dxa"/>
            <w:shd w:val="clear" w:fill="F3F1EC"/>
            <w:noWrap/>
          </w:tcPr>
          <w:p>
            <w:pPr>
              <w:pStyle w:val="cell"/>
            </w:pPr>
            <w:r>
              <w:rPr>
                <w:sz w:val="16"/>
                <w:szCs w:val="16"/>
              </w:rPr>
              <w:t xml:space="preserve">Monitors and Screen Resolution</w:t>
            </w:r>
          </w:p>
        </w:tc>
      </w:tr>
      <w:tr>
        <w:trPr>
          <w:cantSplit w:val="1"/>
        </w:trPr>
        <w:tc>
          <w:tcPr>
            <w:tcW w:w="3200" w:type="dxa"/>
            <w:noWrap/>
          </w:tcPr>
          <w:p>
            <w:pPr>
              <w:pStyle w:val="cell"/>
            </w:pPr>
            <w:r>
              <w:rPr>
                <w:sz w:val="16"/>
                <w:szCs w:val="16"/>
              </w:rPr>
              <w:t xml:space="preserve">Design maximum hosts per cluster</w:t>
            </w:r>
          </w:p>
        </w:tc>
        <w:tc>
          <w:tcPr>
            <w:tcW w:w="1900" w:type="dxa"/>
            <w:noWrap/>
          </w:tcPr>
          <w:p>
            <w:pPr>
              <w:pStyle w:val="cell"/>
            </w:pPr>
            <w:r>
              <w:rPr>
                <w:sz w:val="16"/>
                <w:szCs w:val="16"/>
              </w:rPr>
              <w:t xml:space="preserve">32</w:t>
            </w:r>
          </w:p>
        </w:tc>
        <w:tc>
          <w:tcPr>
            <w:tcW w:w="900" w:type="dxa"/>
            <w:noWrap/>
          </w:tcPr>
          <w:p>
            <w:pPr>
              <w:pStyle w:val="cell"/>
            </w:pPr>
            <w:r>
              <w:rPr>
                <w:sz w:val="16"/>
                <w:szCs w:val="16"/>
              </w:rPr>
              <w:t xml:space="preserve">hosts</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Load balancer appliances per tier</w:t>
            </w:r>
          </w:p>
        </w:tc>
        <w:tc>
          <w:tcPr>
            <w:tcW w:w="1900" w:type="dxa"/>
            <w:shd w:val="clear" w:fill="F3F1EC"/>
            <w:noWrap/>
          </w:tcPr>
          <w:p>
            <w:pPr>
              <w:pStyle w:val="cell"/>
            </w:pPr>
            <w:r>
              <w:rPr>
                <w:sz w:val="16"/>
                <w:szCs w:val="16"/>
              </w:rPr>
              <w:t xml:space="preserve">2</w:t>
            </w:r>
          </w:p>
        </w:tc>
        <w:tc>
          <w:tcPr>
            <w:tcW w:w="900" w:type="dxa"/>
            <w:shd w:val="clear" w:fill="F3F1EC"/>
            <w:noWrap/>
          </w:tcPr>
          <w:p>
            <w:pPr>
              <w:pStyle w:val="cell"/>
            </w:pPr>
            <w:r>
              <w:rPr>
                <w:sz w:val="16"/>
                <w:szCs w:val="16"/>
              </w:rPr>
              <w:t xml:space="preserve">appliances</w:t>
            </w:r>
          </w:p>
        </w:tc>
        <w:tc>
          <w:tcPr>
            <w:tcW w:w="1200" w:type="dxa"/>
            <w:shd w:val="clear" w:fill="F3F1EC"/>
            <w:noWrap/>
          </w:tcPr>
          <w:p>
            <w:pPr>
              <w:pStyle w:val="cell"/>
            </w:pPr>
            <w:r>
              <w:rPr>
                <w:sz w:val="16"/>
                <w:szCs w:val="16"/>
              </w:rPr>
              <w:t xml:space="preserve">Assumption</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Minimum hosts in a management cluster</w:t>
            </w:r>
          </w:p>
        </w:tc>
        <w:tc>
          <w:tcPr>
            <w:tcW w:w="1900" w:type="dxa"/>
            <w:noWrap/>
          </w:tcPr>
          <w:p>
            <w:pPr>
              <w:pStyle w:val="cell"/>
            </w:pPr>
            <w:r>
              <w:rPr>
                <w:sz w:val="16"/>
                <w:szCs w:val="16"/>
              </w:rPr>
              <w:t xml:space="preserve">2</w:t>
            </w:r>
          </w:p>
        </w:tc>
        <w:tc>
          <w:tcPr>
            <w:tcW w:w="900" w:type="dxa"/>
            <w:noWrap/>
          </w:tcPr>
          <w:p>
            <w:pPr>
              <w:pStyle w:val="cell"/>
            </w:pPr>
            <w:r>
              <w:rPr>
                <w:sz w:val="16"/>
                <w:szCs w:val="16"/>
              </w:rPr>
              <w:t xml:space="preserve">hosts</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Infrastructure VM vCPU to physical core ratio</w:t>
            </w:r>
          </w:p>
        </w:tc>
        <w:tc>
          <w:tcPr>
            <w:tcW w:w="1900" w:type="dxa"/>
            <w:shd w:val="clear" w:fill="F3F1EC"/>
            <w:noWrap/>
          </w:tcPr>
          <w:p>
            <w:pPr>
              <w:pStyle w:val="cell"/>
            </w:pPr>
            <w:r>
              <w:rPr>
                <w:sz w:val="16"/>
                <w:szCs w:val="16"/>
              </w:rPr>
              <w:t xml:space="preserve">2</w:t>
            </w:r>
          </w:p>
        </w:tc>
        <w:tc>
          <w:tcPr>
            <w:tcW w:w="900" w:type="dxa"/>
            <w:shd w:val="clear" w:fill="F3F1EC"/>
            <w:noWrap/>
          </w:tcPr>
          <w:p>
            <w:pPr>
              <w:pStyle w:val="cell"/>
            </w:pPr>
            <w:r>
              <w:rPr>
                <w:sz w:val="16"/>
                <w:szCs w:val="16"/>
              </w:rPr>
              <w:t xml:space="preserve">vCPU/core</w:t>
            </w:r>
          </w:p>
        </w:tc>
        <w:tc>
          <w:tcPr>
            <w:tcW w:w="1200" w:type="dxa"/>
            <w:shd w:val="clear" w:fill="F3F1EC"/>
            <w:noWrap/>
          </w:tcPr>
          <w:p>
            <w:pPr>
              <w:pStyle w:val="cell"/>
            </w:pPr>
            <w:r>
              <w:rPr>
                <w:sz w:val="16"/>
                <w:szCs w:val="16"/>
              </w:rPr>
              <w:t xml:space="preserve">Assumption</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Events / App Volumes database server</w:t>
            </w:r>
          </w:p>
        </w:tc>
        <w:tc>
          <w:tcPr>
            <w:tcW w:w="1900" w:type="dxa"/>
            <w:noWrap/>
          </w:tcPr>
          <w:p>
            <w:pPr>
              <w:pStyle w:val="cell"/>
            </w:pPr>
            <w:r>
              <w:rPr>
                <w:sz w:val="16"/>
                <w:szCs w:val="16"/>
              </w:rPr>
              <w:t xml:space="preserve">vcpu: 4, ram_gb: 16, disk_gb: 200</w:t>
            </w:r>
          </w:p>
        </w:tc>
        <w:tc>
          <w:tcPr>
            <w:tcW w:w="900" w:type="dxa"/>
            <w:noWrap/>
          </w:tcPr>
          <w:p>
            <w:pPr>
              <w:pStyle w:val="cell"/>
            </w:pPr>
            <w:r>
              <w:rPr>
                <w:sz w:val="16"/>
                <w:szCs w:val="16"/>
              </w:rPr>
              <w:t xml:space="preserve"/>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Enrollment Server (True SSO)</w:t>
            </w:r>
          </w:p>
        </w:tc>
        <w:tc>
          <w:tcPr>
            <w:tcW w:w="1900" w:type="dxa"/>
            <w:shd w:val="clear" w:fill="F3F1EC"/>
            <w:noWrap/>
          </w:tcPr>
          <w:p>
            <w:pPr>
              <w:pStyle w:val="cell"/>
            </w:pPr>
            <w:r>
              <w:rPr>
                <w:sz w:val="16"/>
                <w:szCs w:val="16"/>
              </w:rPr>
              <w:t xml:space="preserve">vcpu: 4, ram_gb: 8, disk_gb: 70</w:t>
            </w:r>
          </w:p>
        </w:tc>
        <w:tc>
          <w:tcPr>
            <w:tcW w:w="900" w:type="dxa"/>
            <w:shd w:val="clear" w:fill="F3F1EC"/>
            <w:noWrap/>
          </w:tcPr>
          <w:p>
            <w:pPr>
              <w:pStyle w:val="cell"/>
            </w:pPr>
            <w:r>
              <w:rPr>
                <w:sz w:val="16"/>
                <w:szCs w:val="16"/>
              </w:rPr>
              <w:t xml:space="preserve"/>
            </w:r>
          </w:p>
        </w:tc>
        <w:tc>
          <w:tcPr>
            <w:tcW w:w="1200" w:type="dxa"/>
            <w:shd w:val="clear" w:fill="F3F1EC"/>
            <w:noWrap/>
          </w:tcPr>
          <w:p>
            <w:pPr>
              <w:pStyle w:val="cell"/>
            </w:pPr>
            <w:r>
              <w:rPr>
                <w:sz w:val="16"/>
                <w:szCs w:val="16"/>
              </w:rPr>
              <w:t xml:space="preserve">Assumption</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Horizon Recording Server</w:t>
            </w:r>
          </w:p>
        </w:tc>
        <w:tc>
          <w:tcPr>
            <w:tcW w:w="1900" w:type="dxa"/>
            <w:noWrap/>
          </w:tcPr>
          <w:p>
            <w:pPr>
              <w:pStyle w:val="cell"/>
            </w:pPr>
            <w:r>
              <w:rPr>
                <w:sz w:val="16"/>
                <w:szCs w:val="16"/>
              </w:rPr>
              <w:t xml:space="preserve">vcpu: 4, ram_gb: 8, disk_gb: 100</w:t>
            </w:r>
          </w:p>
        </w:tc>
        <w:tc>
          <w:tcPr>
            <w:tcW w:w="900" w:type="dxa"/>
            <w:noWrap/>
          </w:tcPr>
          <w:p>
            <w:pPr>
              <w:pStyle w:val="cell"/>
            </w:pPr>
            <w:r>
              <w:rPr>
                <w:sz w:val="16"/>
                <w:szCs w:val="16"/>
              </w:rPr>
              <w:t xml:space="preserve"/>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vCenter Server appliance</w:t>
            </w:r>
          </w:p>
        </w:tc>
        <w:tc>
          <w:tcPr>
            <w:tcW w:w="1900" w:type="dxa"/>
            <w:shd w:val="clear" w:fill="F3F1EC"/>
            <w:noWrap/>
          </w:tcPr>
          <w:p>
            <w:pPr>
              <w:pStyle w:val="cell"/>
            </w:pPr>
            <w:r>
              <w:rPr>
                <w:sz w:val="16"/>
                <w:szCs w:val="16"/>
              </w:rPr>
              <w:t xml:space="preserve">vcpu: 8, ram_gb: 32, disk_gb: 700</w:t>
            </w:r>
          </w:p>
        </w:tc>
        <w:tc>
          <w:tcPr>
            <w:tcW w:w="900" w:type="dxa"/>
            <w:shd w:val="clear" w:fill="F3F1EC"/>
            <w:noWrap/>
          </w:tcPr>
          <w:p>
            <w:pPr>
              <w:pStyle w:val="cell"/>
            </w:pPr>
            <w:r>
              <w:rPr>
                <w:sz w:val="16"/>
                <w:szCs w:val="16"/>
              </w:rPr>
              <w:t xml:space="preserve"/>
            </w:r>
          </w:p>
        </w:tc>
        <w:tc>
          <w:tcPr>
            <w:tcW w:w="1200" w:type="dxa"/>
            <w:shd w:val="clear" w:fill="F3F1EC"/>
            <w:noWrap/>
          </w:tcPr>
          <w:p>
            <w:pPr>
              <w:pStyle w:val="cell"/>
            </w:pPr>
            <w:r>
              <w:rPr>
                <w:sz w:val="16"/>
                <w:szCs w:val="16"/>
              </w:rPr>
              <w:t xml:space="preserve">Validate</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Design powered-on VMs per vCenter Server</w:t>
            </w:r>
          </w:p>
        </w:tc>
        <w:tc>
          <w:tcPr>
            <w:tcW w:w="1900" w:type="dxa"/>
            <w:noWrap/>
          </w:tcPr>
          <w:p>
            <w:pPr>
              <w:pStyle w:val="cell"/>
            </w:pPr>
            <w:r>
              <w:rPr>
                <w:sz w:val="16"/>
                <w:szCs w:val="16"/>
              </w:rPr>
              <w:t xml:space="preserve">20,000</w:t>
            </w:r>
          </w:p>
        </w:tc>
        <w:tc>
          <w:tcPr>
            <w:tcW w:w="900" w:type="dxa"/>
            <w:noWrap/>
          </w:tcPr>
          <w:p>
            <w:pPr>
              <w:pStyle w:val="cell"/>
            </w:pPr>
            <w:r>
              <w:rPr>
                <w:sz w:val="16"/>
                <w:szCs w:val="16"/>
              </w:rPr>
              <w:t xml:space="preserve">VMs</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RAM recommended for hardware-accelerated 3D</w:t>
            </w:r>
          </w:p>
        </w:tc>
        <w:tc>
          <w:tcPr>
            <w:tcW w:w="1900" w:type="dxa"/>
            <w:shd w:val="clear" w:fill="F3F1EC"/>
            <w:noWrap/>
          </w:tcPr>
          <w:p>
            <w:pPr>
              <w:pStyle w:val="cell"/>
            </w:pPr>
            <w:r>
              <w:rPr>
                <w:sz w:val="16"/>
                <w:szCs w:val="16"/>
              </w:rPr>
              <w:t xml:space="preserve">4</w:t>
            </w:r>
          </w:p>
        </w:tc>
        <w:tc>
          <w:tcPr>
            <w:tcW w:w="900" w:type="dxa"/>
            <w:shd w:val="clear" w:fill="F3F1EC"/>
            <w:noWrap/>
          </w:tcPr>
          <w:p>
            <w:pPr>
              <w:pStyle w:val="cell"/>
            </w:pPr>
            <w:r>
              <w:rPr>
                <w:sz w:val="16"/>
                <w:szCs w:val="16"/>
              </w:rPr>
              <w:t xml:space="preserve">GB</w:t>
            </w:r>
          </w:p>
        </w:tc>
        <w:tc>
          <w:tcPr>
            <w:tcW w:w="1200" w:type="dxa"/>
            <w:shd w:val="clear" w:fill="F3F1EC"/>
            <w:noWrap/>
          </w:tcPr>
          <w:p>
            <w:pPr>
              <w:pStyle w:val="cell"/>
            </w:pPr>
            <w:r>
              <w:rPr>
                <w:sz w:val="16"/>
                <w:szCs w:val="16"/>
              </w:rPr>
              <w:t xml:space="preserve">Official</w:t>
            </w:r>
          </w:p>
        </w:tc>
        <w:tc>
          <w:tcPr>
            <w:tcW w:w="2600" w:type="dxa"/>
            <w:shd w:val="clear" w:fill="F3F1EC"/>
            <w:noWrap/>
          </w:tcPr>
          <w:p>
            <w:pPr>
              <w:pStyle w:val="cell"/>
            </w:pPr>
            <w:r>
              <w:rPr>
                <w:sz w:val="16"/>
                <w:szCs w:val="16"/>
              </w:rPr>
              <w:t xml:space="preserve">Estimating Memory Requirements for Virtual Machine Desktops</w:t>
            </w:r>
          </w:p>
        </w:tc>
      </w:tr>
      <w:tr>
        <w:trPr>
          <w:cantSplit w:val="1"/>
        </w:trPr>
        <w:tc>
          <w:tcPr>
            <w:tcW w:w="3200" w:type="dxa"/>
            <w:noWrap/>
          </w:tcPr>
          <w:p>
            <w:pPr>
              <w:pStyle w:val="cell"/>
            </w:pPr>
            <w:r>
              <w:rPr>
                <w:sz w:val="16"/>
                <w:szCs w:val="16"/>
              </w:rPr>
              <w:t xml:space="preserve">Maximum host memory allocation</w:t>
            </w:r>
          </w:p>
        </w:tc>
        <w:tc>
          <w:tcPr>
            <w:tcW w:w="1900" w:type="dxa"/>
            <w:noWrap/>
          </w:tcPr>
          <w:p>
            <w:pPr>
              <w:pStyle w:val="cell"/>
            </w:pPr>
            <w:r>
              <w:rPr>
                <w:sz w:val="16"/>
                <w:szCs w:val="16"/>
              </w:rPr>
              <w:t xml:space="preserve">95</w:t>
            </w:r>
          </w:p>
        </w:tc>
        <w:tc>
          <w:tcPr>
            <w:tcW w:w="900" w:type="dxa"/>
            <w:noWrap/>
          </w:tcPr>
          <w:p>
            <w:pPr>
              <w:pStyle w:val="cell"/>
            </w:pPr>
            <w:r>
              <w:rPr>
                <w:sz w:val="16"/>
                <w:szCs w:val="16"/>
              </w:rPr>
              <w:t xml:space="preserve">%</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Desktop memory reservation</w:t>
            </w:r>
          </w:p>
        </w:tc>
        <w:tc>
          <w:tcPr>
            <w:tcW w:w="1900" w:type="dxa"/>
            <w:shd w:val="clear" w:fill="F3F1EC"/>
            <w:noWrap/>
          </w:tcPr>
          <w:p>
            <w:pPr>
              <w:pStyle w:val="cell"/>
            </w:pPr>
            <w:r>
              <w:rPr>
                <w:sz w:val="16"/>
                <w:szCs w:val="16"/>
              </w:rPr>
              <w:t xml:space="preserve">100</w:t>
            </w:r>
          </w:p>
        </w:tc>
        <w:tc>
          <w:tcPr>
            <w:tcW w:w="900" w:type="dxa"/>
            <w:shd w:val="clear" w:fill="F3F1EC"/>
            <w:noWrap/>
          </w:tcPr>
          <w:p>
            <w:pPr>
              <w:pStyle w:val="cell"/>
            </w:pPr>
            <w:r>
              <w:rPr>
                <w:sz w:val="16"/>
                <w:szCs w:val="16"/>
              </w:rPr>
              <w:t xml:space="preserve">%</w:t>
            </w:r>
          </w:p>
        </w:tc>
        <w:tc>
          <w:tcPr>
            <w:tcW w:w="1200" w:type="dxa"/>
            <w:shd w:val="clear" w:fill="F3F1EC"/>
            <w:noWrap/>
          </w:tcPr>
          <w:p>
            <w:pPr>
              <w:pStyle w:val="cell"/>
            </w:pPr>
            <w:r>
              <w:rPr>
                <w:sz w:val="16"/>
                <w:szCs w:val="16"/>
              </w:rPr>
              <w:t xml:space="preserve">Official</w:t>
            </w:r>
          </w:p>
        </w:tc>
        <w:tc>
          <w:tcPr>
            <w:tcW w:w="2600" w:type="dxa"/>
            <w:shd w:val="clear" w:fill="F3F1EC"/>
            <w:noWrap/>
          </w:tcPr>
          <w:p>
            <w:pPr>
              <w:pStyle w:val="cell"/>
            </w:pPr>
            <w:r>
              <w:rPr>
                <w:sz w:val="16"/>
                <w:szCs w:val="16"/>
              </w:rPr>
              <w:t xml:space="preserve">Estimating Memory Requirements for Virtual Machine Desktops</w:t>
            </w:r>
          </w:p>
        </w:tc>
      </w:tr>
      <w:tr>
        <w:trPr>
          <w:cantSplit w:val="1"/>
        </w:trPr>
        <w:tc>
          <w:tcPr>
            <w:tcW w:w="3200" w:type="dxa"/>
            <w:noWrap/>
          </w:tcPr>
          <w:p>
            <w:pPr>
              <w:pStyle w:val="cell"/>
            </w:pPr>
            <w:r>
              <w:rPr>
                <w:sz w:val="16"/>
                <w:szCs w:val="16"/>
              </w:rPr>
              <w:t xml:space="preserve">Hypervisor memory overhead per VM</w:t>
            </w:r>
          </w:p>
        </w:tc>
        <w:tc>
          <w:tcPr>
            <w:tcW w:w="1900" w:type="dxa"/>
            <w:noWrap/>
          </w:tcPr>
          <w:p>
            <w:pPr>
              <w:pStyle w:val="cell"/>
            </w:pPr>
            <w:r>
              <w:rPr>
                <w:sz w:val="16"/>
                <w:szCs w:val="16"/>
              </w:rPr>
              <w:t xml:space="preserve">200</w:t>
            </w:r>
          </w:p>
        </w:tc>
        <w:tc>
          <w:tcPr>
            <w:tcW w:w="900" w:type="dxa"/>
            <w:noWrap/>
          </w:tcPr>
          <w:p>
            <w:pPr>
              <w:pStyle w:val="cell"/>
            </w:pPr>
            <w:r>
              <w:rPr>
                <w:sz w:val="16"/>
                <w:szCs w:val="16"/>
              </w:rPr>
              <w:t xml:space="preserve">MB</w:t>
            </w:r>
          </w:p>
        </w:tc>
        <w:tc>
          <w:tcPr>
            <w:tcW w:w="1200" w:type="dxa"/>
            <w:noWrap/>
          </w:tcPr>
          <w:p>
            <w:pPr>
              <w:pStyle w:val="cell"/>
            </w:pPr>
            <w:r>
              <w:rPr>
                <w:sz w:val="16"/>
                <w:szCs w:val="16"/>
              </w:rPr>
              <w:t xml:space="preserve">Validate</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Video RAM overhead per VM (Blast/PCoIP)</w:t>
            </w:r>
          </w:p>
        </w:tc>
        <w:tc>
          <w:tcPr>
            <w:tcW w:w="1900" w:type="dxa"/>
            <w:shd w:val="clear" w:fill="F3F1EC"/>
            <w:noWrap/>
          </w:tcPr>
          <w:p>
            <w:pPr>
              <w:pStyle w:val="cell"/>
            </w:pPr>
            <w:r>
              <w:rPr>
                <w:sz w:val="16"/>
                <w:szCs w:val="16"/>
              </w:rPr>
              <w:t xml:space="preserve">vga, wxga, 1080p, wqxga, uhd4k, 5k, uhd8k</w:t>
            </w:r>
          </w:p>
        </w:tc>
        <w:tc>
          <w:tcPr>
            <w:tcW w:w="900" w:type="dxa"/>
            <w:shd w:val="clear" w:fill="F3F1EC"/>
            <w:noWrap/>
          </w:tcPr>
          <w:p>
            <w:pPr>
              <w:pStyle w:val="cell"/>
            </w:pPr>
            <w:r>
              <w:rPr>
                <w:sz w:val="16"/>
                <w:szCs w:val="16"/>
              </w:rPr>
              <w:t xml:space="preserve">MB</w:t>
            </w:r>
          </w:p>
        </w:tc>
        <w:tc>
          <w:tcPr>
            <w:tcW w:w="1200" w:type="dxa"/>
            <w:shd w:val="clear" w:fill="F3F1EC"/>
            <w:noWrap/>
          </w:tcPr>
          <w:p>
            <w:pPr>
              <w:pStyle w:val="cell"/>
            </w:pPr>
            <w:r>
              <w:rPr>
                <w:sz w:val="16"/>
                <w:szCs w:val="16"/>
              </w:rPr>
              <w:t xml:space="preserve">Official</w:t>
            </w:r>
          </w:p>
        </w:tc>
        <w:tc>
          <w:tcPr>
            <w:tcW w:w="2600" w:type="dxa"/>
            <w:shd w:val="clear" w:fill="F3F1EC"/>
            <w:noWrap/>
          </w:tcPr>
          <w:p>
            <w:pPr>
              <w:pStyle w:val="cell"/>
            </w:pPr>
            <w:r>
              <w:rPr>
                <w:sz w:val="16"/>
                <w:szCs w:val="16"/>
              </w:rPr>
              <w:t xml:space="preserve">Estimating Memory Requirements for Virtual Machine Desktops</w:t>
            </w:r>
          </w:p>
        </w:tc>
      </w:tr>
      <w:tr>
        <w:trPr>
          <w:cantSplit w:val="1"/>
        </w:trPr>
        <w:tc>
          <w:tcPr>
            <w:tcW w:w="3200" w:type="dxa"/>
            <w:noWrap/>
          </w:tcPr>
          <w:p>
            <w:pPr>
              <w:pStyle w:val="cell"/>
            </w:pPr>
            <w:r>
              <w:rPr>
                <w:sz w:val="16"/>
                <w:szCs w:val="16"/>
              </w:rPr>
              <w:t xml:space="preserve">View Storage Accelerator host memory (upper bound)</w:t>
            </w:r>
          </w:p>
        </w:tc>
        <w:tc>
          <w:tcPr>
            <w:tcW w:w="1900" w:type="dxa"/>
            <w:noWrap/>
          </w:tcPr>
          <w:p>
            <w:pPr>
              <w:pStyle w:val="cell"/>
            </w:pPr>
            <w:r>
              <w:rPr>
                <w:sz w:val="16"/>
                <w:szCs w:val="16"/>
              </w:rPr>
              <w:t xml:space="preserve">32</w:t>
            </w:r>
          </w:p>
        </w:tc>
        <w:tc>
          <w:tcPr>
            <w:tcW w:w="900" w:type="dxa"/>
            <w:noWrap/>
          </w:tcPr>
          <w:p>
            <w:pPr>
              <w:pStyle w:val="cell"/>
            </w:pPr>
            <w:r>
              <w:rPr>
                <w:sz w:val="16"/>
                <w:szCs w:val="16"/>
              </w:rPr>
              <w:t xml:space="preserve">GB/host</w:t>
            </w:r>
          </w:p>
        </w:tc>
        <w:tc>
          <w:tcPr>
            <w:tcW w:w="1200" w:type="dxa"/>
            <w:noWrap/>
          </w:tcPr>
          <w:p>
            <w:pPr>
              <w:pStyle w:val="cell"/>
            </w:pPr>
            <w:r>
              <w:rPr>
                <w:sz w:val="16"/>
                <w:szCs w:val="16"/>
              </w:rPr>
              <w:t xml:space="preserve">Official</w:t>
            </w:r>
          </w:p>
        </w:tc>
        <w:tc>
          <w:tcPr>
            <w:tcW w:w="2600" w:type="dxa"/>
            <w:noWrap/>
          </w:tcPr>
          <w:p>
            <w:pPr>
              <w:pStyle w:val="cell"/>
            </w:pPr>
            <w:r>
              <w:rPr>
                <w:sz w:val="16"/>
                <w:szCs w:val="16"/>
              </w:rPr>
              <w:t xml:space="preserve">ESXi Node</w:t>
            </w:r>
          </w:p>
        </w:tc>
      </w:tr>
      <w:tr>
        <w:trPr>
          <w:cantSplit w:val="1"/>
        </w:trPr>
        <w:tc>
          <w:tcPr>
            <w:tcW w:w="3200" w:type="dxa"/>
            <w:shd w:val="clear" w:fill="F3F1EC"/>
            <w:noWrap/>
          </w:tcPr>
          <w:p>
            <w:pPr>
              <w:pStyle w:val="cell"/>
            </w:pPr>
            <w:r>
              <w:rPr>
                <w:sz w:val="16"/>
                <w:szCs w:val="16"/>
              </w:rPr>
              <w:t xml:space="preserve">Blast max bandwidth cap offset (default)</w:t>
            </w:r>
          </w:p>
        </w:tc>
        <w:tc>
          <w:tcPr>
            <w:tcW w:w="1900" w:type="dxa"/>
            <w:shd w:val="clear" w:fill="F3F1EC"/>
            <w:noWrap/>
          </w:tcPr>
          <w:p>
            <w:pPr>
              <w:pStyle w:val="cell"/>
            </w:pPr>
            <w:r>
              <w:rPr>
                <w:sz w:val="16"/>
                <w:szCs w:val="16"/>
              </w:rPr>
              <w:t xml:space="preserve">0</w:t>
            </w:r>
          </w:p>
        </w:tc>
        <w:tc>
          <w:tcPr>
            <w:tcW w:w="900" w:type="dxa"/>
            <w:shd w:val="clear" w:fill="F3F1EC"/>
            <w:noWrap/>
          </w:tcPr>
          <w:p>
            <w:pPr>
              <w:pStyle w:val="cell"/>
            </w:pPr>
            <w:r>
              <w:rPr>
                <w:sz w:val="16"/>
                <w:szCs w:val="16"/>
              </w:rPr>
              <w:t xml:space="preserve">Kbps</w:t>
            </w:r>
          </w:p>
        </w:tc>
        <w:tc>
          <w:tcPr>
            <w:tcW w:w="1200" w:type="dxa"/>
            <w:shd w:val="clear" w:fill="F3F1EC"/>
            <w:noWrap/>
          </w:tcPr>
          <w:p>
            <w:pPr>
              <w:pStyle w:val="cell"/>
            </w:pPr>
            <w:r>
              <w:rPr>
                <w:sz w:val="16"/>
                <w:szCs w:val="16"/>
              </w:rPr>
              <w:t xml:space="preserve">Official</w:t>
            </w:r>
          </w:p>
        </w:tc>
        <w:tc>
          <w:tcPr>
            <w:tcW w:w="2600" w:type="dxa"/>
            <w:shd w:val="clear" w:fill="F3F1EC"/>
            <w:noWrap/>
          </w:tcPr>
          <w:p>
            <w:pPr>
              <w:pStyle w:val="cell"/>
            </w:pPr>
            <w:r>
              <w:rPr>
                <w:sz w:val="16"/>
                <w:szCs w:val="16"/>
              </w:rPr>
              <w:t xml:space="preserve">Omnissa Horizon Blast Extreme</w:t>
            </w:r>
          </w:p>
        </w:tc>
      </w:tr>
      <w:tr>
        <w:trPr>
          <w:cantSplit w:val="1"/>
        </w:trPr>
        <w:tc>
          <w:tcPr>
            <w:tcW w:w="3200" w:type="dxa"/>
            <w:noWrap/>
          </w:tcPr>
          <w:p>
            <w:pPr>
              <w:pStyle w:val="cell"/>
            </w:pPr>
            <w:r>
              <w:rPr>
                <w:sz w:val="16"/>
                <w:szCs w:val="16"/>
              </w:rPr>
              <w:t xml:space="preserve">Blast max bandwidth cap slope (default)</w:t>
            </w:r>
          </w:p>
        </w:tc>
        <w:tc>
          <w:tcPr>
            <w:tcW w:w="1900" w:type="dxa"/>
            <w:noWrap/>
          </w:tcPr>
          <w:p>
            <w:pPr>
              <w:pStyle w:val="cell"/>
            </w:pPr>
            <w:r>
              <w:rPr>
                <w:sz w:val="16"/>
                <w:szCs w:val="16"/>
              </w:rPr>
              <w:t xml:space="preserve">6,200</w:t>
            </w:r>
          </w:p>
        </w:tc>
        <w:tc>
          <w:tcPr>
            <w:tcW w:w="900" w:type="dxa"/>
            <w:noWrap/>
          </w:tcPr>
          <w:p>
            <w:pPr>
              <w:pStyle w:val="cell"/>
            </w:pPr>
            <w:r>
              <w:rPr>
                <w:sz w:val="16"/>
                <w:szCs w:val="16"/>
              </w:rPr>
              <w:t xml:space="preserve">Kbps/MP</w:t>
            </w:r>
          </w:p>
        </w:tc>
        <w:tc>
          <w:tcPr>
            <w:tcW w:w="1200" w:type="dxa"/>
            <w:noWrap/>
          </w:tcPr>
          <w:p>
            <w:pPr>
              <w:pStyle w:val="cell"/>
            </w:pPr>
            <w:r>
              <w:rPr>
                <w:sz w:val="16"/>
                <w:szCs w:val="16"/>
              </w:rPr>
              <w:t xml:space="preserve">Official</w:t>
            </w:r>
          </w:p>
        </w:tc>
        <w:tc>
          <w:tcPr>
            <w:tcW w:w="2600" w:type="dxa"/>
            <w:noWrap/>
          </w:tcPr>
          <w:p>
            <w:pPr>
              <w:pStyle w:val="cell"/>
            </w:pPr>
            <w:r>
              <w:rPr>
                <w:sz w:val="16"/>
                <w:szCs w:val="16"/>
              </w:rPr>
              <w:t xml:space="preserve">Omnissa Horizon Blast Extreme</w:t>
            </w:r>
          </w:p>
        </w:tc>
      </w:tr>
      <w:tr>
        <w:trPr>
          <w:cantSplit w:val="1"/>
        </w:trPr>
        <w:tc>
          <w:tcPr>
            <w:tcW w:w="3200" w:type="dxa"/>
            <w:shd w:val="clear" w:fill="F3F1EC"/>
            <w:noWrap/>
          </w:tcPr>
          <w:p>
            <w:pPr>
              <w:pStyle w:val="cell"/>
            </w:pPr>
            <w:r>
              <w:rPr>
                <w:sz w:val="16"/>
                <w:szCs w:val="16"/>
              </w:rPr>
              <w:t xml:space="preserve">Storage array front-end ports per fabric</w:t>
            </w:r>
          </w:p>
        </w:tc>
        <w:tc>
          <w:tcPr>
            <w:tcW w:w="1900" w:type="dxa"/>
            <w:shd w:val="clear" w:fill="F3F1EC"/>
            <w:noWrap/>
          </w:tcPr>
          <w:p>
            <w:pPr>
              <w:pStyle w:val="cell"/>
            </w:pPr>
            <w:r>
              <w:rPr>
                <w:sz w:val="16"/>
                <w:szCs w:val="16"/>
              </w:rPr>
              <w:t xml:space="preserve">4</w:t>
            </w:r>
          </w:p>
        </w:tc>
        <w:tc>
          <w:tcPr>
            <w:tcW w:w="900" w:type="dxa"/>
            <w:shd w:val="clear" w:fill="F3F1EC"/>
            <w:noWrap/>
          </w:tcPr>
          <w:p>
            <w:pPr>
              <w:pStyle w:val="cell"/>
            </w:pPr>
            <w:r>
              <w:rPr>
                <w:sz w:val="16"/>
                <w:szCs w:val="16"/>
              </w:rPr>
              <w:t xml:space="preserve">ports</w:t>
            </w:r>
          </w:p>
        </w:tc>
        <w:tc>
          <w:tcPr>
            <w:tcW w:w="1200" w:type="dxa"/>
            <w:shd w:val="clear" w:fill="F3F1EC"/>
            <w:noWrap/>
          </w:tcPr>
          <w:p>
            <w:pPr>
              <w:pStyle w:val="cell"/>
            </w:pPr>
            <w:r>
              <w:rPr>
                <w:sz w:val="16"/>
                <w:szCs w:val="16"/>
              </w:rPr>
              <w:t xml:space="preserve">Validate</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Out-of-band management ports per host</w:t>
            </w:r>
          </w:p>
        </w:tc>
        <w:tc>
          <w:tcPr>
            <w:tcW w:w="1900" w:type="dxa"/>
            <w:noWrap/>
          </w:tcPr>
          <w:p>
            <w:pPr>
              <w:pStyle w:val="cell"/>
            </w:pPr>
            <w:r>
              <w:rPr>
                <w:sz w:val="16"/>
                <w:szCs w:val="16"/>
              </w:rPr>
              <w:t xml:space="preserve">1</w:t>
            </w:r>
          </w:p>
        </w:tc>
        <w:tc>
          <w:tcPr>
            <w:tcW w:w="900" w:type="dxa"/>
            <w:noWrap/>
          </w:tcPr>
          <w:p>
            <w:pPr>
              <w:pStyle w:val="cell"/>
            </w:pPr>
            <w:r>
              <w:rPr>
                <w:sz w:val="16"/>
                <w:szCs w:val="16"/>
              </w:rPr>
              <w:t xml:space="preserve">ports</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Display bandwidth headroom</w:t>
            </w:r>
          </w:p>
        </w:tc>
        <w:tc>
          <w:tcPr>
            <w:tcW w:w="1900" w:type="dxa"/>
            <w:shd w:val="clear" w:fill="F3F1EC"/>
            <w:noWrap/>
          </w:tcPr>
          <w:p>
            <w:pPr>
              <w:pStyle w:val="cell"/>
            </w:pPr>
            <w:r>
              <w:rPr>
                <w:sz w:val="16"/>
                <w:szCs w:val="16"/>
              </w:rPr>
              <w:t xml:space="preserve">25</w:t>
            </w:r>
          </w:p>
        </w:tc>
        <w:tc>
          <w:tcPr>
            <w:tcW w:w="900" w:type="dxa"/>
            <w:shd w:val="clear" w:fill="F3F1EC"/>
            <w:noWrap/>
          </w:tcPr>
          <w:p>
            <w:pPr>
              <w:pStyle w:val="cell"/>
            </w:pPr>
            <w:r>
              <w:rPr>
                <w:sz w:val="16"/>
                <w:szCs w:val="16"/>
              </w:rPr>
              <w:t xml:space="preserve">%</w:t>
            </w:r>
          </w:p>
        </w:tc>
        <w:tc>
          <w:tcPr>
            <w:tcW w:w="1200" w:type="dxa"/>
            <w:shd w:val="clear" w:fill="F3F1EC"/>
            <w:noWrap/>
          </w:tcPr>
          <w:p>
            <w:pPr>
              <w:pStyle w:val="cell"/>
            </w:pPr>
            <w:r>
              <w:rPr>
                <w:sz w:val="16"/>
                <w:szCs w:val="16"/>
              </w:rPr>
              <w:t xml:space="preserve">Assumption</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IP/DHCP scope reserve</w:t>
            </w:r>
          </w:p>
        </w:tc>
        <w:tc>
          <w:tcPr>
            <w:tcW w:w="1900" w:type="dxa"/>
            <w:noWrap/>
          </w:tcPr>
          <w:p>
            <w:pPr>
              <w:pStyle w:val="cell"/>
            </w:pPr>
            <w:r>
              <w:rPr>
                <w:sz w:val="16"/>
                <w:szCs w:val="16"/>
              </w:rPr>
              <w:t xml:space="preserve">20</w:t>
            </w:r>
          </w:p>
        </w:tc>
        <w:tc>
          <w:tcPr>
            <w:tcW w:w="900" w:type="dxa"/>
            <w:noWrap/>
          </w:tcPr>
          <w:p>
            <w:pPr>
              <w:pStyle w:val="cell"/>
            </w:pPr>
            <w:r>
              <w:rPr>
                <w:sz w:val="16"/>
                <w:szCs w:val="16"/>
              </w:rPr>
              <w:t xml:space="preserve">%</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Management traffic per host</w:t>
            </w:r>
          </w:p>
        </w:tc>
        <w:tc>
          <w:tcPr>
            <w:tcW w:w="1900" w:type="dxa"/>
            <w:shd w:val="clear" w:fill="F3F1EC"/>
            <w:noWrap/>
          </w:tcPr>
          <w:p>
            <w:pPr>
              <w:pStyle w:val="cell"/>
            </w:pPr>
            <w:r>
              <w:rPr>
                <w:sz w:val="16"/>
                <w:szCs w:val="16"/>
              </w:rPr>
              <w:t xml:space="preserve">1</w:t>
            </w:r>
          </w:p>
        </w:tc>
        <w:tc>
          <w:tcPr>
            <w:tcW w:w="900" w:type="dxa"/>
            <w:shd w:val="clear" w:fill="F3F1EC"/>
            <w:noWrap/>
          </w:tcPr>
          <w:p>
            <w:pPr>
              <w:pStyle w:val="cell"/>
            </w:pPr>
            <w:r>
              <w:rPr>
                <w:sz w:val="16"/>
                <w:szCs w:val="16"/>
              </w:rPr>
              <w:t xml:space="preserve">Gbps</w:t>
            </w:r>
          </w:p>
        </w:tc>
        <w:tc>
          <w:tcPr>
            <w:tcW w:w="1200" w:type="dxa"/>
            <w:shd w:val="clear" w:fill="F3F1EC"/>
            <w:noWrap/>
          </w:tcPr>
          <w:p>
            <w:pPr>
              <w:pStyle w:val="cell"/>
            </w:pPr>
            <w:r>
              <w:rPr>
                <w:sz w:val="16"/>
                <w:szCs w:val="16"/>
              </w:rPr>
              <w:t xml:space="preserve">Assumption</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Maximum NIC utilization</w:t>
            </w:r>
          </w:p>
        </w:tc>
        <w:tc>
          <w:tcPr>
            <w:tcW w:w="1900" w:type="dxa"/>
            <w:noWrap/>
          </w:tcPr>
          <w:p>
            <w:pPr>
              <w:pStyle w:val="cell"/>
            </w:pPr>
            <w:r>
              <w:rPr>
                <w:sz w:val="16"/>
                <w:szCs w:val="16"/>
              </w:rPr>
              <w:t xml:space="preserve">70</w:t>
            </w:r>
          </w:p>
        </w:tc>
        <w:tc>
          <w:tcPr>
            <w:tcW w:w="900" w:type="dxa"/>
            <w:noWrap/>
          </w:tcPr>
          <w:p>
            <w:pPr>
              <w:pStyle w:val="cell"/>
            </w:pPr>
            <w:r>
              <w:rPr>
                <w:sz w:val="16"/>
                <w:szCs w:val="16"/>
              </w:rPr>
              <w:t xml:space="preserve">%</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Uplinks per ToR switch</w:t>
            </w:r>
          </w:p>
        </w:tc>
        <w:tc>
          <w:tcPr>
            <w:tcW w:w="1900" w:type="dxa"/>
            <w:shd w:val="clear" w:fill="F3F1EC"/>
            <w:noWrap/>
          </w:tcPr>
          <w:p>
            <w:pPr>
              <w:pStyle w:val="cell"/>
            </w:pPr>
            <w:r>
              <w:rPr>
                <w:sz w:val="16"/>
                <w:szCs w:val="16"/>
              </w:rPr>
              <w:t xml:space="preserve">4</w:t>
            </w:r>
          </w:p>
        </w:tc>
        <w:tc>
          <w:tcPr>
            <w:tcW w:w="900" w:type="dxa"/>
            <w:shd w:val="clear" w:fill="F3F1EC"/>
            <w:noWrap/>
          </w:tcPr>
          <w:p>
            <w:pPr>
              <w:pStyle w:val="cell"/>
            </w:pPr>
            <w:r>
              <w:rPr>
                <w:sz w:val="16"/>
                <w:szCs w:val="16"/>
              </w:rPr>
              <w:t xml:space="preserve">ports</w:t>
            </w:r>
          </w:p>
        </w:tc>
        <w:tc>
          <w:tcPr>
            <w:tcW w:w="1200" w:type="dxa"/>
            <w:shd w:val="clear" w:fill="F3F1EC"/>
            <w:noWrap/>
          </w:tcPr>
          <w:p>
            <w:pPr>
              <w:pStyle w:val="cell"/>
            </w:pPr>
            <w:r>
              <w:rPr>
                <w:sz w:val="16"/>
                <w:szCs w:val="16"/>
              </w:rPr>
              <w:t xml:space="preserve">Assumption</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Live-migration (vMotion) allowance per host</w:t>
            </w:r>
          </w:p>
        </w:tc>
        <w:tc>
          <w:tcPr>
            <w:tcW w:w="1900" w:type="dxa"/>
            <w:noWrap/>
          </w:tcPr>
          <w:p>
            <w:pPr>
              <w:pStyle w:val="cell"/>
            </w:pPr>
            <w:r>
              <w:rPr>
                <w:sz w:val="16"/>
                <w:szCs w:val="16"/>
              </w:rPr>
              <w:t xml:space="preserve">10</w:t>
            </w:r>
          </w:p>
        </w:tc>
        <w:tc>
          <w:tcPr>
            <w:tcW w:w="900" w:type="dxa"/>
            <w:noWrap/>
          </w:tcPr>
          <w:p>
            <w:pPr>
              <w:pStyle w:val="cell"/>
            </w:pPr>
            <w:r>
              <w:rPr>
                <w:sz w:val="16"/>
                <w:szCs w:val="16"/>
              </w:rPr>
              <w:t xml:space="preserve">Gbps</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ESXi host reservation</w:t>
            </w:r>
          </w:p>
        </w:tc>
        <w:tc>
          <w:tcPr>
            <w:tcW w:w="1900" w:type="dxa"/>
            <w:shd w:val="clear" w:fill="F3F1EC"/>
            <w:noWrap/>
          </w:tcPr>
          <w:p>
            <w:pPr>
              <w:pStyle w:val="cell"/>
            </w:pPr>
            <w:r>
              <w:rPr>
                <w:sz w:val="16"/>
                <w:szCs w:val="16"/>
              </w:rPr>
              <w:t xml:space="preserve">reserved_cores: 0, reserved_ram_gb: 4</w:t>
            </w:r>
          </w:p>
        </w:tc>
        <w:tc>
          <w:tcPr>
            <w:tcW w:w="900" w:type="dxa"/>
            <w:shd w:val="clear" w:fill="F3F1EC"/>
            <w:noWrap/>
          </w:tcPr>
          <w:p>
            <w:pPr>
              <w:pStyle w:val="cell"/>
            </w:pPr>
            <w:r>
              <w:rPr>
                <w:sz w:val="16"/>
                <w:szCs w:val="16"/>
              </w:rPr>
              <w:t xml:space="preserve"/>
            </w:r>
          </w:p>
        </w:tc>
        <w:tc>
          <w:tcPr>
            <w:tcW w:w="1200" w:type="dxa"/>
            <w:shd w:val="clear" w:fill="F3F1EC"/>
            <w:noWrap/>
          </w:tcPr>
          <w:p>
            <w:pPr>
              <w:pStyle w:val="cell"/>
            </w:pPr>
            <w:r>
              <w:rPr>
                <w:sz w:val="16"/>
                <w:szCs w:val="16"/>
              </w:rPr>
              <w:t xml:space="preserve">Validate</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Array maximum planned consumption</w:t>
            </w:r>
          </w:p>
        </w:tc>
        <w:tc>
          <w:tcPr>
            <w:tcW w:w="1900" w:type="dxa"/>
            <w:noWrap/>
          </w:tcPr>
          <w:p>
            <w:pPr>
              <w:pStyle w:val="cell"/>
            </w:pPr>
            <w:r>
              <w:rPr>
                <w:sz w:val="16"/>
                <w:szCs w:val="16"/>
              </w:rPr>
              <w:t xml:space="preserve">80</w:t>
            </w:r>
          </w:p>
        </w:tc>
        <w:tc>
          <w:tcPr>
            <w:tcW w:w="900" w:type="dxa"/>
            <w:noWrap/>
          </w:tcPr>
          <w:p>
            <w:pPr>
              <w:pStyle w:val="cell"/>
            </w:pPr>
            <w:r>
              <w:rPr>
                <w:sz w:val="16"/>
                <w:szCs w:val="16"/>
              </w:rPr>
              <w:t xml:space="preserve">%</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Array RAID / protection overhead factor</w:t>
            </w:r>
          </w:p>
        </w:tc>
        <w:tc>
          <w:tcPr>
            <w:tcW w:w="1900" w:type="dxa"/>
            <w:shd w:val="clear" w:fill="F3F1EC"/>
            <w:noWrap/>
          </w:tcPr>
          <w:p>
            <w:pPr>
              <w:pStyle w:val="cell"/>
            </w:pPr>
            <w:r>
              <w:rPr>
                <w:sz w:val="16"/>
                <w:szCs w:val="16"/>
              </w:rPr>
              <w:t xml:space="preserve">1.25</w:t>
            </w:r>
          </w:p>
        </w:tc>
        <w:tc>
          <w:tcPr>
            <w:tcW w:w="900" w:type="dxa"/>
            <w:shd w:val="clear" w:fill="F3F1EC"/>
            <w:noWrap/>
          </w:tcPr>
          <w:p>
            <w:pPr>
              <w:pStyle w:val="cell"/>
            </w:pPr>
            <w:r>
              <w:rPr>
                <w:sz w:val="16"/>
                <w:szCs w:val="16"/>
              </w:rPr>
              <w:t xml:space="preserve">x</w:t>
            </w:r>
          </w:p>
        </w:tc>
        <w:tc>
          <w:tcPr>
            <w:tcW w:w="1200" w:type="dxa"/>
            <w:shd w:val="clear" w:fill="F3F1EC"/>
            <w:noWrap/>
          </w:tcPr>
          <w:p>
            <w:pPr>
              <w:pStyle w:val="cell"/>
            </w:pPr>
            <w:r>
              <w:rPr>
                <w:sz w:val="16"/>
                <w:szCs w:val="16"/>
              </w:rPr>
              <w:t xml:space="preserve">Validate</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Daily change rate</w:t>
            </w:r>
          </w:p>
        </w:tc>
        <w:tc>
          <w:tcPr>
            <w:tcW w:w="1900" w:type="dxa"/>
            <w:noWrap/>
          </w:tcPr>
          <w:p>
            <w:pPr>
              <w:pStyle w:val="cell"/>
            </w:pPr>
            <w:r>
              <w:rPr>
                <w:sz w:val="16"/>
                <w:szCs w:val="16"/>
              </w:rPr>
              <w:t xml:space="preserve">5</w:t>
            </w:r>
          </w:p>
        </w:tc>
        <w:tc>
          <w:tcPr>
            <w:tcW w:w="900" w:type="dxa"/>
            <w:noWrap/>
          </w:tcPr>
          <w:p>
            <w:pPr>
              <w:pStyle w:val="cell"/>
            </w:pPr>
            <w:r>
              <w:rPr>
                <w:sz w:val="16"/>
                <w:szCs w:val="16"/>
              </w:rPr>
              <w:t xml:space="preserve">%</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Backup data reduction</w:t>
            </w:r>
          </w:p>
        </w:tc>
        <w:tc>
          <w:tcPr>
            <w:tcW w:w="1900" w:type="dxa"/>
            <w:shd w:val="clear" w:fill="F3F1EC"/>
            <w:noWrap/>
          </w:tcPr>
          <w:p>
            <w:pPr>
              <w:pStyle w:val="cell"/>
            </w:pPr>
            <w:r>
              <w:rPr>
                <w:sz w:val="16"/>
                <w:szCs w:val="16"/>
              </w:rPr>
              <w:t xml:space="preserve">1</w:t>
            </w:r>
          </w:p>
        </w:tc>
        <w:tc>
          <w:tcPr>
            <w:tcW w:w="900" w:type="dxa"/>
            <w:shd w:val="clear" w:fill="F3F1EC"/>
            <w:noWrap/>
          </w:tcPr>
          <w:p>
            <w:pPr>
              <w:pStyle w:val="cell"/>
            </w:pPr>
            <w:r>
              <w:rPr>
                <w:sz w:val="16"/>
                <w:szCs w:val="16"/>
              </w:rPr>
              <w:t xml:space="preserve">:1</w:t>
            </w:r>
          </w:p>
        </w:tc>
        <w:tc>
          <w:tcPr>
            <w:tcW w:w="1200" w:type="dxa"/>
            <w:shd w:val="clear" w:fill="F3F1EC"/>
            <w:noWrap/>
          </w:tcPr>
          <w:p>
            <w:pPr>
              <w:pStyle w:val="cell"/>
            </w:pPr>
            <w:r>
              <w:rPr>
                <w:sz w:val="16"/>
                <w:szCs w:val="16"/>
              </w:rPr>
              <w:t xml:space="preserve">Validate</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Backup retention</w:t>
            </w:r>
          </w:p>
        </w:tc>
        <w:tc>
          <w:tcPr>
            <w:tcW w:w="1900" w:type="dxa"/>
            <w:noWrap/>
          </w:tcPr>
          <w:p>
            <w:pPr>
              <w:pStyle w:val="cell"/>
            </w:pPr>
            <w:r>
              <w:rPr>
                <w:sz w:val="16"/>
                <w:szCs w:val="16"/>
              </w:rPr>
              <w:t xml:space="preserve">30</w:t>
            </w:r>
          </w:p>
        </w:tc>
        <w:tc>
          <w:tcPr>
            <w:tcW w:w="900" w:type="dxa"/>
            <w:noWrap/>
          </w:tcPr>
          <w:p>
            <w:pPr>
              <w:pStyle w:val="cell"/>
            </w:pPr>
            <w:r>
              <w:rPr>
                <w:sz w:val="16"/>
                <w:szCs w:val="16"/>
              </w:rPr>
              <w:t xml:space="preserve">days</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Storage bandwidth per 100 VMs</w:t>
            </w:r>
          </w:p>
        </w:tc>
        <w:tc>
          <w:tcPr>
            <w:tcW w:w="1900" w:type="dxa"/>
            <w:shd w:val="clear" w:fill="F3F1EC"/>
            <w:noWrap/>
          </w:tcPr>
          <w:p>
            <w:pPr>
              <w:pStyle w:val="cell"/>
            </w:pPr>
            <w:r>
              <w:rPr>
                <w:sz w:val="16"/>
                <w:szCs w:val="16"/>
              </w:rPr>
              <w:t xml:space="preserve">1</w:t>
            </w:r>
          </w:p>
        </w:tc>
        <w:tc>
          <w:tcPr>
            <w:tcW w:w="900" w:type="dxa"/>
            <w:shd w:val="clear" w:fill="F3F1EC"/>
            <w:noWrap/>
          </w:tcPr>
          <w:p>
            <w:pPr>
              <w:pStyle w:val="cell"/>
            </w:pPr>
            <w:r>
              <w:rPr>
                <w:sz w:val="16"/>
                <w:szCs w:val="16"/>
              </w:rPr>
              <w:t xml:space="preserve">Gbps</w:t>
            </w:r>
          </w:p>
        </w:tc>
        <w:tc>
          <w:tcPr>
            <w:tcW w:w="1200" w:type="dxa"/>
            <w:shd w:val="clear" w:fill="F3F1EC"/>
            <w:noWrap/>
          </w:tcPr>
          <w:p>
            <w:pPr>
              <w:pStyle w:val="cell"/>
            </w:pPr>
            <w:r>
              <w:rPr>
                <w:sz w:val="16"/>
                <w:szCs w:val="16"/>
              </w:rPr>
              <w:t xml:space="preserve">Official</w:t>
            </w:r>
          </w:p>
        </w:tc>
        <w:tc>
          <w:tcPr>
            <w:tcW w:w="2600" w:type="dxa"/>
            <w:shd w:val="clear" w:fill="F3F1EC"/>
            <w:noWrap/>
          </w:tcPr>
          <w:p>
            <w:pPr>
              <w:pStyle w:val="cell"/>
            </w:pPr>
            <w:r>
              <w:rPr>
                <w:sz w:val="16"/>
                <w:szCs w:val="16"/>
              </w:rPr>
              <w:t xml:space="preserve">Storage Bandwidth Considerations</w:t>
            </w:r>
          </w:p>
        </w:tc>
      </w:tr>
      <w:tr>
        <w:trPr>
          <w:cantSplit w:val="1"/>
        </w:trPr>
        <w:tc>
          <w:tcPr>
            <w:tcW w:w="3200" w:type="dxa"/>
            <w:noWrap/>
          </w:tcPr>
          <w:p>
            <w:pPr>
              <w:pStyle w:val="cell"/>
            </w:pPr>
            <w:r>
              <w:rPr>
                <w:sz w:val="16"/>
                <w:szCs w:val="16"/>
              </w:rPr>
              <w:t xml:space="preserve">VMs booting simultaneously</w:t>
            </w:r>
          </w:p>
        </w:tc>
        <w:tc>
          <w:tcPr>
            <w:tcW w:w="1900" w:type="dxa"/>
            <w:noWrap/>
          </w:tcPr>
          <w:p>
            <w:pPr>
              <w:pStyle w:val="cell"/>
            </w:pPr>
            <w:r>
              <w:rPr>
                <w:sz w:val="16"/>
                <w:szCs w:val="16"/>
              </w:rPr>
              <w:t xml:space="preserve">10</w:t>
            </w:r>
          </w:p>
        </w:tc>
        <w:tc>
          <w:tcPr>
            <w:tcW w:w="900" w:type="dxa"/>
            <w:noWrap/>
          </w:tcPr>
          <w:p>
            <w:pPr>
              <w:pStyle w:val="cell"/>
            </w:pPr>
            <w:r>
              <w:rPr>
                <w:sz w:val="16"/>
                <w:szCs w:val="16"/>
              </w:rPr>
              <w:t xml:space="preserve">%</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IOPS per VM while booting</w:t>
            </w:r>
          </w:p>
        </w:tc>
        <w:tc>
          <w:tcPr>
            <w:tcW w:w="1900" w:type="dxa"/>
            <w:shd w:val="clear" w:fill="F3F1EC"/>
            <w:noWrap/>
          </w:tcPr>
          <w:p>
            <w:pPr>
              <w:pStyle w:val="cell"/>
            </w:pPr>
            <w:r>
              <w:rPr>
                <w:sz w:val="16"/>
                <w:szCs w:val="16"/>
              </w:rPr>
              <w:t xml:space="preserve">100</w:t>
            </w:r>
          </w:p>
        </w:tc>
        <w:tc>
          <w:tcPr>
            <w:tcW w:w="900" w:type="dxa"/>
            <w:shd w:val="clear" w:fill="F3F1EC"/>
            <w:noWrap/>
          </w:tcPr>
          <w:p>
            <w:pPr>
              <w:pStyle w:val="cell"/>
            </w:pPr>
            <w:r>
              <w:rPr>
                <w:sz w:val="16"/>
                <w:szCs w:val="16"/>
              </w:rPr>
              <w:t xml:space="preserve">IOPS</w:t>
            </w:r>
          </w:p>
        </w:tc>
        <w:tc>
          <w:tcPr>
            <w:tcW w:w="1200" w:type="dxa"/>
            <w:shd w:val="clear" w:fill="F3F1EC"/>
            <w:noWrap/>
          </w:tcPr>
          <w:p>
            <w:pPr>
              <w:pStyle w:val="cell"/>
            </w:pPr>
            <w:r>
              <w:rPr>
                <w:sz w:val="16"/>
                <w:szCs w:val="16"/>
              </w:rPr>
              <w:t xml:space="preserve">Assumption</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Data reduction credit</w:t>
            </w:r>
          </w:p>
        </w:tc>
        <w:tc>
          <w:tcPr>
            <w:tcW w:w="1900" w:type="dxa"/>
            <w:noWrap/>
          </w:tcPr>
          <w:p>
            <w:pPr>
              <w:pStyle w:val="cell"/>
            </w:pPr>
            <w:r>
              <w:rPr>
                <w:sz w:val="16"/>
                <w:szCs w:val="16"/>
              </w:rPr>
              <w:t xml:space="preserve">1</w:t>
            </w:r>
          </w:p>
        </w:tc>
        <w:tc>
          <w:tcPr>
            <w:tcW w:w="900" w:type="dxa"/>
            <w:noWrap/>
          </w:tcPr>
          <w:p>
            <w:pPr>
              <w:pStyle w:val="cell"/>
            </w:pPr>
            <w:r>
              <w:rPr>
                <w:sz w:val="16"/>
                <w:szCs w:val="16"/>
              </w:rPr>
              <w:t xml:space="preserve">:1</w:t>
            </w:r>
          </w:p>
        </w:tc>
        <w:tc>
          <w:tcPr>
            <w:tcW w:w="1200" w:type="dxa"/>
            <w:noWrap/>
          </w:tcPr>
          <w:p>
            <w:pPr>
              <w:pStyle w:val="cell"/>
            </w:pPr>
            <w:r>
              <w:rPr>
                <w:sz w:val="16"/>
                <w:szCs w:val="16"/>
              </w:rPr>
              <w:t xml:space="preserve">Validate</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Free-space margin on desktop disk estimate</w:t>
            </w:r>
          </w:p>
        </w:tc>
        <w:tc>
          <w:tcPr>
            <w:tcW w:w="1900" w:type="dxa"/>
            <w:shd w:val="clear" w:fill="F3F1EC"/>
            <w:noWrap/>
          </w:tcPr>
          <w:p>
            <w:pPr>
              <w:pStyle w:val="cell"/>
            </w:pPr>
            <w:r>
              <w:rPr>
                <w:sz w:val="16"/>
                <w:szCs w:val="16"/>
              </w:rPr>
              <w:t xml:space="preserve">15</w:t>
            </w:r>
          </w:p>
        </w:tc>
        <w:tc>
          <w:tcPr>
            <w:tcW w:w="900" w:type="dxa"/>
            <w:shd w:val="clear" w:fill="F3F1EC"/>
            <w:noWrap/>
          </w:tcPr>
          <w:p>
            <w:pPr>
              <w:pStyle w:val="cell"/>
            </w:pPr>
            <w:r>
              <w:rPr>
                <w:sz w:val="16"/>
                <w:szCs w:val="16"/>
              </w:rPr>
              <w:t xml:space="preserve">%</w:t>
            </w:r>
          </w:p>
        </w:tc>
        <w:tc>
          <w:tcPr>
            <w:tcW w:w="1200" w:type="dxa"/>
            <w:shd w:val="clear" w:fill="F3F1EC"/>
            <w:noWrap/>
          </w:tcPr>
          <w:p>
            <w:pPr>
              <w:pStyle w:val="cell"/>
            </w:pPr>
            <w:r>
              <w:rPr>
                <w:sz w:val="16"/>
                <w:szCs w:val="16"/>
              </w:rPr>
              <w:t xml:space="preserve">Official</w:t>
            </w:r>
          </w:p>
        </w:tc>
        <w:tc>
          <w:tcPr>
            <w:tcW w:w="2600" w:type="dxa"/>
            <w:shd w:val="clear" w:fill="F3F1EC"/>
            <w:noWrap/>
          </w:tcPr>
          <w:p>
            <w:pPr>
              <w:pStyle w:val="cell"/>
            </w:pPr>
            <w:r>
              <w:rPr>
                <w:sz w:val="16"/>
                <w:szCs w:val="16"/>
              </w:rPr>
              <w:t xml:space="preserve">Choosing the Appropriate System Disk Size</w:t>
            </w:r>
          </w:p>
        </w:tc>
      </w:tr>
      <w:tr>
        <w:trPr>
          <w:cantSplit w:val="1"/>
        </w:trPr>
        <w:tc>
          <w:tcPr>
            <w:tcW w:w="3200" w:type="dxa"/>
            <w:noWrap/>
          </w:tcPr>
          <w:p>
            <w:pPr>
              <w:pStyle w:val="cell"/>
            </w:pPr>
            <w:r>
              <w:rPr>
                <w:sz w:val="16"/>
                <w:szCs w:val="16"/>
              </w:rPr>
              <w:t xml:space="preserve">Golden image versions retained</w:t>
            </w:r>
          </w:p>
        </w:tc>
        <w:tc>
          <w:tcPr>
            <w:tcW w:w="1900" w:type="dxa"/>
            <w:noWrap/>
          </w:tcPr>
          <w:p>
            <w:pPr>
              <w:pStyle w:val="cell"/>
            </w:pPr>
            <w:r>
              <w:rPr>
                <w:sz w:val="16"/>
                <w:szCs w:val="16"/>
              </w:rPr>
              <w:t xml:space="preserve">2</w:t>
            </w:r>
          </w:p>
        </w:tc>
        <w:tc>
          <w:tcPr>
            <w:tcW w:w="900" w:type="dxa"/>
            <w:noWrap/>
          </w:tcPr>
          <w:p>
            <w:pPr>
              <w:pStyle w:val="cell"/>
            </w:pPr>
            <w:r>
              <w:rPr>
                <w:sz w:val="16"/>
                <w:szCs w:val="16"/>
              </w:rPr>
              <w:t xml:space="preserve">versions</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Average I/O size</w:t>
            </w:r>
          </w:p>
        </w:tc>
        <w:tc>
          <w:tcPr>
            <w:tcW w:w="1900" w:type="dxa"/>
            <w:shd w:val="clear" w:fill="F3F1EC"/>
            <w:noWrap/>
          </w:tcPr>
          <w:p>
            <w:pPr>
              <w:pStyle w:val="cell"/>
            </w:pPr>
            <w:r>
              <w:rPr>
                <w:sz w:val="16"/>
                <w:szCs w:val="16"/>
              </w:rPr>
              <w:t xml:space="preserve">16</w:t>
            </w:r>
          </w:p>
        </w:tc>
        <w:tc>
          <w:tcPr>
            <w:tcW w:w="900" w:type="dxa"/>
            <w:shd w:val="clear" w:fill="F3F1EC"/>
            <w:noWrap/>
          </w:tcPr>
          <w:p>
            <w:pPr>
              <w:pStyle w:val="cell"/>
            </w:pPr>
            <w:r>
              <w:rPr>
                <w:sz w:val="16"/>
                <w:szCs w:val="16"/>
              </w:rPr>
              <w:t xml:space="preserve">KB</w:t>
            </w:r>
          </w:p>
        </w:tc>
        <w:tc>
          <w:tcPr>
            <w:tcW w:w="1200" w:type="dxa"/>
            <w:shd w:val="clear" w:fill="F3F1EC"/>
            <w:noWrap/>
          </w:tcPr>
          <w:p>
            <w:pPr>
              <w:pStyle w:val="cell"/>
            </w:pPr>
            <w:r>
              <w:rPr>
                <w:sz w:val="16"/>
                <w:szCs w:val="16"/>
              </w:rPr>
              <w:t xml:space="preserve">Assumption</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Logon duration</w:t>
            </w:r>
          </w:p>
        </w:tc>
        <w:tc>
          <w:tcPr>
            <w:tcW w:w="1900" w:type="dxa"/>
            <w:noWrap/>
          </w:tcPr>
          <w:p>
            <w:pPr>
              <w:pStyle w:val="cell"/>
            </w:pPr>
            <w:r>
              <w:rPr>
                <w:sz w:val="16"/>
                <w:szCs w:val="16"/>
              </w:rPr>
              <w:t xml:space="preserve">30</w:t>
            </w:r>
          </w:p>
        </w:tc>
        <w:tc>
          <w:tcPr>
            <w:tcW w:w="900" w:type="dxa"/>
            <w:noWrap/>
          </w:tcPr>
          <w:p>
            <w:pPr>
              <w:pStyle w:val="cell"/>
            </w:pPr>
            <w:r>
              <w:rPr>
                <w:sz w:val="16"/>
                <w:szCs w:val="16"/>
              </w:rPr>
              <w:t xml:space="preserve">s</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Additional IOPS per user during logon</w:t>
            </w:r>
          </w:p>
        </w:tc>
        <w:tc>
          <w:tcPr>
            <w:tcW w:w="1900" w:type="dxa"/>
            <w:shd w:val="clear" w:fill="F3F1EC"/>
            <w:noWrap/>
          </w:tcPr>
          <w:p>
            <w:pPr>
              <w:pStyle w:val="cell"/>
            </w:pPr>
            <w:r>
              <w:rPr>
                <w:sz w:val="16"/>
                <w:szCs w:val="16"/>
              </w:rPr>
              <w:t xml:space="preserve">50</w:t>
            </w:r>
          </w:p>
        </w:tc>
        <w:tc>
          <w:tcPr>
            <w:tcW w:w="900" w:type="dxa"/>
            <w:shd w:val="clear" w:fill="F3F1EC"/>
            <w:noWrap/>
          </w:tcPr>
          <w:p>
            <w:pPr>
              <w:pStyle w:val="cell"/>
            </w:pPr>
            <w:r>
              <w:rPr>
                <w:sz w:val="16"/>
                <w:szCs w:val="16"/>
              </w:rPr>
              <w:t xml:space="preserve">IOPS</w:t>
            </w:r>
          </w:p>
        </w:tc>
        <w:tc>
          <w:tcPr>
            <w:tcW w:w="1200" w:type="dxa"/>
            <w:shd w:val="clear" w:fill="F3F1EC"/>
            <w:noWrap/>
          </w:tcPr>
          <w:p>
            <w:pPr>
              <w:pStyle w:val="cell"/>
            </w:pPr>
            <w:r>
              <w:rPr>
                <w:sz w:val="16"/>
                <w:szCs w:val="16"/>
              </w:rPr>
              <w:t xml:space="preserve">Assumption</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Logs and monitoring storage</w:t>
            </w:r>
          </w:p>
        </w:tc>
        <w:tc>
          <w:tcPr>
            <w:tcW w:w="1900" w:type="dxa"/>
            <w:noWrap/>
          </w:tcPr>
          <w:p>
            <w:pPr>
              <w:pStyle w:val="cell"/>
            </w:pPr>
            <w:r>
              <w:rPr>
                <w:sz w:val="16"/>
                <w:szCs w:val="16"/>
              </w:rPr>
              <w:t xml:space="preserve">500</w:t>
            </w:r>
          </w:p>
        </w:tc>
        <w:tc>
          <w:tcPr>
            <w:tcW w:w="900" w:type="dxa"/>
            <w:noWrap/>
          </w:tcPr>
          <w:p>
            <w:pPr>
              <w:pStyle w:val="cell"/>
            </w:pPr>
            <w:r>
              <w:rPr>
                <w:sz w:val="16"/>
                <w:szCs w:val="16"/>
              </w:rPr>
              <w:t xml:space="preserve">GB</w:t>
            </w:r>
          </w:p>
        </w:tc>
        <w:tc>
          <w:tcPr>
            <w:tcW w:w="1200" w:type="dxa"/>
            <w:noWrap/>
          </w:tcPr>
          <w:p>
            <w:pPr>
              <w:pStyle w:val="cell"/>
            </w:pPr>
            <w:r>
              <w:rPr>
                <w:sz w:val="16"/>
                <w:szCs w:val="16"/>
              </w:rPr>
              <w:t xml:space="preserve">Assumption</w:t>
            </w:r>
          </w:p>
        </w:tc>
        <w:tc>
          <w:tcPr>
            <w:tcW w:w="2600" w:type="dxa"/>
            <w:noWrap/>
          </w:tcPr>
          <w:p>
            <w:pPr>
              <w:pStyle w:val="cell"/>
            </w:pPr>
            <w:r>
              <w:rPr>
                <w:sz w:val="16"/>
                <w:szCs w:val="16"/>
              </w:rPr>
              <w:t xml:space="preserve">—</w:t>
            </w:r>
          </w:p>
        </w:tc>
      </w:tr>
      <w:tr>
        <w:trPr>
          <w:cantSplit w:val="1"/>
        </w:trPr>
        <w:tc>
          <w:tcPr>
            <w:tcW w:w="3200" w:type="dxa"/>
            <w:shd w:val="clear" w:fill="F3F1EC"/>
            <w:noWrap/>
          </w:tcPr>
          <w:p>
            <w:pPr>
              <w:pStyle w:val="cell"/>
            </w:pPr>
            <w:r>
              <w:rPr>
                <w:sz w:val="16"/>
                <w:szCs w:val="16"/>
              </w:rPr>
              <w:t xml:space="preserve">Steady-state read share</w:t>
            </w:r>
          </w:p>
        </w:tc>
        <w:tc>
          <w:tcPr>
            <w:tcW w:w="1900" w:type="dxa"/>
            <w:shd w:val="clear" w:fill="F3F1EC"/>
            <w:noWrap/>
          </w:tcPr>
          <w:p>
            <w:pPr>
              <w:pStyle w:val="cell"/>
            </w:pPr>
            <w:r>
              <w:rPr>
                <w:sz w:val="16"/>
                <w:szCs w:val="16"/>
              </w:rPr>
              <w:t xml:space="preserve">30</w:t>
            </w:r>
          </w:p>
        </w:tc>
        <w:tc>
          <w:tcPr>
            <w:tcW w:w="900" w:type="dxa"/>
            <w:shd w:val="clear" w:fill="F3F1EC"/>
            <w:noWrap/>
          </w:tcPr>
          <w:p>
            <w:pPr>
              <w:pStyle w:val="cell"/>
            </w:pPr>
            <w:r>
              <w:rPr>
                <w:sz w:val="16"/>
                <w:szCs w:val="16"/>
              </w:rPr>
              <w:t xml:space="preserve">%</w:t>
            </w:r>
          </w:p>
        </w:tc>
        <w:tc>
          <w:tcPr>
            <w:tcW w:w="1200" w:type="dxa"/>
            <w:shd w:val="clear" w:fill="F3F1EC"/>
            <w:noWrap/>
          </w:tcPr>
          <w:p>
            <w:pPr>
              <w:pStyle w:val="cell"/>
            </w:pPr>
            <w:r>
              <w:rPr>
                <w:sz w:val="16"/>
                <w:szCs w:val="16"/>
              </w:rPr>
              <w:t xml:space="preserve">Assumption</w:t>
            </w:r>
          </w:p>
        </w:tc>
        <w:tc>
          <w:tcPr>
            <w:tcW w:w="2600" w:type="dxa"/>
            <w:shd w:val="clear" w:fill="F3F1EC"/>
            <w:noWrap/>
          </w:tcPr>
          <w:p>
            <w:pPr>
              <w:pStyle w:val="cell"/>
            </w:pPr>
            <w:r>
              <w:rPr>
                <w:sz w:val="16"/>
                <w:szCs w:val="16"/>
              </w:rPr>
              <w:t xml:space="preserve">—</w:t>
            </w:r>
          </w:p>
        </w:tc>
      </w:tr>
      <w:tr>
        <w:trPr>
          <w:cantSplit w:val="1"/>
        </w:trPr>
        <w:tc>
          <w:tcPr>
            <w:tcW w:w="3200" w:type="dxa"/>
            <w:noWrap/>
          </w:tcPr>
          <w:p>
            <w:pPr>
              <w:pStyle w:val="cell"/>
            </w:pPr>
            <w:r>
              <w:rPr>
                <w:sz w:val="16"/>
                <w:szCs w:val="16"/>
              </w:rPr>
              <w:t xml:space="preserve">Log files per virtual desktop</w:t>
            </w:r>
          </w:p>
        </w:tc>
        <w:tc>
          <w:tcPr>
            <w:tcW w:w="1900" w:type="dxa"/>
            <w:noWrap/>
          </w:tcPr>
          <w:p>
            <w:pPr>
              <w:pStyle w:val="cell"/>
            </w:pPr>
            <w:r>
              <w:rPr>
                <w:sz w:val="16"/>
                <w:szCs w:val="16"/>
              </w:rPr>
              <w:t xml:space="preserve">0.1</w:t>
            </w:r>
          </w:p>
        </w:tc>
        <w:tc>
          <w:tcPr>
            <w:tcW w:w="900" w:type="dxa"/>
            <w:noWrap/>
          </w:tcPr>
          <w:p>
            <w:pPr>
              <w:pStyle w:val="cell"/>
            </w:pPr>
            <w:r>
              <w:rPr>
                <w:sz w:val="16"/>
                <w:szCs w:val="16"/>
              </w:rPr>
              <w:t xml:space="preserve">GB</w:t>
            </w:r>
          </w:p>
        </w:tc>
        <w:tc>
          <w:tcPr>
            <w:tcW w:w="1200" w:type="dxa"/>
            <w:noWrap/>
          </w:tcPr>
          <w:p>
            <w:pPr>
              <w:pStyle w:val="cell"/>
            </w:pPr>
            <w:r>
              <w:rPr>
                <w:sz w:val="16"/>
                <w:szCs w:val="16"/>
              </w:rPr>
              <w:t xml:space="preserve">Official</w:t>
            </w:r>
          </w:p>
        </w:tc>
        <w:tc>
          <w:tcPr>
            <w:tcW w:w="2600" w:type="dxa"/>
            <w:noWrap/>
          </w:tcPr>
          <w:p>
            <w:pPr>
              <w:pStyle w:val="cell"/>
            </w:pPr>
            <w:r>
              <w:rPr>
                <w:sz w:val="16"/>
                <w:szCs w:val="16"/>
              </w:rPr>
              <w:t xml:space="preserve">Choosing the Appropriate System Disk Size</w:t>
            </w:r>
          </w:p>
        </w:tc>
      </w:tr>
      <w:tr>
        <w:trPr>
          <w:cantSplit w:val="1"/>
        </w:trPr>
        <w:tc>
          <w:tcPr>
            <w:tcW w:w="3200" w:type="dxa"/>
            <w:shd w:val="clear" w:fill="F3F1EC"/>
            <w:noWrap/>
          </w:tcPr>
          <w:p>
            <w:pPr>
              <w:pStyle w:val="cell"/>
            </w:pPr>
            <w:r>
              <w:rPr>
                <w:sz w:val="16"/>
                <w:szCs w:val="16"/>
              </w:rPr>
              <w:t xml:space="preserve">UAG spare appliances (n+1)</w:t>
            </w:r>
          </w:p>
        </w:tc>
        <w:tc>
          <w:tcPr>
            <w:tcW w:w="1900" w:type="dxa"/>
            <w:shd w:val="clear" w:fill="F3F1EC"/>
            <w:noWrap/>
          </w:tcPr>
          <w:p>
            <w:pPr>
              <w:pStyle w:val="cell"/>
            </w:pPr>
            <w:r>
              <w:rPr>
                <w:sz w:val="16"/>
                <w:szCs w:val="16"/>
              </w:rPr>
              <w:t xml:space="preserve">1</w:t>
            </w:r>
          </w:p>
        </w:tc>
        <w:tc>
          <w:tcPr>
            <w:tcW w:w="900" w:type="dxa"/>
            <w:shd w:val="clear" w:fill="F3F1EC"/>
            <w:noWrap/>
          </w:tcPr>
          <w:p>
            <w:pPr>
              <w:pStyle w:val="cell"/>
            </w:pPr>
            <w:r>
              <w:rPr>
                <w:sz w:val="16"/>
                <w:szCs w:val="16"/>
              </w:rPr>
              <w:t xml:space="preserve">appliances</w:t>
            </w:r>
          </w:p>
        </w:tc>
        <w:tc>
          <w:tcPr>
            <w:tcW w:w="1200" w:type="dxa"/>
            <w:shd w:val="clear" w:fill="F3F1EC"/>
            <w:noWrap/>
          </w:tcPr>
          <w:p>
            <w:pPr>
              <w:pStyle w:val="cell"/>
            </w:pPr>
            <w:r>
              <w:rPr>
                <w:sz w:val="16"/>
                <w:szCs w:val="16"/>
              </w:rPr>
              <w:t xml:space="preserve">Official</w:t>
            </w:r>
          </w:p>
        </w:tc>
        <w:tc>
          <w:tcPr>
            <w:tcW w:w="2600" w:type="dxa"/>
            <w:shd w:val="clear" w:fill="F3F1EC"/>
            <w:noWrap/>
          </w:tcPr>
          <w:p>
            <w:pPr>
              <w:pStyle w:val="cell"/>
            </w:pPr>
            <w:r>
              <w:rPr>
                <w:sz w:val="16"/>
                <w:szCs w:val="16"/>
              </w:rPr>
              <w:t xml:space="preserve">Unified Access Gateway architecture (Omnissa Tech Zone)</w:t>
            </w:r>
          </w:p>
        </w:tc>
      </w:tr>
      <w:tr>
        <w:trPr>
          <w:cantSplit w:val="1"/>
        </w:trPr>
        <w:tc>
          <w:tcPr>
            <w:tcW w:w="3200" w:type="dxa"/>
            <w:noWrap/>
          </w:tcPr>
          <w:p>
            <w:pPr>
              <w:pStyle w:val="cell"/>
            </w:pPr>
            <w:r>
              <w:rPr>
                <w:sz w:val="16"/>
                <w:szCs w:val="16"/>
              </w:rPr>
              <w:t xml:space="preserve">UAG standard appliance</w:t>
            </w:r>
          </w:p>
        </w:tc>
        <w:tc>
          <w:tcPr>
            <w:tcW w:w="1900" w:type="dxa"/>
            <w:noWrap/>
          </w:tcPr>
          <w:p>
            <w:pPr>
              <w:pStyle w:val="cell"/>
            </w:pPr>
            <w:r>
              <w:rPr>
                <w:sz w:val="16"/>
                <w:szCs w:val="16"/>
              </w:rPr>
              <w:t xml:space="preserve">vcpu: 2, ram_gb: 4, disk_gb: 20, horizon_sessions: 2000, min_version: </w:t>
            </w:r>
          </w:p>
        </w:tc>
        <w:tc>
          <w:tcPr>
            <w:tcW w:w="900" w:type="dxa"/>
            <w:noWrap/>
          </w:tcPr>
          <w:p>
            <w:pPr>
              <w:pStyle w:val="cell"/>
            </w:pPr>
            <w:r>
              <w:rPr>
                <w:sz w:val="16"/>
                <w:szCs w:val="16"/>
              </w:rPr>
              <w:t xml:space="preserve"/>
            </w:r>
          </w:p>
        </w:tc>
        <w:tc>
          <w:tcPr>
            <w:tcW w:w="1200" w:type="dxa"/>
            <w:noWrap/>
          </w:tcPr>
          <w:p>
            <w:pPr>
              <w:pStyle w:val="cell"/>
            </w:pPr>
            <w:r>
              <w:rPr>
                <w:sz w:val="16"/>
                <w:szCs w:val="16"/>
              </w:rPr>
              <w:t xml:space="preserve">Official</w:t>
            </w:r>
          </w:p>
        </w:tc>
        <w:tc>
          <w:tcPr>
            <w:tcW w:w="2600" w:type="dxa"/>
            <w:noWrap/>
          </w:tcPr>
          <w:p>
            <w:pPr>
              <w:pStyle w:val="cell"/>
            </w:pPr>
            <w:r>
              <w:rPr>
                <w:sz w:val="16"/>
                <w:szCs w:val="16"/>
              </w:rPr>
              <w:t xml:space="preserve">Unified Access Gateway architecture (Omnissa Tech Zone)</w:t>
            </w:r>
          </w:p>
        </w:tc>
      </w:tr>
      <w:tr>
        <w:trPr>
          <w:cantSplit w:val="1"/>
        </w:trPr>
        <w:tc>
          <w:tcPr>
            <w:tcW w:w="3200" w:type="dxa"/>
            <w:shd w:val="clear" w:fill="F3F1EC"/>
            <w:noWrap/>
          </w:tcPr>
          <w:p>
            <w:pPr>
              <w:pStyle w:val="cell"/>
            </w:pPr>
            <w:r>
              <w:rPr>
                <w:sz w:val="16"/>
                <w:szCs w:val="16"/>
              </w:rPr>
              <w:t xml:space="preserve">Dedicated desktops powered on at peak</w:t>
            </w:r>
          </w:p>
        </w:tc>
        <w:tc>
          <w:tcPr>
            <w:tcW w:w="1900" w:type="dxa"/>
            <w:shd w:val="clear" w:fill="F3F1EC"/>
            <w:noWrap/>
          </w:tcPr>
          <w:p>
            <w:pPr>
              <w:pStyle w:val="cell"/>
            </w:pPr>
            <w:r>
              <w:rPr>
                <w:sz w:val="16"/>
                <w:szCs w:val="16"/>
              </w:rPr>
              <w:t xml:space="preserve">100</w:t>
            </w:r>
          </w:p>
        </w:tc>
        <w:tc>
          <w:tcPr>
            <w:tcW w:w="900" w:type="dxa"/>
            <w:shd w:val="clear" w:fill="F3F1EC"/>
            <w:noWrap/>
          </w:tcPr>
          <w:p>
            <w:pPr>
              <w:pStyle w:val="cell"/>
            </w:pPr>
            <w:r>
              <w:rPr>
                <w:sz w:val="16"/>
                <w:szCs w:val="16"/>
              </w:rPr>
              <w:t xml:space="preserve">%</w:t>
            </w:r>
          </w:p>
        </w:tc>
        <w:tc>
          <w:tcPr>
            <w:tcW w:w="1200" w:type="dxa"/>
            <w:shd w:val="clear" w:fill="F3F1EC"/>
            <w:noWrap/>
          </w:tcPr>
          <w:p>
            <w:pPr>
              <w:pStyle w:val="cell"/>
            </w:pPr>
            <w:r>
              <w:rPr>
                <w:sz w:val="16"/>
                <w:szCs w:val="16"/>
              </w:rPr>
              <w:t xml:space="preserve">Assumption</w:t>
            </w:r>
          </w:p>
        </w:tc>
        <w:tc>
          <w:tcPr>
            <w:tcW w:w="2600" w:type="dxa"/>
            <w:shd w:val="clear" w:fill="F3F1EC"/>
            <w:noWrap/>
          </w:tcPr>
          <w:p>
            <w:pPr>
              <w:pStyle w:val="cell"/>
            </w:pPr>
            <w:r>
              <w:rPr>
                <w:sz w:val="16"/>
                <w:szCs w:val="16"/>
              </w:rPr>
              <w:t xml:space="preserve">—</w:t>
            </w:r>
          </w:p>
        </w:tc>
      </w:tr>
    </w:tbl>
    <w:p>
      <w:pPr>
        <w:rPr>
          <w:sz w:val="8"/>
          <w:szCs w:val="8"/>
        </w:rPr>
      </w:pPr>
    </w:p>
    <w:p>
      <w:pPr>
        <w:pStyle w:val="Heading1"/>
      </w:pPr>
      <w:bookmarkStart w:id="6" w:name="_Toc6"/>
      <w:r>
        <w:t>4. Sizing methodology</w:t>
      </w:r>
      <w:bookmarkEnd w:id="6"/>
    </w:p>
    <w:p>
      <w:pPr>
        <w:numPr>
          <w:ilvl w:val="0"/>
          <w:numId w:val="6"/>
        </w:numPr>
      </w:pPr>
      <w:r>
        <w:rPr>
          <w:sz w:val="19"/>
          <w:szCs w:val="19"/>
        </w:rPr>
        <w:t xml:space="preserve">Demand is calculated per workload: single-session desktops (VDI pools) and multi-session RDS hosts use separate formulas; GPU demand comes from the selected NVIDIA vGPU type, never from user counts alone.</w:t>
      </w:r>
    </w:p>
    <w:p>
      <w:pPr>
        <w:numPr>
          <w:ilvl w:val="0"/>
          <w:numId w:val="6"/>
        </w:numPr>
      </w:pPr>
      <w:r>
        <w:rPr>
          <w:sz w:val="19"/>
          <w:szCs w:val="19"/>
        </w:rPr>
        <w:t xml:space="preserve">Physical cores use the larger of the consolidation-ratio method (vCPU ÷ vCPU:core ratio, capped by the tested maximum of 8 vCPU per core) and, where measured CPU data exists, the demand method (MHz ÷ core MHz × 80 % target).</w:t>
      </w:r>
    </w:p>
    <w:p>
      <w:pPr>
        <w:numPr>
          <w:ilvl w:val="0"/>
          <w:numId w:val="6"/>
        </w:numPr>
      </w:pPr>
      <w:r>
        <w:rPr>
          <w:sz w:val="19"/>
          <w:szCs w:val="19"/>
        </w:rPr>
        <w:t xml:space="preserve">Memory per desktop adds the official VRAM overhead for the resolution and monitor count. Omnissa recommends reserving all desktop memory, so no memory overcommit is applied by default.</w:t>
      </w:r>
    </w:p>
    <w:p>
      <w:pPr>
        <w:numPr>
          <w:ilvl w:val="0"/>
          <w:numId w:val="6"/>
        </w:numPr>
      </w:pPr>
      <w:r>
        <w:rPr>
          <w:sz w:val="19"/>
          <w:szCs w:val="19"/>
        </w:rPr>
        <w:t xml:space="preserve">Hosts per cluster are the maximum of CPU, memory, storage (HCI), GPU and VM-density requirements, plus N+X failure tolerance per cluster and the platform minimum (e.g. vSAN FTT=1 needs three hosts).</w:t>
      </w:r>
    </w:p>
    <w:p>
      <w:pPr>
        <w:numPr>
          <w:ilvl w:val="0"/>
          <w:numId w:val="6"/>
        </w:numPr>
      </w:pPr>
      <w:r>
        <w:rPr>
          <w:sz w:val="19"/>
          <w:szCs w:val="19"/>
        </w:rPr>
        <w:t xml:space="preserve">Storage uses the official instant-clone formula, the full-clone rule (+15 %), and platform protection factors (vSAN policy, Nutanix replication factor or array RAID).</w:t>
      </w:r>
    </w:p>
    <w:p>
      <w:pPr>
        <w:numPr>
          <w:ilvl w:val="0"/>
          <w:numId w:val="6"/>
        </w:numPr>
      </w:pPr>
      <w:r>
        <w:rPr>
          <w:sz w:val="19"/>
          <w:szCs w:val="19"/>
        </w:rPr>
        <w:t xml:space="preserve">Horizon limits (sessions per Connection Server, pods, UAG sessions, pool and farm sizes) come from the Omnissa Configuration Maximums for Horizon 2606.</w:t>
      </w:r>
    </w:p>
    <w:p>
      <w:pPr>
        <w:numPr>
          <w:ilvl w:val="0"/>
          <w:numId w:val="6"/>
        </w:numPr>
      </w:pPr>
      <w:r>
        <w:rPr>
          <w:sz w:val="19"/>
          <w:szCs w:val="19"/>
        </w:rPr>
        <w:t xml:space="preserve">Scenarios: baseline (no failure reserve), balanced (recommended), performance-oriented, failure (FTT hosts out of service) and growth.</w:t>
      </w:r>
    </w:p>
    <w:p>
      <w:pPr>
        <w:numPr>
          <w:ilvl w:val="0"/>
          <w:numId w:val="6"/>
        </w:numPr>
      </w:pPr>
      <w:r>
        <w:rPr>
          <w:sz w:val="19"/>
          <w:szCs w:val="19"/>
        </w:rPr>
        <w:t xml:space="preserve">Rounding: counts round up; capacities keep two decimals. Every step is listed in the calculation appendix.</w:t>
      </w:r>
    </w:p>
    <w:p>
      <w:pPr>
        <w:pStyle w:val="Heading1"/>
      </w:pPr>
      <w:bookmarkStart w:id="7" w:name="_Toc7"/>
      <w:r>
        <w:t>5. Compute and memory sizing</w:t>
      </w:r>
      <w:bookmarkEnd w:id="7"/>
    </w:p>
    <w:p>
      <w:pPr>
        <w:pStyle w:val="Heading2"/>
      </w:pPr>
      <w:bookmarkStart w:id="8" w:name="_Toc8"/>
      <w:r>
        <w:t>Workload demand</w:t>
      </w:r>
      <w:bookmarkEnd w:id="8"/>
    </w:p>
    <w:tbl>
      <w:tblGrid>
        <w:gridCol w:w="2400" w:type="dxa"/>
        <w:gridCol w:w="900" w:type="dxa"/>
        <w:gridCol w:w="900" w:type="dxa"/>
        <w:gridCol w:w="900" w:type="dxa"/>
        <w:gridCol w:w="900" w:type="dxa"/>
        <w:gridCol w:w="900" w:type="dxa"/>
        <w:gridCol w:w="900" w:type="dxa"/>
        <w:gridCol w:w="1100" w:type="dxa"/>
      </w:tblGrid>
      <w:tblPr>
        <w:tblStyle w:val="grid"/>
      </w:tblPr>
      <w:tr>
        <w:trPr>
          <w:tblHeader w:val="1"/>
          <w:cantSplit w:val="1"/>
        </w:trPr>
        <w:tc>
          <w:tcPr>
            <w:tcW w:w="2400" w:type="dxa"/>
            <w:shd w:val="clear" w:fill="0B0B0B"/>
            <w:noWrap/>
          </w:tcPr>
          <w:p>
            <w:pPr>
              <w:pStyle w:val="cell"/>
            </w:pPr>
            <w:r>
              <w:rPr>
                <w:color w:val="FFFFFF"/>
                <w:sz w:val="17"/>
                <w:szCs w:val="17"/>
                <w:b w:val="1"/>
                <w:bCs w:val="1"/>
              </w:rPr>
              <w:t xml:space="preserve">Workload</w:t>
            </w:r>
          </w:p>
        </w:tc>
        <w:tc>
          <w:tcPr>
            <w:tcW w:w="900" w:type="dxa"/>
            <w:shd w:val="clear" w:fill="0B0B0B"/>
            <w:noWrap/>
          </w:tcPr>
          <w:p>
            <w:pPr>
              <w:pStyle w:val="cell"/>
            </w:pPr>
            <w:r>
              <w:rPr>
                <w:color w:val="FFFFFF"/>
                <w:sz w:val="17"/>
                <w:szCs w:val="17"/>
                <w:b w:val="1"/>
                <w:bCs w:val="1"/>
              </w:rPr>
              <w:t xml:space="preserve">Sessions</w:t>
            </w:r>
          </w:p>
        </w:tc>
        <w:tc>
          <w:tcPr>
            <w:tcW w:w="900" w:type="dxa"/>
            <w:shd w:val="clear" w:fill="0B0B0B"/>
            <w:noWrap/>
          </w:tcPr>
          <w:p>
            <w:pPr>
              <w:pStyle w:val="cell"/>
            </w:pPr>
            <w:r>
              <w:rPr>
                <w:color w:val="FFFFFF"/>
                <w:sz w:val="17"/>
                <w:szCs w:val="17"/>
                <w:b w:val="1"/>
                <w:bCs w:val="1"/>
              </w:rPr>
              <w:t xml:space="preserve">VMs</w:t>
            </w:r>
          </w:p>
        </w:tc>
        <w:tc>
          <w:tcPr>
            <w:tcW w:w="900" w:type="dxa"/>
            <w:shd w:val="clear" w:fill="0B0B0B"/>
            <w:noWrap/>
          </w:tcPr>
          <w:p>
            <w:pPr>
              <w:pStyle w:val="cell"/>
            </w:pPr>
            <w:r>
              <w:rPr>
                <w:color w:val="FFFFFF"/>
                <w:sz w:val="17"/>
                <w:szCs w:val="17"/>
                <w:b w:val="1"/>
                <w:bCs w:val="1"/>
              </w:rPr>
              <w:t xml:space="preserve">vCPU</w:t>
            </w:r>
          </w:p>
        </w:tc>
        <w:tc>
          <w:tcPr>
            <w:tcW w:w="900" w:type="dxa"/>
            <w:shd w:val="clear" w:fill="0B0B0B"/>
            <w:noWrap/>
          </w:tcPr>
          <w:p>
            <w:pPr>
              <w:pStyle w:val="cell"/>
            </w:pPr>
            <w:r>
              <w:rPr>
                <w:color w:val="FFFFFF"/>
                <w:sz w:val="17"/>
                <w:szCs w:val="17"/>
                <w:b w:val="1"/>
                <w:bCs w:val="1"/>
              </w:rPr>
              <w:t xml:space="preserve">vCPU:core</w:t>
            </w:r>
          </w:p>
        </w:tc>
        <w:tc>
          <w:tcPr>
            <w:tcW w:w="900" w:type="dxa"/>
            <w:shd w:val="clear" w:fill="0B0B0B"/>
            <w:noWrap/>
          </w:tcPr>
          <w:p>
            <w:pPr>
              <w:pStyle w:val="cell"/>
            </w:pPr>
            <w:r>
              <w:rPr>
                <w:color w:val="FFFFFF"/>
                <w:sz w:val="17"/>
                <w:szCs w:val="17"/>
                <w:b w:val="1"/>
                <w:bCs w:val="1"/>
              </w:rPr>
              <w:t xml:space="preserve">Cores</w:t>
            </w:r>
          </w:p>
        </w:tc>
        <w:tc>
          <w:tcPr>
            <w:tcW w:w="900" w:type="dxa"/>
            <w:shd w:val="clear" w:fill="0B0B0B"/>
            <w:noWrap/>
          </w:tcPr>
          <w:p>
            <w:pPr>
              <w:pStyle w:val="cell"/>
            </w:pPr>
            <w:r>
              <w:rPr>
                <w:color w:val="FFFFFF"/>
                <w:sz w:val="17"/>
                <w:szCs w:val="17"/>
                <w:b w:val="1"/>
                <w:bCs w:val="1"/>
              </w:rPr>
              <w:t xml:space="preserve">GB/VM</w:t>
            </w:r>
          </w:p>
        </w:tc>
        <w:tc>
          <w:tcPr>
            <w:tcW w:w="1100" w:type="dxa"/>
            <w:shd w:val="clear" w:fill="0B0B0B"/>
            <w:noWrap/>
          </w:tcPr>
          <w:p>
            <w:pPr>
              <w:pStyle w:val="cell"/>
            </w:pPr>
            <w:r>
              <w:rPr>
                <w:color w:val="FFFFFF"/>
                <w:sz w:val="17"/>
                <w:szCs w:val="17"/>
                <w:b w:val="1"/>
                <w:bCs w:val="1"/>
              </w:rPr>
              <w:t xml:space="preserve">Memory GB</w:t>
            </w:r>
          </w:p>
        </w:tc>
      </w:tr>
      <w:tr>
        <w:trPr>
          <w:cantSplit w:val="1"/>
        </w:trPr>
        <w:tc>
          <w:tcPr>
            <w:tcW w:w="2400" w:type="dxa"/>
            <w:noWrap/>
          </w:tcPr>
          <w:p>
            <w:pPr>
              <w:pStyle w:val="cell"/>
            </w:pPr>
            <w:r>
              <w:rPr>
                <w:sz w:val="17"/>
                <w:szCs w:val="17"/>
              </w:rPr>
              <w:t xml:space="preserve">Engineering office users</w:t>
            </w:r>
          </w:p>
        </w:tc>
        <w:tc>
          <w:tcPr>
            <w:tcW w:w="900" w:type="dxa"/>
            <w:noWrap/>
          </w:tcPr>
          <w:p>
            <w:pPr>
              <w:pStyle w:val="cell"/>
            </w:pPr>
            <w:r>
              <w:rPr>
                <w:sz w:val="17"/>
                <w:szCs w:val="17"/>
              </w:rPr>
              <w:t xml:space="preserve">2,000</w:t>
            </w:r>
          </w:p>
        </w:tc>
        <w:tc>
          <w:tcPr>
            <w:tcW w:w="900" w:type="dxa"/>
            <w:noWrap/>
          </w:tcPr>
          <w:p>
            <w:pPr>
              <w:pStyle w:val="cell"/>
            </w:pPr>
            <w:r>
              <w:rPr>
                <w:sz w:val="17"/>
                <w:szCs w:val="17"/>
              </w:rPr>
              <w:t xml:space="preserve">2,500</w:t>
            </w:r>
          </w:p>
        </w:tc>
        <w:tc>
          <w:tcPr>
            <w:tcW w:w="900" w:type="dxa"/>
            <w:noWrap/>
          </w:tcPr>
          <w:p>
            <w:pPr>
              <w:pStyle w:val="cell"/>
            </w:pPr>
            <w:r>
              <w:rPr>
                <w:sz w:val="17"/>
                <w:szCs w:val="17"/>
              </w:rPr>
              <w:t xml:space="preserve">5,000</w:t>
            </w:r>
          </w:p>
        </w:tc>
        <w:tc>
          <w:tcPr>
            <w:tcW w:w="900" w:type="dxa"/>
            <w:noWrap/>
          </w:tcPr>
          <w:p>
            <w:pPr>
              <w:pStyle w:val="cell"/>
            </w:pPr>
            <w:r>
              <w:rPr>
                <w:sz w:val="17"/>
                <w:szCs w:val="17"/>
              </w:rPr>
              <w:t xml:space="preserve">6.00</w:t>
            </w:r>
          </w:p>
        </w:tc>
        <w:tc>
          <w:tcPr>
            <w:tcW w:w="900" w:type="dxa"/>
            <w:noWrap/>
          </w:tcPr>
          <w:p>
            <w:pPr>
              <w:pStyle w:val="cell"/>
            </w:pPr>
            <w:r>
              <w:rPr>
                <w:sz w:val="17"/>
                <w:szCs w:val="17"/>
              </w:rPr>
              <w:t xml:space="preserve">833.3</w:t>
            </w:r>
          </w:p>
        </w:tc>
        <w:tc>
          <w:tcPr>
            <w:tcW w:w="900" w:type="dxa"/>
            <w:noWrap/>
          </w:tcPr>
          <w:p>
            <w:pPr>
              <w:pStyle w:val="cell"/>
            </w:pPr>
            <w:r>
              <w:rPr>
                <w:sz w:val="17"/>
                <w:szCs w:val="17"/>
              </w:rPr>
              <w:t xml:space="preserve">6.22</w:t>
            </w:r>
          </w:p>
        </w:tc>
        <w:tc>
          <w:tcPr>
            <w:tcW w:w="1100" w:type="dxa"/>
            <w:noWrap/>
          </w:tcPr>
          <w:p>
            <w:pPr>
              <w:pStyle w:val="cell"/>
            </w:pPr>
            <w:r>
              <w:rPr>
                <w:sz w:val="17"/>
                <w:szCs w:val="17"/>
              </w:rPr>
              <w:t xml:space="preserve">15,550</w:t>
            </w:r>
          </w:p>
        </w:tc>
      </w:tr>
      <w:tr>
        <w:trPr>
          <w:cantSplit w:val="1"/>
        </w:trPr>
        <w:tc>
          <w:tcPr>
            <w:tcW w:w="2400" w:type="dxa"/>
            <w:shd w:val="clear" w:fill="F3F1EC"/>
            <w:noWrap/>
          </w:tcPr>
          <w:p>
            <w:pPr>
              <w:pStyle w:val="cell"/>
            </w:pPr>
            <w:r>
              <w:rPr>
                <w:sz w:val="17"/>
                <w:szCs w:val="17"/>
              </w:rPr>
              <w:t xml:space="preserve">CAD workstations (vGPU)</w:t>
            </w:r>
          </w:p>
        </w:tc>
        <w:tc>
          <w:tcPr>
            <w:tcW w:w="900" w:type="dxa"/>
            <w:shd w:val="clear" w:fill="F3F1EC"/>
            <w:noWrap/>
          </w:tcPr>
          <w:p>
            <w:pPr>
              <w:pStyle w:val="cell"/>
            </w:pPr>
            <w:r>
              <w:rPr>
                <w:sz w:val="17"/>
                <w:szCs w:val="17"/>
              </w:rPr>
              <w:t xml:space="preserve">150</w:t>
            </w:r>
          </w:p>
        </w:tc>
        <w:tc>
          <w:tcPr>
            <w:tcW w:w="900" w:type="dxa"/>
            <w:shd w:val="clear" w:fill="F3F1EC"/>
            <w:noWrap/>
          </w:tcPr>
          <w:p>
            <w:pPr>
              <w:pStyle w:val="cell"/>
            </w:pPr>
            <w:r>
              <w:rPr>
                <w:sz w:val="17"/>
                <w:szCs w:val="17"/>
              </w:rPr>
              <w:t xml:space="preserve">150</w:t>
            </w:r>
          </w:p>
        </w:tc>
        <w:tc>
          <w:tcPr>
            <w:tcW w:w="900" w:type="dxa"/>
            <w:shd w:val="clear" w:fill="F3F1EC"/>
            <w:noWrap/>
          </w:tcPr>
          <w:p>
            <w:pPr>
              <w:pStyle w:val="cell"/>
            </w:pPr>
            <w:r>
              <w:rPr>
                <w:sz w:val="17"/>
                <w:szCs w:val="17"/>
              </w:rPr>
              <w:t xml:space="preserve">1,200</w:t>
            </w:r>
          </w:p>
        </w:tc>
        <w:tc>
          <w:tcPr>
            <w:tcW w:w="900" w:type="dxa"/>
            <w:shd w:val="clear" w:fill="F3F1EC"/>
            <w:noWrap/>
          </w:tcPr>
          <w:p>
            <w:pPr>
              <w:pStyle w:val="cell"/>
            </w:pPr>
            <w:r>
              <w:rPr>
                <w:sz w:val="17"/>
                <w:szCs w:val="17"/>
              </w:rPr>
              <w:t xml:space="preserve">2.00</w:t>
            </w:r>
          </w:p>
        </w:tc>
        <w:tc>
          <w:tcPr>
            <w:tcW w:w="900" w:type="dxa"/>
            <w:shd w:val="clear" w:fill="F3F1EC"/>
            <w:noWrap/>
          </w:tcPr>
          <w:p>
            <w:pPr>
              <w:pStyle w:val="cell"/>
            </w:pPr>
            <w:r>
              <w:rPr>
                <w:sz w:val="17"/>
                <w:szCs w:val="17"/>
              </w:rPr>
              <w:t xml:space="preserve">600.0</w:t>
            </w:r>
          </w:p>
        </w:tc>
        <w:tc>
          <w:tcPr>
            <w:tcW w:w="900" w:type="dxa"/>
            <w:shd w:val="clear" w:fill="F3F1EC"/>
            <w:noWrap/>
          </w:tcPr>
          <w:p>
            <w:pPr>
              <w:pStyle w:val="cell"/>
            </w:pPr>
            <w:r>
              <w:rPr>
                <w:sz w:val="17"/>
                <w:szCs w:val="17"/>
              </w:rPr>
              <w:t xml:space="preserve">32.22</w:t>
            </w:r>
          </w:p>
        </w:tc>
        <w:tc>
          <w:tcPr>
            <w:tcW w:w="1100" w:type="dxa"/>
            <w:shd w:val="clear" w:fill="F3F1EC"/>
            <w:noWrap/>
          </w:tcPr>
          <w:p>
            <w:pPr>
              <w:pStyle w:val="cell"/>
            </w:pPr>
            <w:r>
              <w:rPr>
                <w:sz w:val="17"/>
                <w:szCs w:val="17"/>
              </w:rPr>
              <w:t xml:space="preserve">4,833</w:t>
            </w:r>
          </w:p>
        </w:tc>
      </w:tr>
      <w:tr>
        <w:trPr>
          <w:cantSplit w:val="1"/>
        </w:trPr>
        <w:tc>
          <w:tcPr>
            <w:tcW w:w="2400" w:type="dxa"/>
            <w:noWrap/>
          </w:tcPr>
          <w:p>
            <w:pPr>
              <w:pStyle w:val="cell"/>
            </w:pPr>
            <w:r>
              <w:rPr>
                <w:sz w:val="17"/>
                <w:szCs w:val="17"/>
              </w:rPr>
              <w:t xml:space="preserve">Software developers</w:t>
            </w:r>
          </w:p>
        </w:tc>
        <w:tc>
          <w:tcPr>
            <w:tcW w:w="900" w:type="dxa"/>
            <w:noWrap/>
          </w:tcPr>
          <w:p>
            <w:pPr>
              <w:pStyle w:val="cell"/>
            </w:pPr>
            <w:r>
              <w:rPr>
                <w:sz w:val="17"/>
                <w:szCs w:val="17"/>
              </w:rPr>
              <w:t xml:space="preserve">360</w:t>
            </w:r>
          </w:p>
        </w:tc>
        <w:tc>
          <w:tcPr>
            <w:tcW w:w="900" w:type="dxa"/>
            <w:noWrap/>
          </w:tcPr>
          <w:p>
            <w:pPr>
              <w:pStyle w:val="cell"/>
            </w:pPr>
            <w:r>
              <w:rPr>
                <w:sz w:val="17"/>
                <w:szCs w:val="17"/>
              </w:rPr>
              <w:t xml:space="preserve">400</w:t>
            </w:r>
          </w:p>
        </w:tc>
        <w:tc>
          <w:tcPr>
            <w:tcW w:w="900" w:type="dxa"/>
            <w:noWrap/>
          </w:tcPr>
          <w:p>
            <w:pPr>
              <w:pStyle w:val="cell"/>
            </w:pPr>
            <w:r>
              <w:rPr>
                <w:sz w:val="17"/>
                <w:szCs w:val="17"/>
              </w:rPr>
              <w:t xml:space="preserve">1,600</w:t>
            </w:r>
          </w:p>
        </w:tc>
        <w:tc>
          <w:tcPr>
            <w:tcW w:w="900" w:type="dxa"/>
            <w:noWrap/>
          </w:tcPr>
          <w:p>
            <w:pPr>
              <w:pStyle w:val="cell"/>
            </w:pPr>
            <w:r>
              <w:rPr>
                <w:sz w:val="17"/>
                <w:szCs w:val="17"/>
              </w:rPr>
              <w:t xml:space="preserve">4.00</w:t>
            </w:r>
          </w:p>
        </w:tc>
        <w:tc>
          <w:tcPr>
            <w:tcW w:w="900" w:type="dxa"/>
            <w:noWrap/>
          </w:tcPr>
          <w:p>
            <w:pPr>
              <w:pStyle w:val="cell"/>
            </w:pPr>
            <w:r>
              <w:rPr>
                <w:sz w:val="17"/>
                <w:szCs w:val="17"/>
              </w:rPr>
              <w:t xml:space="preserve">400.0</w:t>
            </w:r>
          </w:p>
        </w:tc>
        <w:tc>
          <w:tcPr>
            <w:tcW w:w="900" w:type="dxa"/>
            <w:noWrap/>
          </w:tcPr>
          <w:p>
            <w:pPr>
              <w:pStyle w:val="cell"/>
            </w:pPr>
            <w:r>
              <w:rPr>
                <w:sz w:val="17"/>
                <w:szCs w:val="17"/>
              </w:rPr>
              <w:t xml:space="preserve">8.22</w:t>
            </w:r>
          </w:p>
        </w:tc>
        <w:tc>
          <w:tcPr>
            <w:tcW w:w="1100" w:type="dxa"/>
            <w:noWrap/>
          </w:tcPr>
          <w:p>
            <w:pPr>
              <w:pStyle w:val="cell"/>
            </w:pPr>
            <w:r>
              <w:rPr>
                <w:sz w:val="17"/>
                <w:szCs w:val="17"/>
              </w:rPr>
              <w:t xml:space="preserve">3,288</w:t>
            </w:r>
          </w:p>
        </w:tc>
      </w:tr>
    </w:tbl>
    <w:p>
      <w:pPr>
        <w:rPr>
          <w:sz w:val="8"/>
          <w:szCs w:val="8"/>
        </w:rPr>
      </w:pPr>
    </w:p>
    <w:p>
      <w:pPr>
        <w:pStyle w:val="Heading2"/>
      </w:pPr>
      <w:bookmarkStart w:id="9" w:name="_Toc9"/>
      <w:r>
        <w:t>Clusters</w:t>
      </w:r>
      <w:bookmarkEnd w:id="9"/>
    </w:p>
    <w:tbl>
      <w:tblGrid>
        <w:gridCol w:w="2000" w:type="dxa"/>
        <w:gridCol w:w="1300" w:type="dxa"/>
        <w:gridCol w:w="900" w:type="dxa"/>
        <w:gridCol w:w="900" w:type="dxa"/>
        <w:gridCol w:w="1000" w:type="dxa"/>
        <w:gridCol w:w="900" w:type="dxa"/>
        <w:gridCol w:w="900" w:type="dxa"/>
        <w:gridCol w:w="1900" w:type="dxa"/>
      </w:tblGrid>
      <w:tblPr>
        <w:tblStyle w:val="grid"/>
      </w:tblPr>
      <w:tr>
        <w:trPr>
          <w:tblHeader w:val="1"/>
          <w:cantSplit w:val="1"/>
        </w:trPr>
        <w:tc>
          <w:tcPr>
            <w:tcW w:w="2000" w:type="dxa"/>
            <w:shd w:val="clear" w:fill="0B0B0B"/>
            <w:noWrap/>
          </w:tcPr>
          <w:p>
            <w:pPr>
              <w:pStyle w:val="cell"/>
            </w:pPr>
            <w:r>
              <w:rPr>
                <w:color w:val="FFFFFF"/>
                <w:sz w:val="17"/>
                <w:szCs w:val="17"/>
                <w:b w:val="1"/>
                <w:bCs w:val="1"/>
              </w:rPr>
              <w:t xml:space="preserve">Cluster</w:t>
            </w:r>
          </w:p>
        </w:tc>
        <w:tc>
          <w:tcPr>
            <w:tcW w:w="1300" w:type="dxa"/>
            <w:shd w:val="clear" w:fill="0B0B0B"/>
            <w:noWrap/>
          </w:tcPr>
          <w:p>
            <w:pPr>
              <w:pStyle w:val="cell"/>
            </w:pPr>
            <w:r>
              <w:rPr>
                <w:color w:val="FFFFFF"/>
                <w:sz w:val="17"/>
                <w:szCs w:val="17"/>
                <w:b w:val="1"/>
                <w:bCs w:val="1"/>
              </w:rPr>
              <w:t xml:space="preserve">Hosts</w:t>
            </w:r>
          </w:p>
        </w:tc>
        <w:tc>
          <w:tcPr>
            <w:tcW w:w="900" w:type="dxa"/>
            <w:shd w:val="clear" w:fill="0B0B0B"/>
            <w:noWrap/>
          </w:tcPr>
          <w:p>
            <w:pPr>
              <w:pStyle w:val="cell"/>
            </w:pPr>
            <w:r>
              <w:rPr>
                <w:color w:val="FFFFFF"/>
                <w:sz w:val="17"/>
                <w:szCs w:val="17"/>
                <w:b w:val="1"/>
                <w:bCs w:val="1"/>
              </w:rPr>
              <w:t xml:space="preserve">Driver</w:t>
            </w:r>
          </w:p>
        </w:tc>
        <w:tc>
          <w:tcPr>
            <w:tcW w:w="900" w:type="dxa"/>
            <w:shd w:val="clear" w:fill="0B0B0B"/>
            <w:noWrap/>
          </w:tcPr>
          <w:p>
            <w:pPr>
              <w:pStyle w:val="cell"/>
            </w:pPr>
            <w:r>
              <w:rPr>
                <w:color w:val="FFFFFF"/>
                <w:sz w:val="17"/>
                <w:szCs w:val="17"/>
                <w:b w:val="1"/>
                <w:bCs w:val="1"/>
              </w:rPr>
              <w:t xml:space="preserve">Cores</w:t>
            </w:r>
          </w:p>
        </w:tc>
        <w:tc>
          <w:tcPr>
            <w:tcW w:w="1000" w:type="dxa"/>
            <w:shd w:val="clear" w:fill="0B0B0B"/>
            <w:noWrap/>
          </w:tcPr>
          <w:p>
            <w:pPr>
              <w:pStyle w:val="cell"/>
            </w:pPr>
            <w:r>
              <w:rPr>
                <w:color w:val="FFFFFF"/>
                <w:sz w:val="17"/>
                <w:szCs w:val="17"/>
                <w:b w:val="1"/>
                <w:bCs w:val="1"/>
              </w:rPr>
              <w:t xml:space="preserve">vCPU:core</w:t>
            </w:r>
          </w:p>
        </w:tc>
        <w:tc>
          <w:tcPr>
            <w:tcW w:w="900" w:type="dxa"/>
            <w:shd w:val="clear" w:fill="0B0B0B"/>
            <w:noWrap/>
          </w:tcPr>
          <w:p>
            <w:pPr>
              <w:pStyle w:val="cell"/>
            </w:pPr>
            <w:r>
              <w:rPr>
                <w:color w:val="FFFFFF"/>
                <w:sz w:val="17"/>
                <w:szCs w:val="17"/>
                <w:b w:val="1"/>
                <w:bCs w:val="1"/>
              </w:rPr>
              <w:t xml:space="preserve">CPU used</w:t>
            </w:r>
          </w:p>
        </w:tc>
        <w:tc>
          <w:tcPr>
            <w:tcW w:w="900" w:type="dxa"/>
            <w:shd w:val="clear" w:fill="0B0B0B"/>
            <w:noWrap/>
          </w:tcPr>
          <w:p>
            <w:pPr>
              <w:pStyle w:val="cell"/>
            </w:pPr>
            <w:r>
              <w:rPr>
                <w:color w:val="FFFFFF"/>
                <w:sz w:val="17"/>
                <w:szCs w:val="17"/>
                <w:b w:val="1"/>
                <w:bCs w:val="1"/>
              </w:rPr>
              <w:t xml:space="preserve">RAM used</w:t>
            </w:r>
          </w:p>
        </w:tc>
        <w:tc>
          <w:tcPr>
            <w:tcW w:w="1900" w:type="dxa"/>
            <w:shd w:val="clear" w:fill="0B0B0B"/>
            <w:noWrap/>
          </w:tcPr>
          <w:p>
            <w:pPr>
              <w:pStyle w:val="cell"/>
            </w:pPr>
            <w:r>
              <w:rPr>
                <w:color w:val="FFFFFF"/>
                <w:sz w:val="17"/>
                <w:szCs w:val="17"/>
                <w:b w:val="1"/>
                <w:bCs w:val="1"/>
              </w:rPr>
              <w:t xml:space="preserve">After failure (CPU/RAM)</w:t>
            </w:r>
          </w:p>
        </w:tc>
      </w:tr>
      <w:tr>
        <w:trPr>
          <w:cantSplit w:val="1"/>
        </w:trPr>
        <w:tc>
          <w:tcPr>
            <w:tcW w:w="2000" w:type="dxa"/>
            <w:noWrap/>
          </w:tcPr>
          <w:p>
            <w:pPr>
              <w:pStyle w:val="cell"/>
            </w:pPr>
            <w:r>
              <w:rPr>
                <w:sz w:val="17"/>
                <w:szCs w:val="17"/>
              </w:rPr>
              <w:t xml:space="preserve">Desktop cluster</w:t>
            </w:r>
          </w:p>
        </w:tc>
        <w:tc>
          <w:tcPr>
            <w:tcW w:w="1300" w:type="dxa"/>
            <w:noWrap/>
          </w:tcPr>
          <w:p>
            <w:pPr>
              <w:pStyle w:val="cell"/>
            </w:pPr>
            <w:r>
              <w:rPr>
                <w:sz w:val="17"/>
                <w:szCs w:val="17"/>
              </w:rPr>
              <w:t xml:space="preserve">22 (1 × N+1)</w:t>
            </w:r>
          </w:p>
        </w:tc>
        <w:tc>
          <w:tcPr>
            <w:tcW w:w="900" w:type="dxa"/>
            <w:noWrap/>
          </w:tcPr>
          <w:p>
            <w:pPr>
              <w:pStyle w:val="cell"/>
            </w:pPr>
            <w:r>
              <w:rPr>
                <w:sz w:val="17"/>
                <w:szCs w:val="17"/>
              </w:rPr>
              <w:t xml:space="preserve">Memory</w:t>
            </w:r>
          </w:p>
        </w:tc>
        <w:tc>
          <w:tcPr>
            <w:tcW w:w="900" w:type="dxa"/>
            <w:noWrap/>
          </w:tcPr>
          <w:p>
            <w:pPr>
              <w:pStyle w:val="cell"/>
            </w:pPr>
            <w:r>
              <w:rPr>
                <w:sz w:val="17"/>
                <w:szCs w:val="17"/>
              </w:rPr>
              <w:t xml:space="preserve">1,408</w:t>
            </w:r>
          </w:p>
        </w:tc>
        <w:tc>
          <w:tcPr>
            <w:tcW w:w="1000" w:type="dxa"/>
            <w:noWrap/>
          </w:tcPr>
          <w:p>
            <w:pPr>
              <w:pStyle w:val="cell"/>
            </w:pPr>
            <w:r>
              <w:rPr>
                <w:sz w:val="17"/>
                <w:szCs w:val="17"/>
              </w:rPr>
              <w:t xml:space="preserve">4.69:1</w:t>
            </w:r>
          </w:p>
        </w:tc>
        <w:tc>
          <w:tcPr>
            <w:tcW w:w="900" w:type="dxa"/>
            <w:noWrap/>
          </w:tcPr>
          <w:p>
            <w:pPr>
              <w:pStyle w:val="cell"/>
            </w:pPr>
            <w:r>
              <w:rPr>
                <w:sz w:val="17"/>
                <w:szCs w:val="17"/>
              </w:rPr>
              <w:t xml:space="preserve">87.6%</w:t>
            </w:r>
          </w:p>
        </w:tc>
        <w:tc>
          <w:tcPr>
            <w:tcW w:w="900" w:type="dxa"/>
            <w:noWrap/>
          </w:tcPr>
          <w:p>
            <w:pPr>
              <w:pStyle w:val="cell"/>
            </w:pPr>
            <w:r>
              <w:rPr>
                <w:sz w:val="17"/>
                <w:szCs w:val="17"/>
              </w:rPr>
              <w:t xml:space="preserve">91.2%</w:t>
            </w:r>
          </w:p>
        </w:tc>
        <w:tc>
          <w:tcPr>
            <w:tcW w:w="1900" w:type="dxa"/>
            <w:noWrap/>
          </w:tcPr>
          <w:p>
            <w:pPr>
              <w:pStyle w:val="cell"/>
            </w:pPr>
            <w:r>
              <w:rPr>
                <w:sz w:val="17"/>
                <w:szCs w:val="17"/>
              </w:rPr>
              <w:t xml:space="preserve">91.8% / 95.6%</w:t>
            </w:r>
          </w:p>
        </w:tc>
      </w:tr>
      <w:tr>
        <w:trPr>
          <w:cantSplit w:val="1"/>
        </w:trPr>
        <w:tc>
          <w:tcPr>
            <w:tcW w:w="2000" w:type="dxa"/>
            <w:shd w:val="clear" w:fill="F3F1EC"/>
            <w:noWrap/>
          </w:tcPr>
          <w:p>
            <w:pPr>
              <w:pStyle w:val="cell"/>
            </w:pPr>
            <w:r>
              <w:rPr>
                <w:sz w:val="17"/>
                <w:szCs w:val="17"/>
              </w:rPr>
              <w:t xml:space="preserve">GPU cluster</w:t>
            </w:r>
          </w:p>
        </w:tc>
        <w:tc>
          <w:tcPr>
            <w:tcW w:w="1300" w:type="dxa"/>
            <w:shd w:val="clear" w:fill="F3F1EC"/>
            <w:noWrap/>
          </w:tcPr>
          <w:p>
            <w:pPr>
              <w:pStyle w:val="cell"/>
            </w:pPr>
            <w:r>
              <w:rPr>
                <w:sz w:val="17"/>
                <w:szCs w:val="17"/>
              </w:rPr>
              <w:t xml:space="preserve">11 (1 × N+1)</w:t>
            </w:r>
          </w:p>
        </w:tc>
        <w:tc>
          <w:tcPr>
            <w:tcW w:w="900" w:type="dxa"/>
            <w:shd w:val="clear" w:fill="F3F1EC"/>
            <w:noWrap/>
          </w:tcPr>
          <w:p>
            <w:pPr>
              <w:pStyle w:val="cell"/>
            </w:pPr>
            <w:r>
              <w:rPr>
                <w:sz w:val="17"/>
                <w:szCs w:val="17"/>
              </w:rPr>
              <w:t xml:space="preserve">Cpu</w:t>
            </w:r>
          </w:p>
        </w:tc>
        <w:tc>
          <w:tcPr>
            <w:tcW w:w="900" w:type="dxa"/>
            <w:shd w:val="clear" w:fill="F3F1EC"/>
            <w:noWrap/>
          </w:tcPr>
          <w:p>
            <w:pPr>
              <w:pStyle w:val="cell"/>
            </w:pPr>
            <w:r>
              <w:rPr>
                <w:sz w:val="17"/>
                <w:szCs w:val="17"/>
              </w:rPr>
              <w:t xml:space="preserve">704</w:t>
            </w:r>
          </w:p>
        </w:tc>
        <w:tc>
          <w:tcPr>
            <w:tcW w:w="1000" w:type="dxa"/>
            <w:shd w:val="clear" w:fill="F3F1EC"/>
            <w:noWrap/>
          </w:tcPr>
          <w:p>
            <w:pPr>
              <w:pStyle w:val="cell"/>
            </w:pPr>
            <w:r>
              <w:rPr>
                <w:sz w:val="17"/>
                <w:szCs w:val="17"/>
              </w:rPr>
              <w:t xml:space="preserve">1.70:1</w:t>
            </w:r>
          </w:p>
        </w:tc>
        <w:tc>
          <w:tcPr>
            <w:tcW w:w="900" w:type="dxa"/>
            <w:shd w:val="clear" w:fill="F3F1EC"/>
            <w:noWrap/>
          </w:tcPr>
          <w:p>
            <w:pPr>
              <w:pStyle w:val="cell"/>
            </w:pPr>
            <w:r>
              <w:rPr>
                <w:sz w:val="17"/>
                <w:szCs w:val="17"/>
              </w:rPr>
              <w:t xml:space="preserve">85.2%</w:t>
            </w:r>
          </w:p>
        </w:tc>
        <w:tc>
          <w:tcPr>
            <w:tcW w:w="900" w:type="dxa"/>
            <w:shd w:val="clear" w:fill="F3F1EC"/>
            <w:noWrap/>
          </w:tcPr>
          <w:p>
            <w:pPr>
              <w:pStyle w:val="cell"/>
            </w:pPr>
            <w:r>
              <w:rPr>
                <w:sz w:val="17"/>
                <w:szCs w:val="17"/>
              </w:rPr>
              <w:t xml:space="preserve">30.8%</w:t>
            </w:r>
          </w:p>
        </w:tc>
        <w:tc>
          <w:tcPr>
            <w:tcW w:w="1900" w:type="dxa"/>
            <w:shd w:val="clear" w:fill="F3F1EC"/>
            <w:noWrap/>
          </w:tcPr>
          <w:p>
            <w:pPr>
              <w:pStyle w:val="cell"/>
            </w:pPr>
            <w:r>
              <w:rPr>
                <w:sz w:val="17"/>
                <w:szCs w:val="17"/>
              </w:rPr>
              <w:t xml:space="preserve">93.8% / 33.9%</w:t>
            </w:r>
          </w:p>
        </w:tc>
      </w:tr>
      <w:tr>
        <w:trPr>
          <w:cantSplit w:val="1"/>
        </w:trPr>
        <w:tc>
          <w:tcPr>
            <w:tcW w:w="2000" w:type="dxa"/>
            <w:noWrap/>
          </w:tcPr>
          <w:p>
            <w:pPr>
              <w:pStyle w:val="cell"/>
            </w:pPr>
            <w:r>
              <w:rPr>
                <w:sz w:val="17"/>
                <w:szCs w:val="17"/>
              </w:rPr>
              <w:t xml:space="preserve">Management cluster</w:t>
            </w:r>
          </w:p>
        </w:tc>
        <w:tc>
          <w:tcPr>
            <w:tcW w:w="1300" w:type="dxa"/>
            <w:noWrap/>
          </w:tcPr>
          <w:p>
            <w:pPr>
              <w:pStyle w:val="cell"/>
            </w:pPr>
            <w:r>
              <w:rPr>
                <w:sz w:val="17"/>
                <w:szCs w:val="17"/>
              </w:rPr>
              <w:t xml:space="preserve">2 (1 × N+1)</w:t>
            </w:r>
          </w:p>
        </w:tc>
        <w:tc>
          <w:tcPr>
            <w:tcW w:w="900" w:type="dxa"/>
            <w:noWrap/>
          </w:tcPr>
          <w:p>
            <w:pPr>
              <w:pStyle w:val="cell"/>
            </w:pPr>
            <w:r>
              <w:rPr>
                <w:sz w:val="17"/>
                <w:szCs w:val="17"/>
              </w:rPr>
              <w:t xml:space="preserve">Cpu</w:t>
            </w:r>
          </w:p>
        </w:tc>
        <w:tc>
          <w:tcPr>
            <w:tcW w:w="900" w:type="dxa"/>
            <w:noWrap/>
          </w:tcPr>
          <w:p>
            <w:pPr>
              <w:pStyle w:val="cell"/>
            </w:pPr>
            <w:r>
              <w:rPr>
                <w:sz w:val="17"/>
                <w:szCs w:val="17"/>
              </w:rPr>
              <w:t xml:space="preserve">64</w:t>
            </w:r>
          </w:p>
        </w:tc>
        <w:tc>
          <w:tcPr>
            <w:tcW w:w="1000" w:type="dxa"/>
            <w:noWrap/>
          </w:tcPr>
          <w:p>
            <w:pPr>
              <w:pStyle w:val="cell"/>
            </w:pPr>
            <w:r>
              <w:rPr>
                <w:sz w:val="17"/>
                <w:szCs w:val="17"/>
              </w:rPr>
              <w:t xml:space="preserve">0.69:1</w:t>
            </w:r>
          </w:p>
        </w:tc>
        <w:tc>
          <w:tcPr>
            <w:tcW w:w="900" w:type="dxa"/>
            <w:noWrap/>
          </w:tcPr>
          <w:p>
            <w:pPr>
              <w:pStyle w:val="cell"/>
            </w:pPr>
            <w:r>
              <w:rPr>
                <w:sz w:val="17"/>
                <w:szCs w:val="17"/>
              </w:rPr>
              <w:t xml:space="preserve">34.4%</w:t>
            </w:r>
          </w:p>
        </w:tc>
        <w:tc>
          <w:tcPr>
            <w:tcW w:w="900" w:type="dxa"/>
            <w:noWrap/>
          </w:tcPr>
          <w:p>
            <w:pPr>
              <w:pStyle w:val="cell"/>
            </w:pPr>
            <w:r>
              <w:rPr>
                <w:sz w:val="17"/>
                <w:szCs w:val="17"/>
              </w:rPr>
              <w:t xml:space="preserve">12.7%</w:t>
            </w:r>
          </w:p>
        </w:tc>
        <w:tc>
          <w:tcPr>
            <w:tcW w:w="1900" w:type="dxa"/>
            <w:noWrap/>
          </w:tcPr>
          <w:p>
            <w:pPr>
              <w:pStyle w:val="cell"/>
            </w:pPr>
            <w:r>
              <w:rPr>
                <w:sz w:val="17"/>
                <w:szCs w:val="17"/>
              </w:rPr>
              <w:t xml:space="preserve">68.8% / 25.3%</w:t>
            </w:r>
          </w:p>
        </w:tc>
      </w:tr>
    </w:tbl>
    <w:p>
      <w:pPr>
        <w:rPr>
          <w:sz w:val="8"/>
          <w:szCs w:val="8"/>
        </w:rPr>
      </w:pPr>
    </w:p>
    <w:p>
      <w:pPr/>
      <w:r>
        <w:rPr>
          <w:color w:val="6B6B66"/>
          <w:sz w:val="17"/>
          <w:szCs w:val="17"/>
        </w:rPr>
        <w:t xml:space="preserve">CPU used is the share of usable cores consumed by the sizing basis (consolidation ratio or measured demand). Reserved per host: hypervisor/HCI cores and RAM and the View Storage Accelerator cache (vSphere).</w:t>
      </w:r>
    </w:p>
    <w:p>
      <w:pPr/>
      <w:r>
        <w:rPr>
          <w:sz w:val="18"/>
          <w:szCs w:val="18"/>
        </w:rPr>
        <w:t xml:space="preserve">Desktop cluster: recommended host 2 × 32 cores @ 2.8 GHz, 1,024 GB RAM; minimum for this host count 59 cores and 981 GB RAM per host.</w:t>
      </w:r>
    </w:p>
    <w:p>
      <w:pPr/>
      <w:r>
        <w:rPr>
          <w:sz w:val="18"/>
          <w:szCs w:val="18"/>
        </w:rPr>
        <w:t xml:space="preserve">GPU cluster: recommended host 2 × 32 cores @ 3 GHz, 1,536 GB RAM; minimum for this host count 60 cores and 545 GB RAM per host.</w:t>
      </w:r>
    </w:p>
    <w:p>
      <w:pPr/>
      <w:r>
        <w:rPr>
          <w:sz w:val="18"/>
          <w:szCs w:val="18"/>
        </w:rPr>
        <w:t xml:space="preserve">Management cluster: recommended host 2 × 16 cores @ 2.8 GHz, 512 GB RAM; minimum for this host count 22 cores and 133 GB RAM per host.</w:t>
      </w:r>
    </w:p>
    <w:p>
      <w:pPr>
        <w:pStyle w:val="Heading1"/>
      </w:pPr>
      <w:bookmarkStart w:id="10" w:name="_Toc10"/>
      <w:r>
        <w:t>6. Storage capacity and performance</w:t>
      </w:r>
      <w:bookmarkEnd w:id="10"/>
    </w:p>
    <w:tbl>
      <w:tblGrid>
        <w:gridCol w:w="4000" w:type="dxa"/>
        <w:gridCol w:w="1100" w:type="dxa"/>
        <w:gridCol w:w="1700" w:type="dxa"/>
        <w:gridCol w:w="1500" w:type="dxa"/>
        <w:gridCol w:w="1300" w:type="dxa"/>
      </w:tblGrid>
      <w:tblPr>
        <w:tblStyle w:val="grid"/>
      </w:tblPr>
      <w:tr>
        <w:trPr>
          <w:tblHeader w:val="1"/>
          <w:cantSplit w:val="1"/>
        </w:trPr>
        <w:tc>
          <w:tcPr>
            <w:tcW w:w="4000" w:type="dxa"/>
            <w:shd w:val="clear" w:fill="0B0B0B"/>
            <w:noWrap/>
          </w:tcPr>
          <w:p>
            <w:pPr>
              <w:pStyle w:val="cell"/>
            </w:pPr>
            <w:r>
              <w:rPr>
                <w:color w:val="FFFFFF"/>
                <w:sz w:val="17"/>
                <w:szCs w:val="17"/>
                <w:b w:val="1"/>
                <w:bCs w:val="1"/>
              </w:rPr>
              <w:t xml:space="preserve">Component</w:t>
            </w:r>
          </w:p>
        </w:tc>
        <w:tc>
          <w:tcPr>
            <w:tcW w:w="1100" w:type="dxa"/>
            <w:shd w:val="clear" w:fill="0B0B0B"/>
            <w:noWrap/>
          </w:tcPr>
          <w:p>
            <w:pPr>
              <w:pStyle w:val="cell"/>
            </w:pPr>
            <w:r>
              <w:rPr>
                <w:color w:val="FFFFFF"/>
                <w:sz w:val="17"/>
                <w:szCs w:val="17"/>
                <w:b w:val="1"/>
                <w:bCs w:val="1"/>
              </w:rPr>
              <w:t xml:space="preserve">Tier</w:t>
            </w:r>
          </w:p>
        </w:tc>
        <w:tc>
          <w:tcPr>
            <w:tcW w:w="1700" w:type="dxa"/>
            <w:shd w:val="clear" w:fill="0B0B0B"/>
            <w:noWrap/>
          </w:tcPr>
          <w:p>
            <w:pPr>
              <w:pStyle w:val="cell"/>
            </w:pPr>
            <w:r>
              <w:rPr>
                <w:color w:val="FFFFFF"/>
                <w:sz w:val="17"/>
                <w:szCs w:val="17"/>
                <w:b w:val="1"/>
                <w:bCs w:val="1"/>
              </w:rPr>
              <w:t xml:space="preserve">Location</w:t>
            </w:r>
          </w:p>
        </w:tc>
        <w:tc>
          <w:tcPr>
            <w:tcW w:w="1500" w:type="dxa"/>
            <w:shd w:val="clear" w:fill="0B0B0B"/>
            <w:noWrap/>
          </w:tcPr>
          <w:p>
            <w:pPr>
              <w:pStyle w:val="cell"/>
            </w:pPr>
            <w:r>
              <w:rPr>
                <w:color w:val="FFFFFF"/>
                <w:sz w:val="17"/>
                <w:szCs w:val="17"/>
                <w:b w:val="1"/>
                <w:bCs w:val="1"/>
              </w:rPr>
              <w:t xml:space="preserve">GB</w:t>
            </w:r>
          </w:p>
        </w:tc>
        <w:tc>
          <w:tcPr>
            <w:tcW w:w="1300" w:type="dxa"/>
            <w:shd w:val="clear" w:fill="0B0B0B"/>
            <w:noWrap/>
          </w:tcPr>
          <w:p>
            <w:pPr>
              <w:pStyle w:val="cell"/>
            </w:pPr>
            <w:r>
              <w:rPr>
                <w:color w:val="FFFFFF"/>
                <w:sz w:val="17"/>
                <w:szCs w:val="17"/>
                <w:b w:val="1"/>
                <w:bCs w:val="1"/>
              </w:rPr>
              <w:t xml:space="preserve">Class</w:t>
            </w:r>
          </w:p>
        </w:tc>
      </w:tr>
      <w:tr>
        <w:trPr>
          <w:cantSplit w:val="1"/>
        </w:trPr>
        <w:tc>
          <w:tcPr>
            <w:tcW w:w="4000" w:type="dxa"/>
            <w:noWrap/>
          </w:tcPr>
          <w:p>
            <w:pPr>
              <w:pStyle w:val="cell"/>
            </w:pPr>
            <w:r>
              <w:rPr>
                <w:sz w:val="17"/>
                <w:szCs w:val="17"/>
              </w:rPr>
              <w:t xml:space="preserve">Engineering office users — full-clone desktop disks</w:t>
            </w:r>
          </w:p>
        </w:tc>
        <w:tc>
          <w:tcPr>
            <w:tcW w:w="1100" w:type="dxa"/>
            <w:noWrap/>
          </w:tcPr>
          <w:p>
            <w:pPr>
              <w:pStyle w:val="cell"/>
            </w:pPr>
            <w:r>
              <w:rPr>
                <w:sz w:val="17"/>
                <w:szCs w:val="17"/>
              </w:rPr>
              <w:t xml:space="preserve">Performance</w:t>
            </w:r>
          </w:p>
        </w:tc>
        <w:tc>
          <w:tcPr>
            <w:tcW w:w="1700" w:type="dxa"/>
            <w:noWrap/>
          </w:tcPr>
          <w:p>
            <w:pPr>
              <w:pStyle w:val="cell"/>
            </w:pPr>
            <w:r>
              <w:rPr>
                <w:sz w:val="17"/>
                <w:szCs w:val="17"/>
              </w:rPr>
              <w:t xml:space="preserve">Desktop cluster</w:t>
            </w:r>
          </w:p>
        </w:tc>
        <w:tc>
          <w:tcPr>
            <w:tcW w:w="1500" w:type="dxa"/>
            <w:noWrap/>
          </w:tcPr>
          <w:p>
            <w:pPr>
              <w:pStyle w:val="cell"/>
            </w:pPr>
            <w:r>
              <w:rPr>
                <w:sz w:val="17"/>
                <w:szCs w:val="17"/>
              </w:rPr>
              <w:t xml:space="preserve">287,800.00</w:t>
            </w:r>
          </w:p>
        </w:tc>
        <w:tc>
          <w:tcPr>
            <w:tcW w:w="1300" w:type="dxa"/>
            <w:noWrap/>
          </w:tcPr>
          <w:p>
            <w:pPr>
              <w:pStyle w:val="cell"/>
            </w:pPr>
            <w:r>
              <w:rPr>
                <w:sz w:val="17"/>
                <w:szCs w:val="17"/>
              </w:rPr>
              <w:t xml:space="preserve">Calculated</w:t>
            </w:r>
          </w:p>
        </w:tc>
      </w:tr>
      <w:tr>
        <w:trPr>
          <w:cantSplit w:val="1"/>
        </w:trPr>
        <w:tc>
          <w:tcPr>
            <w:tcW w:w="4000" w:type="dxa"/>
            <w:shd w:val="clear" w:fill="F3F1EC"/>
            <w:noWrap/>
          </w:tcPr>
          <w:p>
            <w:pPr>
              <w:pStyle w:val="cell"/>
            </w:pPr>
            <w:r>
              <w:rPr>
                <w:sz w:val="17"/>
                <w:szCs w:val="17"/>
              </w:rPr>
              <w:t xml:space="preserve">Engineering office users — golden images</w:t>
            </w:r>
          </w:p>
        </w:tc>
        <w:tc>
          <w:tcPr>
            <w:tcW w:w="1100" w:type="dxa"/>
            <w:shd w:val="clear" w:fill="F3F1EC"/>
            <w:noWrap/>
          </w:tcPr>
          <w:p>
            <w:pPr>
              <w:pStyle w:val="cell"/>
            </w:pPr>
            <w:r>
              <w:rPr>
                <w:sz w:val="17"/>
                <w:szCs w:val="17"/>
              </w:rPr>
              <w:t xml:space="preserve">Performance</w:t>
            </w:r>
          </w:p>
        </w:tc>
        <w:tc>
          <w:tcPr>
            <w:tcW w:w="1700" w:type="dxa"/>
            <w:shd w:val="clear" w:fill="F3F1EC"/>
            <w:noWrap/>
          </w:tcPr>
          <w:p>
            <w:pPr>
              <w:pStyle w:val="cell"/>
            </w:pPr>
            <w:r>
              <w:rPr>
                <w:sz w:val="17"/>
                <w:szCs w:val="17"/>
              </w:rPr>
              <w:t xml:space="preserve">Desktop cluster</w:t>
            </w:r>
          </w:p>
        </w:tc>
        <w:tc>
          <w:tcPr>
            <w:tcW w:w="1500" w:type="dxa"/>
            <w:shd w:val="clear" w:fill="F3F1EC"/>
            <w:noWrap/>
          </w:tcPr>
          <w:p>
            <w:pPr>
              <w:pStyle w:val="cell"/>
            </w:pPr>
            <w:r>
              <w:rPr>
                <w:sz w:val="17"/>
                <w:szCs w:val="17"/>
              </w:rPr>
              <w:t xml:space="preserve">200.00</w:t>
            </w:r>
          </w:p>
        </w:tc>
        <w:tc>
          <w:tcPr>
            <w:tcW w:w="1300" w:type="dxa"/>
            <w:shd w:val="clear" w:fill="F3F1EC"/>
            <w:noWrap/>
          </w:tcPr>
          <w:p>
            <w:pPr>
              <w:pStyle w:val="cell"/>
            </w:pPr>
            <w:r>
              <w:rPr>
                <w:sz w:val="17"/>
                <w:szCs w:val="17"/>
              </w:rPr>
              <w:t xml:space="preserve">Calculated</w:t>
            </w:r>
          </w:p>
        </w:tc>
      </w:tr>
      <w:tr>
        <w:trPr>
          <w:cantSplit w:val="1"/>
        </w:trPr>
        <w:tc>
          <w:tcPr>
            <w:tcW w:w="4000" w:type="dxa"/>
            <w:noWrap/>
          </w:tcPr>
          <w:p>
            <w:pPr>
              <w:pStyle w:val="cell"/>
            </w:pPr>
            <w:r>
              <w:rPr>
                <w:sz w:val="17"/>
                <w:szCs w:val="17"/>
              </w:rPr>
              <w:t xml:space="preserve">Engineering office users — user profiles</w:t>
            </w:r>
          </w:p>
        </w:tc>
        <w:tc>
          <w:tcPr>
            <w:tcW w:w="1100" w:type="dxa"/>
            <w:noWrap/>
          </w:tcPr>
          <w:p>
            <w:pPr>
              <w:pStyle w:val="cell"/>
            </w:pPr>
            <w:r>
              <w:rPr>
                <w:sz w:val="17"/>
                <w:szCs w:val="17"/>
              </w:rPr>
              <w:t xml:space="preserve">Capacity</w:t>
            </w:r>
          </w:p>
        </w:tc>
        <w:tc>
          <w:tcPr>
            <w:tcW w:w="1700" w:type="dxa"/>
            <w:noWrap/>
          </w:tcPr>
          <w:p>
            <w:pPr>
              <w:pStyle w:val="cell"/>
            </w:pPr>
            <w:r>
              <w:rPr>
                <w:sz w:val="17"/>
                <w:szCs w:val="17"/>
              </w:rPr>
              <w:t xml:space="preserve">File services</w:t>
            </w:r>
          </w:p>
        </w:tc>
        <w:tc>
          <w:tcPr>
            <w:tcW w:w="1500" w:type="dxa"/>
            <w:noWrap/>
          </w:tcPr>
          <w:p>
            <w:pPr>
              <w:pStyle w:val="cell"/>
            </w:pPr>
            <w:r>
              <w:rPr>
                <w:sz w:val="17"/>
                <w:szCs w:val="17"/>
              </w:rPr>
              <w:t xml:space="preserve">12,500.00</w:t>
            </w:r>
          </w:p>
        </w:tc>
        <w:tc>
          <w:tcPr>
            <w:tcW w:w="1300" w:type="dxa"/>
            <w:noWrap/>
          </w:tcPr>
          <w:p>
            <w:pPr>
              <w:pStyle w:val="cell"/>
            </w:pPr>
            <w:r>
              <w:rPr>
                <w:sz w:val="17"/>
                <w:szCs w:val="17"/>
              </w:rPr>
              <w:t xml:space="preserve">Calculated</w:t>
            </w:r>
          </w:p>
        </w:tc>
      </w:tr>
      <w:tr>
        <w:trPr>
          <w:cantSplit w:val="1"/>
        </w:trPr>
        <w:tc>
          <w:tcPr>
            <w:tcW w:w="4000" w:type="dxa"/>
            <w:shd w:val="clear" w:fill="F3F1EC"/>
            <w:noWrap/>
          </w:tcPr>
          <w:p>
            <w:pPr>
              <w:pStyle w:val="cell"/>
            </w:pPr>
            <w:r>
              <w:rPr>
                <w:sz w:val="17"/>
                <w:szCs w:val="17"/>
              </w:rPr>
              <w:t xml:space="preserve">Engineering office users — user data</w:t>
            </w:r>
          </w:p>
        </w:tc>
        <w:tc>
          <w:tcPr>
            <w:tcW w:w="1100" w:type="dxa"/>
            <w:shd w:val="clear" w:fill="F3F1EC"/>
            <w:noWrap/>
          </w:tcPr>
          <w:p>
            <w:pPr>
              <w:pStyle w:val="cell"/>
            </w:pPr>
            <w:r>
              <w:rPr>
                <w:sz w:val="17"/>
                <w:szCs w:val="17"/>
              </w:rPr>
              <w:t xml:space="preserve">Capacity</w:t>
            </w:r>
          </w:p>
        </w:tc>
        <w:tc>
          <w:tcPr>
            <w:tcW w:w="1700" w:type="dxa"/>
            <w:shd w:val="clear" w:fill="F3F1EC"/>
            <w:noWrap/>
          </w:tcPr>
          <w:p>
            <w:pPr>
              <w:pStyle w:val="cell"/>
            </w:pPr>
            <w:r>
              <w:rPr>
                <w:sz w:val="17"/>
                <w:szCs w:val="17"/>
              </w:rPr>
              <w:t xml:space="preserve">File services</w:t>
            </w:r>
          </w:p>
        </w:tc>
        <w:tc>
          <w:tcPr>
            <w:tcW w:w="1500" w:type="dxa"/>
            <w:shd w:val="clear" w:fill="F3F1EC"/>
            <w:noWrap/>
          </w:tcPr>
          <w:p>
            <w:pPr>
              <w:pStyle w:val="cell"/>
            </w:pPr>
            <w:r>
              <w:rPr>
                <w:sz w:val="17"/>
                <w:szCs w:val="17"/>
              </w:rPr>
              <w:t xml:space="preserve">25,000.00</w:t>
            </w:r>
          </w:p>
        </w:tc>
        <w:tc>
          <w:tcPr>
            <w:tcW w:w="1300" w:type="dxa"/>
            <w:shd w:val="clear" w:fill="F3F1EC"/>
            <w:noWrap/>
          </w:tcPr>
          <w:p>
            <w:pPr>
              <w:pStyle w:val="cell"/>
            </w:pPr>
            <w:r>
              <w:rPr>
                <w:sz w:val="17"/>
                <w:szCs w:val="17"/>
              </w:rPr>
              <w:t xml:space="preserve">Calculated</w:t>
            </w:r>
          </w:p>
        </w:tc>
      </w:tr>
      <w:tr>
        <w:trPr>
          <w:cantSplit w:val="1"/>
        </w:trPr>
        <w:tc>
          <w:tcPr>
            <w:tcW w:w="4000" w:type="dxa"/>
            <w:noWrap/>
          </w:tcPr>
          <w:p>
            <w:pPr>
              <w:pStyle w:val="cell"/>
            </w:pPr>
            <w:r>
              <w:rPr>
                <w:sz w:val="17"/>
                <w:szCs w:val="17"/>
              </w:rPr>
              <w:t xml:space="preserve">CAD workstations (vGPU) — full-clone desktop disks</w:t>
            </w:r>
          </w:p>
        </w:tc>
        <w:tc>
          <w:tcPr>
            <w:tcW w:w="1100" w:type="dxa"/>
            <w:noWrap/>
          </w:tcPr>
          <w:p>
            <w:pPr>
              <w:pStyle w:val="cell"/>
            </w:pPr>
            <w:r>
              <w:rPr>
                <w:sz w:val="17"/>
                <w:szCs w:val="17"/>
              </w:rPr>
              <w:t xml:space="preserve">Performance</w:t>
            </w:r>
          </w:p>
        </w:tc>
        <w:tc>
          <w:tcPr>
            <w:tcW w:w="1700" w:type="dxa"/>
            <w:noWrap/>
          </w:tcPr>
          <w:p>
            <w:pPr>
              <w:pStyle w:val="cell"/>
            </w:pPr>
            <w:r>
              <w:rPr>
                <w:sz w:val="17"/>
                <w:szCs w:val="17"/>
              </w:rPr>
              <w:t xml:space="preserve">GPU cluster</w:t>
            </w:r>
          </w:p>
        </w:tc>
        <w:tc>
          <w:tcPr>
            <w:tcW w:w="1500" w:type="dxa"/>
            <w:noWrap/>
          </w:tcPr>
          <w:p>
            <w:pPr>
              <w:pStyle w:val="cell"/>
            </w:pPr>
            <w:r>
              <w:rPr>
                <w:sz w:val="17"/>
                <w:szCs w:val="17"/>
              </w:rPr>
              <w:t xml:space="preserve">34,518.00</w:t>
            </w:r>
          </w:p>
        </w:tc>
        <w:tc>
          <w:tcPr>
            <w:tcW w:w="1300" w:type="dxa"/>
            <w:noWrap/>
          </w:tcPr>
          <w:p>
            <w:pPr>
              <w:pStyle w:val="cell"/>
            </w:pPr>
            <w:r>
              <w:rPr>
                <w:sz w:val="17"/>
                <w:szCs w:val="17"/>
              </w:rPr>
              <w:t xml:space="preserve">Calculated</w:t>
            </w:r>
          </w:p>
        </w:tc>
      </w:tr>
      <w:tr>
        <w:trPr>
          <w:cantSplit w:val="1"/>
        </w:trPr>
        <w:tc>
          <w:tcPr>
            <w:tcW w:w="4000" w:type="dxa"/>
            <w:shd w:val="clear" w:fill="F3F1EC"/>
            <w:noWrap/>
          </w:tcPr>
          <w:p>
            <w:pPr>
              <w:pStyle w:val="cell"/>
            </w:pPr>
            <w:r>
              <w:rPr>
                <w:sz w:val="17"/>
                <w:szCs w:val="17"/>
              </w:rPr>
              <w:t xml:space="preserve">CAD workstations (vGPU) — golden images</w:t>
            </w:r>
          </w:p>
        </w:tc>
        <w:tc>
          <w:tcPr>
            <w:tcW w:w="1100" w:type="dxa"/>
            <w:shd w:val="clear" w:fill="F3F1EC"/>
            <w:noWrap/>
          </w:tcPr>
          <w:p>
            <w:pPr>
              <w:pStyle w:val="cell"/>
            </w:pPr>
            <w:r>
              <w:rPr>
                <w:sz w:val="17"/>
                <w:szCs w:val="17"/>
              </w:rPr>
              <w:t xml:space="preserve">Performance</w:t>
            </w:r>
          </w:p>
        </w:tc>
        <w:tc>
          <w:tcPr>
            <w:tcW w:w="1700" w:type="dxa"/>
            <w:shd w:val="clear" w:fill="F3F1EC"/>
            <w:noWrap/>
          </w:tcPr>
          <w:p>
            <w:pPr>
              <w:pStyle w:val="cell"/>
            </w:pPr>
            <w:r>
              <w:rPr>
                <w:sz w:val="17"/>
                <w:szCs w:val="17"/>
              </w:rPr>
              <w:t xml:space="preserve">GPU cluster</w:t>
            </w:r>
          </w:p>
        </w:tc>
        <w:tc>
          <w:tcPr>
            <w:tcW w:w="1500" w:type="dxa"/>
            <w:shd w:val="clear" w:fill="F3F1EC"/>
            <w:noWrap/>
          </w:tcPr>
          <w:p>
            <w:pPr>
              <w:pStyle w:val="cell"/>
            </w:pPr>
            <w:r>
              <w:rPr>
                <w:sz w:val="17"/>
                <w:szCs w:val="17"/>
              </w:rPr>
              <w:t xml:space="preserve">400.00</w:t>
            </w:r>
          </w:p>
        </w:tc>
        <w:tc>
          <w:tcPr>
            <w:tcW w:w="1300" w:type="dxa"/>
            <w:shd w:val="clear" w:fill="F3F1EC"/>
            <w:noWrap/>
          </w:tcPr>
          <w:p>
            <w:pPr>
              <w:pStyle w:val="cell"/>
            </w:pPr>
            <w:r>
              <w:rPr>
                <w:sz w:val="17"/>
                <w:szCs w:val="17"/>
              </w:rPr>
              <w:t xml:space="preserve">Calculated</w:t>
            </w:r>
          </w:p>
        </w:tc>
      </w:tr>
      <w:tr>
        <w:trPr>
          <w:cantSplit w:val="1"/>
        </w:trPr>
        <w:tc>
          <w:tcPr>
            <w:tcW w:w="4000" w:type="dxa"/>
            <w:noWrap/>
          </w:tcPr>
          <w:p>
            <w:pPr>
              <w:pStyle w:val="cell"/>
            </w:pPr>
            <w:r>
              <w:rPr>
                <w:sz w:val="17"/>
                <w:szCs w:val="17"/>
              </w:rPr>
              <w:t xml:space="preserve">CAD workstations (vGPU) — user profiles</w:t>
            </w:r>
          </w:p>
        </w:tc>
        <w:tc>
          <w:tcPr>
            <w:tcW w:w="1100" w:type="dxa"/>
            <w:noWrap/>
          </w:tcPr>
          <w:p>
            <w:pPr>
              <w:pStyle w:val="cell"/>
            </w:pPr>
            <w:r>
              <w:rPr>
                <w:sz w:val="17"/>
                <w:szCs w:val="17"/>
              </w:rPr>
              <w:t xml:space="preserve">Capacity</w:t>
            </w:r>
          </w:p>
        </w:tc>
        <w:tc>
          <w:tcPr>
            <w:tcW w:w="1700" w:type="dxa"/>
            <w:noWrap/>
          </w:tcPr>
          <w:p>
            <w:pPr>
              <w:pStyle w:val="cell"/>
            </w:pPr>
            <w:r>
              <w:rPr>
                <w:sz w:val="17"/>
                <w:szCs w:val="17"/>
              </w:rPr>
              <w:t xml:space="preserve">File services</w:t>
            </w:r>
          </w:p>
        </w:tc>
        <w:tc>
          <w:tcPr>
            <w:tcW w:w="1500" w:type="dxa"/>
            <w:noWrap/>
          </w:tcPr>
          <w:p>
            <w:pPr>
              <w:pStyle w:val="cell"/>
            </w:pPr>
            <w:r>
              <w:rPr>
                <w:sz w:val="17"/>
                <w:szCs w:val="17"/>
              </w:rPr>
              <w:t xml:space="preserve">1,500.00</w:t>
            </w:r>
          </w:p>
        </w:tc>
        <w:tc>
          <w:tcPr>
            <w:tcW w:w="1300" w:type="dxa"/>
            <w:noWrap/>
          </w:tcPr>
          <w:p>
            <w:pPr>
              <w:pStyle w:val="cell"/>
            </w:pPr>
            <w:r>
              <w:rPr>
                <w:sz w:val="17"/>
                <w:szCs w:val="17"/>
              </w:rPr>
              <w:t xml:space="preserve">Calculated</w:t>
            </w:r>
          </w:p>
        </w:tc>
      </w:tr>
      <w:tr>
        <w:trPr>
          <w:cantSplit w:val="1"/>
        </w:trPr>
        <w:tc>
          <w:tcPr>
            <w:tcW w:w="4000" w:type="dxa"/>
            <w:shd w:val="clear" w:fill="F3F1EC"/>
            <w:noWrap/>
          </w:tcPr>
          <w:p>
            <w:pPr>
              <w:pStyle w:val="cell"/>
            </w:pPr>
            <w:r>
              <w:rPr>
                <w:sz w:val="17"/>
                <w:szCs w:val="17"/>
              </w:rPr>
              <w:t xml:space="preserve">CAD workstations (vGPU) — user data</w:t>
            </w:r>
          </w:p>
        </w:tc>
        <w:tc>
          <w:tcPr>
            <w:tcW w:w="1100" w:type="dxa"/>
            <w:shd w:val="clear" w:fill="F3F1EC"/>
            <w:noWrap/>
          </w:tcPr>
          <w:p>
            <w:pPr>
              <w:pStyle w:val="cell"/>
            </w:pPr>
            <w:r>
              <w:rPr>
                <w:sz w:val="17"/>
                <w:szCs w:val="17"/>
              </w:rPr>
              <w:t xml:space="preserve">Capacity</w:t>
            </w:r>
          </w:p>
        </w:tc>
        <w:tc>
          <w:tcPr>
            <w:tcW w:w="1700" w:type="dxa"/>
            <w:shd w:val="clear" w:fill="F3F1EC"/>
            <w:noWrap/>
          </w:tcPr>
          <w:p>
            <w:pPr>
              <w:pStyle w:val="cell"/>
            </w:pPr>
            <w:r>
              <w:rPr>
                <w:sz w:val="17"/>
                <w:szCs w:val="17"/>
              </w:rPr>
              <w:t xml:space="preserve">File services</w:t>
            </w:r>
          </w:p>
        </w:tc>
        <w:tc>
          <w:tcPr>
            <w:tcW w:w="1500" w:type="dxa"/>
            <w:shd w:val="clear" w:fill="F3F1EC"/>
            <w:noWrap/>
          </w:tcPr>
          <w:p>
            <w:pPr>
              <w:pStyle w:val="cell"/>
            </w:pPr>
            <w:r>
              <w:rPr>
                <w:sz w:val="17"/>
                <w:szCs w:val="17"/>
              </w:rPr>
              <w:t xml:space="preserve">3,000.00</w:t>
            </w:r>
          </w:p>
        </w:tc>
        <w:tc>
          <w:tcPr>
            <w:tcW w:w="1300" w:type="dxa"/>
            <w:shd w:val="clear" w:fill="F3F1EC"/>
            <w:noWrap/>
          </w:tcPr>
          <w:p>
            <w:pPr>
              <w:pStyle w:val="cell"/>
            </w:pPr>
            <w:r>
              <w:rPr>
                <w:sz w:val="17"/>
                <w:szCs w:val="17"/>
              </w:rPr>
              <w:t xml:space="preserve">Calculated</w:t>
            </w:r>
          </w:p>
        </w:tc>
      </w:tr>
      <w:tr>
        <w:trPr>
          <w:cantSplit w:val="1"/>
        </w:trPr>
        <w:tc>
          <w:tcPr>
            <w:tcW w:w="4000" w:type="dxa"/>
            <w:noWrap/>
          </w:tcPr>
          <w:p>
            <w:pPr>
              <w:pStyle w:val="cell"/>
            </w:pPr>
            <w:r>
              <w:rPr>
                <w:sz w:val="17"/>
                <w:szCs w:val="17"/>
              </w:rPr>
              <w:t xml:space="preserve">Software developers — full-clone desktop disks</w:t>
            </w:r>
          </w:p>
        </w:tc>
        <w:tc>
          <w:tcPr>
            <w:tcW w:w="1100" w:type="dxa"/>
            <w:noWrap/>
          </w:tcPr>
          <w:p>
            <w:pPr>
              <w:pStyle w:val="cell"/>
            </w:pPr>
            <w:r>
              <w:rPr>
                <w:sz w:val="17"/>
                <w:szCs w:val="17"/>
              </w:rPr>
              <w:t xml:space="preserve">Performance</w:t>
            </w:r>
          </w:p>
        </w:tc>
        <w:tc>
          <w:tcPr>
            <w:tcW w:w="1700" w:type="dxa"/>
            <w:noWrap/>
          </w:tcPr>
          <w:p>
            <w:pPr>
              <w:pStyle w:val="cell"/>
            </w:pPr>
            <w:r>
              <w:rPr>
                <w:sz w:val="17"/>
                <w:szCs w:val="17"/>
              </w:rPr>
              <w:t xml:space="preserve">Desktop cluster</w:t>
            </w:r>
          </w:p>
        </w:tc>
        <w:tc>
          <w:tcPr>
            <w:tcW w:w="1500" w:type="dxa"/>
            <w:noWrap/>
          </w:tcPr>
          <w:p>
            <w:pPr>
              <w:pStyle w:val="cell"/>
            </w:pPr>
            <w:r>
              <w:rPr>
                <w:sz w:val="17"/>
                <w:szCs w:val="17"/>
              </w:rPr>
              <w:t xml:space="preserve">46,048.00</w:t>
            </w:r>
          </w:p>
        </w:tc>
        <w:tc>
          <w:tcPr>
            <w:tcW w:w="1300" w:type="dxa"/>
            <w:noWrap/>
          </w:tcPr>
          <w:p>
            <w:pPr>
              <w:pStyle w:val="cell"/>
            </w:pPr>
            <w:r>
              <w:rPr>
                <w:sz w:val="17"/>
                <w:szCs w:val="17"/>
              </w:rPr>
              <w:t xml:space="preserve">Calculated</w:t>
            </w:r>
          </w:p>
        </w:tc>
      </w:tr>
      <w:tr>
        <w:trPr>
          <w:cantSplit w:val="1"/>
        </w:trPr>
        <w:tc>
          <w:tcPr>
            <w:tcW w:w="4000" w:type="dxa"/>
            <w:shd w:val="clear" w:fill="F3F1EC"/>
            <w:noWrap/>
          </w:tcPr>
          <w:p>
            <w:pPr>
              <w:pStyle w:val="cell"/>
            </w:pPr>
            <w:r>
              <w:rPr>
                <w:sz w:val="17"/>
                <w:szCs w:val="17"/>
              </w:rPr>
              <w:t xml:space="preserve">Software developers — golden images</w:t>
            </w:r>
          </w:p>
        </w:tc>
        <w:tc>
          <w:tcPr>
            <w:tcW w:w="1100" w:type="dxa"/>
            <w:shd w:val="clear" w:fill="F3F1EC"/>
            <w:noWrap/>
          </w:tcPr>
          <w:p>
            <w:pPr>
              <w:pStyle w:val="cell"/>
            </w:pPr>
            <w:r>
              <w:rPr>
                <w:sz w:val="17"/>
                <w:szCs w:val="17"/>
              </w:rPr>
              <w:t xml:space="preserve">Performance</w:t>
            </w:r>
          </w:p>
        </w:tc>
        <w:tc>
          <w:tcPr>
            <w:tcW w:w="1700" w:type="dxa"/>
            <w:shd w:val="clear" w:fill="F3F1EC"/>
            <w:noWrap/>
          </w:tcPr>
          <w:p>
            <w:pPr>
              <w:pStyle w:val="cell"/>
            </w:pPr>
            <w:r>
              <w:rPr>
                <w:sz w:val="17"/>
                <w:szCs w:val="17"/>
              </w:rPr>
              <w:t xml:space="preserve">Desktop cluster</w:t>
            </w:r>
          </w:p>
        </w:tc>
        <w:tc>
          <w:tcPr>
            <w:tcW w:w="1500" w:type="dxa"/>
            <w:shd w:val="clear" w:fill="F3F1EC"/>
            <w:noWrap/>
          </w:tcPr>
          <w:p>
            <w:pPr>
              <w:pStyle w:val="cell"/>
            </w:pPr>
            <w:r>
              <w:rPr>
                <w:sz w:val="17"/>
                <w:szCs w:val="17"/>
              </w:rPr>
              <w:t xml:space="preserve">200.00</w:t>
            </w:r>
          </w:p>
        </w:tc>
        <w:tc>
          <w:tcPr>
            <w:tcW w:w="1300" w:type="dxa"/>
            <w:shd w:val="clear" w:fill="F3F1EC"/>
            <w:noWrap/>
          </w:tcPr>
          <w:p>
            <w:pPr>
              <w:pStyle w:val="cell"/>
            </w:pPr>
            <w:r>
              <w:rPr>
                <w:sz w:val="17"/>
                <w:szCs w:val="17"/>
              </w:rPr>
              <w:t xml:space="preserve">Calculated</w:t>
            </w:r>
          </w:p>
        </w:tc>
      </w:tr>
      <w:tr>
        <w:trPr>
          <w:cantSplit w:val="1"/>
        </w:trPr>
        <w:tc>
          <w:tcPr>
            <w:tcW w:w="4000" w:type="dxa"/>
            <w:noWrap/>
          </w:tcPr>
          <w:p>
            <w:pPr>
              <w:pStyle w:val="cell"/>
            </w:pPr>
            <w:r>
              <w:rPr>
                <w:sz w:val="17"/>
                <w:szCs w:val="17"/>
              </w:rPr>
              <w:t xml:space="preserve">Software developers — user profiles</w:t>
            </w:r>
          </w:p>
        </w:tc>
        <w:tc>
          <w:tcPr>
            <w:tcW w:w="1100" w:type="dxa"/>
            <w:noWrap/>
          </w:tcPr>
          <w:p>
            <w:pPr>
              <w:pStyle w:val="cell"/>
            </w:pPr>
            <w:r>
              <w:rPr>
                <w:sz w:val="17"/>
                <w:szCs w:val="17"/>
              </w:rPr>
              <w:t xml:space="preserve">Capacity</w:t>
            </w:r>
          </w:p>
        </w:tc>
        <w:tc>
          <w:tcPr>
            <w:tcW w:w="1700" w:type="dxa"/>
            <w:noWrap/>
          </w:tcPr>
          <w:p>
            <w:pPr>
              <w:pStyle w:val="cell"/>
            </w:pPr>
            <w:r>
              <w:rPr>
                <w:sz w:val="17"/>
                <w:szCs w:val="17"/>
              </w:rPr>
              <w:t xml:space="preserve">File services</w:t>
            </w:r>
          </w:p>
        </w:tc>
        <w:tc>
          <w:tcPr>
            <w:tcW w:w="1500" w:type="dxa"/>
            <w:noWrap/>
          </w:tcPr>
          <w:p>
            <w:pPr>
              <w:pStyle w:val="cell"/>
            </w:pPr>
            <w:r>
              <w:rPr>
                <w:sz w:val="17"/>
                <w:szCs w:val="17"/>
              </w:rPr>
              <w:t xml:space="preserve">4,000.00</w:t>
            </w:r>
          </w:p>
        </w:tc>
        <w:tc>
          <w:tcPr>
            <w:tcW w:w="1300" w:type="dxa"/>
            <w:noWrap/>
          </w:tcPr>
          <w:p>
            <w:pPr>
              <w:pStyle w:val="cell"/>
            </w:pPr>
            <w:r>
              <w:rPr>
                <w:sz w:val="17"/>
                <w:szCs w:val="17"/>
              </w:rPr>
              <w:t xml:space="preserve">Calculated</w:t>
            </w:r>
          </w:p>
        </w:tc>
      </w:tr>
      <w:tr>
        <w:trPr>
          <w:cantSplit w:val="1"/>
        </w:trPr>
        <w:tc>
          <w:tcPr>
            <w:tcW w:w="4000" w:type="dxa"/>
            <w:shd w:val="clear" w:fill="F3F1EC"/>
            <w:noWrap/>
          </w:tcPr>
          <w:p>
            <w:pPr>
              <w:pStyle w:val="cell"/>
            </w:pPr>
            <w:r>
              <w:rPr>
                <w:sz w:val="17"/>
                <w:szCs w:val="17"/>
              </w:rPr>
              <w:t xml:space="preserve">Software developers — user data</w:t>
            </w:r>
          </w:p>
        </w:tc>
        <w:tc>
          <w:tcPr>
            <w:tcW w:w="1100" w:type="dxa"/>
            <w:shd w:val="clear" w:fill="F3F1EC"/>
            <w:noWrap/>
          </w:tcPr>
          <w:p>
            <w:pPr>
              <w:pStyle w:val="cell"/>
            </w:pPr>
            <w:r>
              <w:rPr>
                <w:sz w:val="17"/>
                <w:szCs w:val="17"/>
              </w:rPr>
              <w:t xml:space="preserve">Capacity</w:t>
            </w:r>
          </w:p>
        </w:tc>
        <w:tc>
          <w:tcPr>
            <w:tcW w:w="1700" w:type="dxa"/>
            <w:shd w:val="clear" w:fill="F3F1EC"/>
            <w:noWrap/>
          </w:tcPr>
          <w:p>
            <w:pPr>
              <w:pStyle w:val="cell"/>
            </w:pPr>
            <w:r>
              <w:rPr>
                <w:sz w:val="17"/>
                <w:szCs w:val="17"/>
              </w:rPr>
              <w:t xml:space="preserve">File services</w:t>
            </w:r>
          </w:p>
        </w:tc>
        <w:tc>
          <w:tcPr>
            <w:tcW w:w="1500" w:type="dxa"/>
            <w:shd w:val="clear" w:fill="F3F1EC"/>
            <w:noWrap/>
          </w:tcPr>
          <w:p>
            <w:pPr>
              <w:pStyle w:val="cell"/>
            </w:pPr>
            <w:r>
              <w:rPr>
                <w:sz w:val="17"/>
                <w:szCs w:val="17"/>
              </w:rPr>
              <w:t xml:space="preserve">8,000.00</w:t>
            </w:r>
          </w:p>
        </w:tc>
        <w:tc>
          <w:tcPr>
            <w:tcW w:w="1300" w:type="dxa"/>
            <w:shd w:val="clear" w:fill="F3F1EC"/>
            <w:noWrap/>
          </w:tcPr>
          <w:p>
            <w:pPr>
              <w:pStyle w:val="cell"/>
            </w:pPr>
            <w:r>
              <w:rPr>
                <w:sz w:val="17"/>
                <w:szCs w:val="17"/>
              </w:rPr>
              <w:t xml:space="preserve">Calculated</w:t>
            </w:r>
          </w:p>
        </w:tc>
      </w:tr>
      <w:tr>
        <w:trPr>
          <w:cantSplit w:val="1"/>
        </w:trPr>
        <w:tc>
          <w:tcPr>
            <w:tcW w:w="4000" w:type="dxa"/>
            <w:noWrap/>
          </w:tcPr>
          <w:p>
            <w:pPr>
              <w:pStyle w:val="cell"/>
            </w:pPr>
            <w:r>
              <w:rPr>
                <w:sz w:val="17"/>
                <w:szCs w:val="17"/>
              </w:rPr>
              <w:t xml:space="preserve">Horizon and infrastructure VMs</w:t>
            </w:r>
          </w:p>
        </w:tc>
        <w:tc>
          <w:tcPr>
            <w:tcW w:w="1100" w:type="dxa"/>
            <w:noWrap/>
          </w:tcPr>
          <w:p>
            <w:pPr>
              <w:pStyle w:val="cell"/>
            </w:pPr>
            <w:r>
              <w:rPr>
                <w:sz w:val="17"/>
                <w:szCs w:val="17"/>
              </w:rPr>
              <w:t xml:space="preserve">Performance</w:t>
            </w:r>
          </w:p>
        </w:tc>
        <w:tc>
          <w:tcPr>
            <w:tcW w:w="1700" w:type="dxa"/>
            <w:noWrap/>
          </w:tcPr>
          <w:p>
            <w:pPr>
              <w:pStyle w:val="cell"/>
            </w:pPr>
            <w:r>
              <w:rPr>
                <w:sz w:val="17"/>
                <w:szCs w:val="17"/>
              </w:rPr>
              <w:t xml:space="preserve">Management</w:t>
            </w:r>
          </w:p>
        </w:tc>
        <w:tc>
          <w:tcPr>
            <w:tcW w:w="1500" w:type="dxa"/>
            <w:noWrap/>
          </w:tcPr>
          <w:p>
            <w:pPr>
              <w:pStyle w:val="cell"/>
            </w:pPr>
            <w:r>
              <w:rPr>
                <w:sz w:val="17"/>
                <w:szCs w:val="17"/>
              </w:rPr>
              <w:t xml:space="preserve">1,460.00</w:t>
            </w:r>
          </w:p>
        </w:tc>
        <w:tc>
          <w:tcPr>
            <w:tcW w:w="1300" w:type="dxa"/>
            <w:noWrap/>
          </w:tcPr>
          <w:p>
            <w:pPr>
              <w:pStyle w:val="cell"/>
            </w:pPr>
            <w:r>
              <w:rPr>
                <w:sz w:val="17"/>
                <w:szCs w:val="17"/>
              </w:rPr>
              <w:t xml:space="preserve">Calculated</w:t>
            </w:r>
          </w:p>
        </w:tc>
      </w:tr>
      <w:tr>
        <w:trPr>
          <w:cantSplit w:val="1"/>
        </w:trPr>
        <w:tc>
          <w:tcPr>
            <w:tcW w:w="4000" w:type="dxa"/>
            <w:shd w:val="clear" w:fill="F3F1EC"/>
            <w:noWrap/>
          </w:tcPr>
          <w:p>
            <w:pPr>
              <w:pStyle w:val="cell"/>
            </w:pPr>
            <w:r>
              <w:rPr>
                <w:sz w:val="17"/>
                <w:szCs w:val="17"/>
              </w:rPr>
              <w:t xml:space="preserve">Logs, events and monitoring data</w:t>
            </w:r>
          </w:p>
        </w:tc>
        <w:tc>
          <w:tcPr>
            <w:tcW w:w="1100" w:type="dxa"/>
            <w:shd w:val="clear" w:fill="F3F1EC"/>
            <w:noWrap/>
          </w:tcPr>
          <w:p>
            <w:pPr>
              <w:pStyle w:val="cell"/>
            </w:pPr>
            <w:r>
              <w:rPr>
                <w:sz w:val="17"/>
                <w:szCs w:val="17"/>
              </w:rPr>
              <w:t xml:space="preserve">Capacity</w:t>
            </w:r>
          </w:p>
        </w:tc>
        <w:tc>
          <w:tcPr>
            <w:tcW w:w="1700" w:type="dxa"/>
            <w:shd w:val="clear" w:fill="F3F1EC"/>
            <w:noWrap/>
          </w:tcPr>
          <w:p>
            <w:pPr>
              <w:pStyle w:val="cell"/>
            </w:pPr>
            <w:r>
              <w:rPr>
                <w:sz w:val="17"/>
                <w:szCs w:val="17"/>
              </w:rPr>
              <w:t xml:space="preserve">Management</w:t>
            </w:r>
          </w:p>
        </w:tc>
        <w:tc>
          <w:tcPr>
            <w:tcW w:w="1500" w:type="dxa"/>
            <w:shd w:val="clear" w:fill="F3F1EC"/>
            <w:noWrap/>
          </w:tcPr>
          <w:p>
            <w:pPr>
              <w:pStyle w:val="cell"/>
            </w:pPr>
            <w:r>
              <w:rPr>
                <w:sz w:val="17"/>
                <w:szCs w:val="17"/>
              </w:rPr>
              <w:t xml:space="preserve">500.00</w:t>
            </w:r>
          </w:p>
        </w:tc>
        <w:tc>
          <w:tcPr>
            <w:tcW w:w="1300" w:type="dxa"/>
            <w:shd w:val="clear" w:fill="F3F1EC"/>
            <w:noWrap/>
          </w:tcPr>
          <w:p>
            <w:pPr>
              <w:pStyle w:val="cell"/>
            </w:pPr>
            <w:r>
              <w:rPr>
                <w:sz w:val="17"/>
                <w:szCs w:val="17"/>
              </w:rPr>
              <w:t xml:space="preserve">Assumption</w:t>
            </w:r>
          </w:p>
        </w:tc>
      </w:tr>
      <w:tr>
        <w:trPr>
          <w:cantSplit w:val="1"/>
        </w:trPr>
        <w:tc>
          <w:tcPr>
            <w:tcW w:w="4000" w:type="dxa"/>
            <w:noWrap/>
          </w:tcPr>
          <w:p>
            <w:pPr>
              <w:pStyle w:val="cell"/>
            </w:pPr>
            <w:r>
              <w:rPr>
                <w:sz w:val="17"/>
                <w:szCs w:val="17"/>
              </w:rPr>
              <w:t xml:space="preserve">Backup target capacity</w:t>
            </w:r>
          </w:p>
        </w:tc>
        <w:tc>
          <w:tcPr>
            <w:tcW w:w="1100" w:type="dxa"/>
            <w:noWrap/>
          </w:tcPr>
          <w:p>
            <w:pPr>
              <w:pStyle w:val="cell"/>
            </w:pPr>
            <w:r>
              <w:rPr>
                <w:sz w:val="17"/>
                <w:szCs w:val="17"/>
              </w:rPr>
              <w:t xml:space="preserve">Backup</w:t>
            </w:r>
          </w:p>
        </w:tc>
        <w:tc>
          <w:tcPr>
            <w:tcW w:w="1700" w:type="dxa"/>
            <w:noWrap/>
          </w:tcPr>
          <w:p>
            <w:pPr>
              <w:pStyle w:val="cell"/>
            </w:pPr>
            <w:r>
              <w:rPr>
                <w:sz w:val="17"/>
                <w:szCs w:val="17"/>
              </w:rPr>
              <w:t xml:space="preserve">Backup target</w:t>
            </w:r>
          </w:p>
        </w:tc>
        <w:tc>
          <w:tcPr>
            <w:tcW w:w="1500" w:type="dxa"/>
            <w:noWrap/>
          </w:tcPr>
          <w:p>
            <w:pPr>
              <w:pStyle w:val="cell"/>
            </w:pPr>
            <w:r>
              <w:rPr>
                <w:sz w:val="17"/>
                <w:szCs w:val="17"/>
              </w:rPr>
              <w:t xml:space="preserve">1,060,815.00</w:t>
            </w:r>
          </w:p>
        </w:tc>
        <w:tc>
          <w:tcPr>
            <w:tcW w:w="1300" w:type="dxa"/>
            <w:noWrap/>
          </w:tcPr>
          <w:p>
            <w:pPr>
              <w:pStyle w:val="cell"/>
            </w:pPr>
            <w:r>
              <w:rPr>
                <w:sz w:val="17"/>
                <w:szCs w:val="17"/>
              </w:rPr>
              <w:t xml:space="preserve">Calculated</w:t>
            </w:r>
          </w:p>
        </w:tc>
      </w:tr>
      <w:tr>
        <w:trPr>
          <w:cantSplit w:val="1"/>
        </w:trPr>
        <w:tc>
          <w:tcPr>
            <w:tcW w:w="4000" w:type="dxa"/>
            <w:shd w:val="clear" w:fill="F3F1EC"/>
            <w:noWrap/>
          </w:tcPr>
          <w:p>
            <w:pPr>
              <w:pStyle w:val="cell"/>
            </w:pPr>
            <w:r>
              <w:rPr>
                <w:sz w:val="17"/>
                <w:szCs w:val="17"/>
              </w:rPr>
              <w:t xml:space="preserve">Total (all components)</w:t>
            </w:r>
          </w:p>
        </w:tc>
        <w:tc>
          <w:tcPr>
            <w:tcW w:w="1100" w:type="dxa"/>
            <w:shd w:val="clear" w:fill="F3F1EC"/>
            <w:noWrap/>
          </w:tcPr>
          <w:p>
            <w:pPr>
              <w:pStyle w:val="cell"/>
            </w:pPr>
            <w:r>
              <w:rPr>
                <w:sz w:val="17"/>
                <w:szCs w:val="17"/>
              </w:rPr>
              <w:t xml:space="preserve"/>
            </w:r>
          </w:p>
        </w:tc>
        <w:tc>
          <w:tcPr>
            <w:tcW w:w="1700" w:type="dxa"/>
            <w:shd w:val="clear" w:fill="F3F1EC"/>
            <w:noWrap/>
          </w:tcPr>
          <w:p>
            <w:pPr>
              <w:pStyle w:val="cell"/>
            </w:pPr>
            <w:r>
              <w:rPr>
                <w:sz w:val="17"/>
                <w:szCs w:val="17"/>
              </w:rPr>
              <w:t xml:space="preserve"/>
            </w:r>
          </w:p>
        </w:tc>
        <w:tc>
          <w:tcPr>
            <w:tcW w:w="1500" w:type="dxa"/>
            <w:shd w:val="clear" w:fill="F3F1EC"/>
            <w:noWrap/>
          </w:tcPr>
          <w:p>
            <w:pPr>
              <w:pStyle w:val="cell"/>
            </w:pPr>
            <w:r>
              <w:rPr>
                <w:sz w:val="17"/>
                <w:szCs w:val="17"/>
              </w:rPr>
              <w:t xml:space="preserve">1,485,941.00</w:t>
            </w:r>
          </w:p>
        </w:tc>
        <w:tc>
          <w:tcPr>
            <w:tcW w:w="1300" w:type="dxa"/>
            <w:shd w:val="clear" w:fill="F3F1EC"/>
            <w:noWrap/>
          </w:tcPr>
          <w:p>
            <w:pPr>
              <w:pStyle w:val="cell"/>
            </w:pPr>
            <w:r>
              <w:rPr>
                <w:sz w:val="17"/>
                <w:szCs w:val="17"/>
              </w:rPr>
              <w:t xml:space="preserve"/>
            </w:r>
          </w:p>
        </w:tc>
      </w:tr>
    </w:tbl>
    <w:p>
      <w:pPr>
        <w:rPr>
          <w:sz w:val="8"/>
          <w:szCs w:val="8"/>
        </w:rPr>
      </w:pPr>
    </w:p>
    <w:p>
      <w:pPr/>
      <w:r>
        <w:rPr>
          <w:sz w:val="18"/>
          <w:szCs w:val="18"/>
        </w:rPr>
        <w:t xml:space="preserve">Growth allowance to year 5: 696,473.95 GB (reported separately; included in the growth scenario).</w:t>
      </w:r>
    </w:p>
    <w:p>
      <w:pPr>
        <w:pStyle w:val="Heading2"/>
      </w:pPr>
      <w:bookmarkStart w:id="11" w:name="_Toc11"/>
      <w:r>
        <w:t>Usable versus raw</w:t>
      </w:r>
      <w:bookmarkEnd w:id="11"/>
    </w:p>
    <w:p>
      <w:pPr/>
      <w:r>
        <w:rPr>
          <w:sz w:val="19"/>
          <w:szCs w:val="19"/>
        </w:rPr>
        <w:t xml:space="preserve">Shared storage array (FC): protection factor 1.25×, maximum planned consumption 80%, data reduction 1:1.</w:t>
      </w:r>
    </w:p>
    <w:tbl>
      <w:tblGrid>
        <w:gridCol w:w="2400" w:type="dxa"/>
        <w:gridCol w:w="1600" w:type="dxa"/>
        <w:gridCol w:w="2600" w:type="dxa"/>
        <w:gridCol w:w="1500" w:type="dxa"/>
        <w:gridCol w:w="1500" w:type="dxa"/>
      </w:tblGrid>
      <w:tblPr>
        <w:tblStyle w:val="grid"/>
      </w:tblPr>
      <w:tr>
        <w:trPr>
          <w:tblHeader w:val="1"/>
          <w:cantSplit w:val="1"/>
        </w:trPr>
        <w:tc>
          <w:tcPr>
            <w:tcW w:w="2400" w:type="dxa"/>
            <w:shd w:val="clear" w:fill="0B0B0B"/>
            <w:noWrap/>
          </w:tcPr>
          <w:p>
            <w:pPr>
              <w:pStyle w:val="cell"/>
            </w:pPr>
            <w:r>
              <w:rPr>
                <w:color w:val="FFFFFF"/>
                <w:sz w:val="17"/>
                <w:szCs w:val="17"/>
                <w:b w:val="1"/>
                <w:bCs w:val="1"/>
              </w:rPr>
              <w:t xml:space="preserve">Storage</w:t>
            </w:r>
          </w:p>
        </w:tc>
        <w:tc>
          <w:tcPr>
            <w:tcW w:w="1600" w:type="dxa"/>
            <w:shd w:val="clear" w:fill="0B0B0B"/>
            <w:noWrap/>
          </w:tcPr>
          <w:p>
            <w:pPr>
              <w:pStyle w:val="cell"/>
            </w:pPr>
            <w:r>
              <w:rPr>
                <w:color w:val="FFFFFF"/>
                <w:sz w:val="17"/>
                <w:szCs w:val="17"/>
                <w:b w:val="1"/>
                <w:bCs w:val="1"/>
              </w:rPr>
              <w:t xml:space="preserve">Usable TB required</w:t>
            </w:r>
          </w:p>
        </w:tc>
        <w:tc>
          <w:tcPr>
            <w:tcW w:w="2600" w:type="dxa"/>
            <w:shd w:val="clear" w:fill="0B0B0B"/>
            <w:noWrap/>
          </w:tcPr>
          <w:p>
            <w:pPr>
              <w:pStyle w:val="cell"/>
            </w:pPr>
            <w:r>
              <w:rPr>
                <w:color w:val="FFFFFF"/>
                <w:sz w:val="17"/>
                <w:szCs w:val="17"/>
                <w:b w:val="1"/>
                <w:bCs w:val="1"/>
              </w:rPr>
              <w:t xml:space="preserve">Raw TB</w:t>
            </w:r>
          </w:p>
        </w:tc>
        <w:tc>
          <w:tcPr>
            <w:tcW w:w="1500" w:type="dxa"/>
            <w:shd w:val="clear" w:fill="0B0B0B"/>
            <w:noWrap/>
          </w:tcPr>
          <w:p>
            <w:pPr>
              <w:pStyle w:val="cell"/>
            </w:pPr>
            <w:r>
              <w:rPr>
                <w:color w:val="FFFFFF"/>
                <w:sz w:val="17"/>
                <w:szCs w:val="17"/>
                <w:b w:val="1"/>
                <w:bCs w:val="1"/>
              </w:rPr>
              <w:t xml:space="preserve">Usable TB (all nodes)</w:t>
            </w:r>
          </w:p>
        </w:tc>
        <w:tc>
          <w:tcPr>
            <w:tcW w:w="1500" w:type="dxa"/>
            <w:shd w:val="clear" w:fill="0B0B0B"/>
            <w:noWrap/>
          </w:tcPr>
          <w:p>
            <w:pPr>
              <w:pStyle w:val="cell"/>
            </w:pPr>
            <w:r>
              <w:rPr>
                <w:color w:val="FFFFFF"/>
                <w:sz w:val="17"/>
                <w:szCs w:val="17"/>
                <w:b w:val="1"/>
                <w:bCs w:val="1"/>
              </w:rPr>
              <w:t xml:space="preserve">Usable TB after failure</w:t>
            </w:r>
          </w:p>
        </w:tc>
      </w:tr>
      <w:tr>
        <w:trPr>
          <w:cantSplit w:val="1"/>
        </w:trPr>
        <w:tc>
          <w:tcPr>
            <w:tcW w:w="2400" w:type="dxa"/>
            <w:noWrap/>
          </w:tcPr>
          <w:p>
            <w:pPr>
              <w:pStyle w:val="cell"/>
            </w:pPr>
            <w:r>
              <w:rPr>
                <w:sz w:val="17"/>
                <w:szCs w:val="17"/>
              </w:rPr>
              <w:t xml:space="preserve">Shared array</w:t>
            </w:r>
          </w:p>
        </w:tc>
        <w:tc>
          <w:tcPr>
            <w:tcW w:w="1600" w:type="dxa"/>
            <w:noWrap/>
          </w:tcPr>
          <w:p>
            <w:pPr>
              <w:pStyle w:val="cell"/>
            </w:pPr>
            <w:r>
              <w:rPr>
                <w:sz w:val="17"/>
                <w:szCs w:val="17"/>
              </w:rPr>
              <w:t xml:space="preserve">415.16</w:t>
            </w:r>
          </w:p>
        </w:tc>
        <w:tc>
          <w:tcPr>
            <w:tcW w:w="2600" w:type="dxa"/>
            <w:noWrap/>
          </w:tcPr>
          <w:p>
            <w:pPr>
              <w:pStyle w:val="cell"/>
            </w:pPr>
            <w:r>
              <w:rPr>
                <w:sz w:val="17"/>
                <w:szCs w:val="17"/>
              </w:rPr>
              <w:t xml:space="preserve">648.69</w:t>
            </w:r>
          </w:p>
        </w:tc>
        <w:tc>
          <w:tcPr>
            <w:tcW w:w="1500" w:type="dxa"/>
            <w:noWrap/>
          </w:tcPr>
          <w:p>
            <w:pPr>
              <w:pStyle w:val="cell"/>
            </w:pPr>
            <w:r>
              <w:rPr>
                <w:sz w:val="17"/>
                <w:szCs w:val="17"/>
              </w:rPr>
              <w:t xml:space="preserve">—</w:t>
            </w:r>
          </w:p>
        </w:tc>
        <w:tc>
          <w:tcPr>
            <w:tcW w:w="1500" w:type="dxa"/>
            <w:noWrap/>
          </w:tcPr>
          <w:p>
            <w:pPr>
              <w:pStyle w:val="cell"/>
            </w:pPr>
            <w:r>
              <w:rPr>
                <w:sz w:val="17"/>
                <w:szCs w:val="17"/>
              </w:rPr>
              <w:t xml:space="preserve">—</w:t>
            </w:r>
          </w:p>
        </w:tc>
      </w:tr>
    </w:tbl>
    <w:p>
      <w:pPr>
        <w:rPr>
          <w:sz w:val="8"/>
          <w:szCs w:val="8"/>
        </w:rPr>
      </w:pPr>
    </w:p>
    <w:p>
      <w:pPr>
        <w:pStyle w:val="Heading2"/>
      </w:pPr>
      <w:bookmarkStart w:id="12" w:name="_Toc12"/>
      <w:r>
        <w:t>Performance</w:t>
      </w:r>
      <w:bookmarkEnd w:id="12"/>
    </w:p>
    <w:tbl>
      <w:tblGrid>
        <w:gridCol w:w="4800" w:type="dxa"/>
        <w:gridCol w:w="4800" w:type="dxa"/>
      </w:tblGrid>
      <w:tblPr>
        <w:tblStyle w:val="grid"/>
      </w:tblPr>
      <w:tr>
        <w:trPr>
          <w:tblHeader w:val="1"/>
          <w:cantSplit w:val="1"/>
        </w:trPr>
        <w:tc>
          <w:tcPr>
            <w:tcW w:w="4800" w:type="dxa"/>
            <w:shd w:val="clear" w:fill="0B0B0B"/>
            <w:noWrap/>
          </w:tcPr>
          <w:p>
            <w:pPr>
              <w:pStyle w:val="cell"/>
            </w:pPr>
            <w:r>
              <w:rPr>
                <w:color w:val="FFFFFF"/>
                <w:sz w:val="18"/>
                <w:szCs w:val="18"/>
                <w:b w:val="1"/>
                <w:bCs w:val="1"/>
              </w:rPr>
              <w:t xml:space="preserve">Metric</w:t>
            </w:r>
          </w:p>
        </w:tc>
        <w:tc>
          <w:tcPr>
            <w:tcW w:w="4800" w:type="dxa"/>
            <w:shd w:val="clear" w:fill="0B0B0B"/>
            <w:noWrap/>
          </w:tcPr>
          <w:p>
            <w:pPr>
              <w:pStyle w:val="cell"/>
            </w:pPr>
            <w:r>
              <w:rPr>
                <w:color w:val="FFFFFF"/>
                <w:sz w:val="18"/>
                <w:szCs w:val="18"/>
                <w:b w:val="1"/>
                <w:bCs w:val="1"/>
              </w:rPr>
              <w:t xml:space="preserve">Value</w:t>
            </w:r>
          </w:p>
        </w:tc>
      </w:tr>
      <w:tr>
        <w:trPr>
          <w:cantSplit w:val="1"/>
        </w:trPr>
        <w:tc>
          <w:tcPr>
            <w:tcW w:w="4800" w:type="dxa"/>
            <w:noWrap/>
          </w:tcPr>
          <w:p>
            <w:pPr>
              <w:pStyle w:val="cell"/>
            </w:pPr>
            <w:r>
              <w:rPr>
                <w:sz w:val="18"/>
                <w:szCs w:val="18"/>
              </w:rPr>
              <w:t xml:space="preserve">Steady-state IOPS</w:t>
            </w:r>
          </w:p>
        </w:tc>
        <w:tc>
          <w:tcPr>
            <w:tcW w:w="4800" w:type="dxa"/>
            <w:noWrap/>
          </w:tcPr>
          <w:p>
            <w:pPr>
              <w:pStyle w:val="cell"/>
            </w:pPr>
            <w:r>
              <w:rPr>
                <w:sz w:val="18"/>
                <w:szCs w:val="18"/>
              </w:rPr>
              <w:t xml:space="preserve">42,750 (assumption-based)</w:t>
            </w:r>
          </w:p>
        </w:tc>
      </w:tr>
      <w:tr>
        <w:trPr>
          <w:cantSplit w:val="1"/>
        </w:trPr>
        <w:tc>
          <w:tcPr>
            <w:tcW w:w="4800" w:type="dxa"/>
            <w:shd w:val="clear" w:fill="F3F1EC"/>
            <w:noWrap/>
          </w:tcPr>
          <w:p>
            <w:pPr>
              <w:pStyle w:val="cell"/>
            </w:pPr>
            <w:r>
              <w:rPr>
                <w:sz w:val="18"/>
                <w:szCs w:val="18"/>
              </w:rPr>
              <w:t xml:space="preserve">Read / write (steady)</w:t>
            </w:r>
          </w:p>
        </w:tc>
        <w:tc>
          <w:tcPr>
            <w:tcW w:w="4800" w:type="dxa"/>
            <w:shd w:val="clear" w:fill="F3F1EC"/>
            <w:noWrap/>
          </w:tcPr>
          <w:p>
            <w:pPr>
              <w:pStyle w:val="cell"/>
            </w:pPr>
            <w:r>
              <w:rPr>
                <w:sz w:val="18"/>
                <w:szCs w:val="18"/>
              </w:rPr>
              <w:t xml:space="preserve">12,825 / 29,925 (30% read)</w:t>
            </w:r>
          </w:p>
        </w:tc>
      </w:tr>
      <w:tr>
        <w:trPr>
          <w:cantSplit w:val="1"/>
        </w:trPr>
        <w:tc>
          <w:tcPr>
            <w:tcW w:w="4800" w:type="dxa"/>
            <w:noWrap/>
          </w:tcPr>
          <w:p>
            <w:pPr>
              <w:pStyle w:val="cell"/>
            </w:pPr>
            <w:r>
              <w:rPr>
                <w:sz w:val="18"/>
                <w:szCs w:val="18"/>
              </w:rPr>
              <w:t xml:space="preserve">Logon storm (additional)</w:t>
            </w:r>
          </w:p>
        </w:tc>
        <w:tc>
          <w:tcPr>
            <w:tcW w:w="4800" w:type="dxa"/>
            <w:noWrap/>
          </w:tcPr>
          <w:p>
            <w:pPr>
              <w:pStyle w:val="cell"/>
            </w:pPr>
            <w:r>
              <w:rPr>
                <w:sz w:val="18"/>
                <w:szCs w:val="18"/>
              </w:rPr>
              <w:t xml:space="preserve">1,750</w:t>
            </w:r>
          </w:p>
        </w:tc>
      </w:tr>
      <w:tr>
        <w:trPr>
          <w:cantSplit w:val="1"/>
        </w:trPr>
        <w:tc>
          <w:tcPr>
            <w:tcW w:w="4800" w:type="dxa"/>
            <w:shd w:val="clear" w:fill="F3F1EC"/>
            <w:noWrap/>
          </w:tcPr>
          <w:p>
            <w:pPr>
              <w:pStyle w:val="cell"/>
            </w:pPr>
            <w:r>
              <w:rPr>
                <w:sz w:val="18"/>
                <w:szCs w:val="18"/>
              </w:rPr>
              <w:t xml:space="preserve">Boot / provisioning storm</w:t>
            </w:r>
          </w:p>
        </w:tc>
        <w:tc>
          <w:tcPr>
            <w:tcW w:w="4800" w:type="dxa"/>
            <w:shd w:val="clear" w:fill="F3F1EC"/>
            <w:noWrap/>
          </w:tcPr>
          <w:p>
            <w:pPr>
              <w:pStyle w:val="cell"/>
            </w:pPr>
            <w:r>
              <w:rPr>
                <w:sz w:val="18"/>
                <w:szCs w:val="18"/>
              </w:rPr>
              <w:t xml:space="preserve">30,500</w:t>
            </w:r>
          </w:p>
        </w:tc>
      </w:tr>
      <w:tr>
        <w:trPr>
          <w:cantSplit w:val="1"/>
        </w:trPr>
        <w:tc>
          <w:tcPr>
            <w:tcW w:w="4800" w:type="dxa"/>
            <w:noWrap/>
          </w:tcPr>
          <w:p>
            <w:pPr>
              <w:pStyle w:val="cell"/>
            </w:pPr>
            <w:r>
              <w:rPr>
                <w:sz w:val="18"/>
                <w:szCs w:val="18"/>
              </w:rPr>
              <w:t xml:space="preserve">Peak IOPS</w:t>
            </w:r>
          </w:p>
        </w:tc>
        <w:tc>
          <w:tcPr>
            <w:tcW w:w="4800" w:type="dxa"/>
            <w:noWrap/>
          </w:tcPr>
          <w:p>
            <w:pPr>
              <w:pStyle w:val="cell"/>
            </w:pPr>
            <w:r>
              <w:rPr>
                <w:sz w:val="18"/>
                <w:szCs w:val="18"/>
              </w:rPr>
              <w:t xml:space="preserve">44,500</w:t>
            </w:r>
          </w:p>
        </w:tc>
      </w:tr>
      <w:tr>
        <w:trPr>
          <w:cantSplit w:val="1"/>
        </w:trPr>
        <w:tc>
          <w:tcPr>
            <w:tcW w:w="4800" w:type="dxa"/>
            <w:shd w:val="clear" w:fill="F3F1EC"/>
            <w:noWrap/>
          </w:tcPr>
          <w:p>
            <w:pPr>
              <w:pStyle w:val="cell"/>
            </w:pPr>
            <w:r>
              <w:rPr>
                <w:sz w:val="18"/>
                <w:szCs w:val="18"/>
              </w:rPr>
              <w:t xml:space="preserve">Peak throughput</w:t>
            </w:r>
          </w:p>
        </w:tc>
        <w:tc>
          <w:tcPr>
            <w:tcW w:w="4800" w:type="dxa"/>
            <w:shd w:val="clear" w:fill="F3F1EC"/>
            <w:noWrap/>
          </w:tcPr>
          <w:p>
            <w:pPr>
              <w:pStyle w:val="cell"/>
            </w:pPr>
            <w:r>
              <w:rPr>
                <w:sz w:val="18"/>
                <w:szCs w:val="18"/>
              </w:rPr>
              <w:t xml:space="preserve">695.3 MB/s</w:t>
            </w:r>
          </w:p>
        </w:tc>
      </w:tr>
      <w:tr>
        <w:trPr>
          <w:cantSplit w:val="1"/>
        </w:trPr>
        <w:tc>
          <w:tcPr>
            <w:tcW w:w="4800" w:type="dxa"/>
            <w:noWrap/>
          </w:tcPr>
          <w:p>
            <w:pPr>
              <w:pStyle w:val="cell"/>
            </w:pPr>
            <w:r>
              <w:rPr>
                <w:sz w:val="18"/>
                <w:szCs w:val="18"/>
              </w:rPr>
              <w:t xml:space="preserve">Storage connectivity (1 Gbps per 100 VMs, Omnissa)</w:t>
            </w:r>
          </w:p>
        </w:tc>
        <w:tc>
          <w:tcPr>
            <w:tcW w:w="4800" w:type="dxa"/>
            <w:noWrap/>
          </w:tcPr>
          <w:p>
            <w:pPr>
              <w:pStyle w:val="cell"/>
            </w:pPr>
            <w:r>
              <w:rPr>
                <w:sz w:val="18"/>
                <w:szCs w:val="18"/>
              </w:rPr>
              <w:t xml:space="preserve">31.0 Gbps</w:t>
            </w:r>
          </w:p>
        </w:tc>
      </w:tr>
      <w:tr>
        <w:trPr>
          <w:cantSplit w:val="1"/>
        </w:trPr>
        <w:tc>
          <w:tcPr>
            <w:tcW w:w="4800" w:type="dxa"/>
            <w:shd w:val="clear" w:fill="F3F1EC"/>
            <w:noWrap/>
          </w:tcPr>
          <w:p>
            <w:pPr>
              <w:pStyle w:val="cell"/>
            </w:pPr>
            <w:r>
              <w:rPr>
                <w:sz w:val="18"/>
                <w:szCs w:val="18"/>
              </w:rPr>
              <w:t xml:space="preserve">Latency objective</w:t>
            </w:r>
          </w:p>
        </w:tc>
        <w:tc>
          <w:tcPr>
            <w:tcW w:w="4800" w:type="dxa"/>
            <w:shd w:val="clear" w:fill="F3F1EC"/>
            <w:noWrap/>
          </w:tcPr>
          <w:p>
            <w:pPr>
              <w:pStyle w:val="cell"/>
            </w:pPr>
            <w:r>
              <w:rPr>
                <w:sz w:val="18"/>
                <w:szCs w:val="18"/>
              </w:rPr>
              <w:t xml:space="preserve">Not specified</w:t>
            </w:r>
          </w:p>
        </w:tc>
      </w:tr>
    </w:tbl>
    <w:p>
      <w:pPr>
        <w:rPr>
          <w:sz w:val="8"/>
          <w:szCs w:val="8"/>
        </w:rPr>
      </w:pPr>
    </w:p>
    <w:p>
      <w:pPr>
        <w:pStyle w:val="Heading1"/>
      </w:pPr>
      <w:bookmarkStart w:id="13" w:name="_Toc13"/>
      <w:r>
        <w:t>7. Network sizing</w:t>
      </w:r>
      <w:bookmarkEnd w:id="13"/>
    </w:p>
    <w:tbl>
      <w:tblGrid>
        <w:gridCol w:w="4800" w:type="dxa"/>
        <w:gridCol w:w="4800" w:type="dxa"/>
      </w:tblGrid>
      <w:tblPr>
        <w:tblStyle w:val="grid"/>
      </w:tblPr>
      <w:tr>
        <w:trPr>
          <w:tblHeader w:val="1"/>
          <w:cantSplit w:val="1"/>
        </w:trPr>
        <w:tc>
          <w:tcPr>
            <w:tcW w:w="4800" w:type="dxa"/>
            <w:shd w:val="clear" w:fill="0B0B0B"/>
            <w:noWrap/>
          </w:tcPr>
          <w:p>
            <w:pPr>
              <w:pStyle w:val="cell"/>
            </w:pPr>
            <w:r>
              <w:rPr>
                <w:color w:val="FFFFFF"/>
                <w:sz w:val="18"/>
                <w:szCs w:val="18"/>
                <w:b w:val="1"/>
                <w:bCs w:val="1"/>
              </w:rPr>
              <w:t xml:space="preserve">Metric</w:t>
            </w:r>
          </w:p>
        </w:tc>
        <w:tc>
          <w:tcPr>
            <w:tcW w:w="4800" w:type="dxa"/>
            <w:shd w:val="clear" w:fill="0B0B0B"/>
            <w:noWrap/>
          </w:tcPr>
          <w:p>
            <w:pPr>
              <w:pStyle w:val="cell"/>
            </w:pPr>
            <w:r>
              <w:rPr>
                <w:color w:val="FFFFFF"/>
                <w:sz w:val="18"/>
                <w:szCs w:val="18"/>
                <w:b w:val="1"/>
                <w:bCs w:val="1"/>
              </w:rPr>
              <w:t xml:space="preserve">Value</w:t>
            </w:r>
          </w:p>
        </w:tc>
      </w:tr>
      <w:tr>
        <w:trPr>
          <w:cantSplit w:val="1"/>
        </w:trPr>
        <w:tc>
          <w:tcPr>
            <w:tcW w:w="4800" w:type="dxa"/>
            <w:noWrap/>
          </w:tcPr>
          <w:p>
            <w:pPr>
              <w:pStyle w:val="cell"/>
            </w:pPr>
            <w:r>
              <w:rPr>
                <w:sz w:val="18"/>
                <w:szCs w:val="18"/>
              </w:rPr>
              <w:t xml:space="preserve">Aggregate display bandwidth</w:t>
            </w:r>
          </w:p>
        </w:tc>
        <w:tc>
          <w:tcPr>
            <w:tcW w:w="4800" w:type="dxa"/>
            <w:noWrap/>
          </w:tcPr>
          <w:p>
            <w:pPr>
              <w:pStyle w:val="cell"/>
            </w:pPr>
            <w:r>
              <w:rPr>
                <w:sz w:val="18"/>
                <w:szCs w:val="18"/>
              </w:rPr>
              <w:t xml:space="preserve">1,887.5 Mbps</w:t>
            </w:r>
          </w:p>
        </w:tc>
      </w:tr>
      <w:tr>
        <w:trPr>
          <w:cantSplit w:val="1"/>
        </w:trPr>
        <w:tc>
          <w:tcPr>
            <w:tcW w:w="4800" w:type="dxa"/>
            <w:shd w:val="clear" w:fill="F3F1EC"/>
            <w:noWrap/>
          </w:tcPr>
          <w:p>
            <w:pPr>
              <w:pStyle w:val="cell"/>
            </w:pPr>
            <w:r>
              <w:rPr>
                <w:sz w:val="18"/>
                <w:szCs w:val="18"/>
              </w:rPr>
              <w:t xml:space="preserve">Internal / external</w:t>
            </w:r>
          </w:p>
        </w:tc>
        <w:tc>
          <w:tcPr>
            <w:tcW w:w="4800" w:type="dxa"/>
            <w:shd w:val="clear" w:fill="F3F1EC"/>
            <w:noWrap/>
          </w:tcPr>
          <w:p>
            <w:pPr>
              <w:pStyle w:val="cell"/>
            </w:pPr>
            <w:r>
              <w:rPr>
                <w:sz w:val="18"/>
                <w:szCs w:val="18"/>
              </w:rPr>
              <w:t xml:space="preserve">1,510.0 / 377.5 Mbps</w:t>
            </w:r>
          </w:p>
        </w:tc>
      </w:tr>
      <w:tr>
        <w:trPr>
          <w:cantSplit w:val="1"/>
        </w:trPr>
        <w:tc>
          <w:tcPr>
            <w:tcW w:w="4800" w:type="dxa"/>
            <w:noWrap/>
          </w:tcPr>
          <w:p>
            <w:pPr>
              <w:pStyle w:val="cell"/>
            </w:pPr>
            <w:r>
              <w:rPr>
                <w:sz w:val="18"/>
                <w:szCs w:val="18"/>
              </w:rPr>
              <w:t xml:space="preserve">Per active UAG</w:t>
            </w:r>
          </w:p>
        </w:tc>
        <w:tc>
          <w:tcPr>
            <w:tcW w:w="4800" w:type="dxa"/>
            <w:noWrap/>
          </w:tcPr>
          <w:p>
            <w:pPr>
              <w:pStyle w:val="cell"/>
            </w:pPr>
            <w:r>
              <w:rPr>
                <w:sz w:val="18"/>
                <w:szCs w:val="18"/>
              </w:rPr>
              <w:t xml:space="preserve">377.5 Mbps</w:t>
            </w:r>
          </w:p>
        </w:tc>
      </w:tr>
      <w:tr>
        <w:trPr>
          <w:cantSplit w:val="1"/>
        </w:trPr>
        <w:tc>
          <w:tcPr>
            <w:tcW w:w="4800" w:type="dxa"/>
            <w:shd w:val="clear" w:fill="F3F1EC"/>
            <w:noWrap/>
          </w:tcPr>
          <w:p>
            <w:pPr>
              <w:pStyle w:val="cell"/>
            </w:pPr>
            <w:r>
              <w:rPr>
                <w:sz w:val="18"/>
                <w:szCs w:val="18"/>
              </w:rPr>
              <w:t xml:space="preserve">Desktop IP addresses (incl. reserve)</w:t>
            </w:r>
          </w:p>
        </w:tc>
        <w:tc>
          <w:tcPr>
            <w:tcW w:w="4800" w:type="dxa"/>
            <w:shd w:val="clear" w:fill="F3F1EC"/>
            <w:noWrap/>
          </w:tcPr>
          <w:p>
            <w:pPr>
              <w:pStyle w:val="cell"/>
            </w:pPr>
            <w:r>
              <w:rPr>
                <w:sz w:val="18"/>
                <w:szCs w:val="18"/>
              </w:rPr>
              <w:t xml:space="preserve">3,660 in 8 × /23</w:t>
            </w:r>
          </w:p>
        </w:tc>
      </w:tr>
      <w:tr>
        <w:trPr>
          <w:cantSplit w:val="1"/>
        </w:trPr>
        <w:tc>
          <w:tcPr>
            <w:tcW w:w="4800" w:type="dxa"/>
            <w:noWrap/>
          </w:tcPr>
          <w:p>
            <w:pPr>
              <w:pStyle w:val="cell"/>
            </w:pPr>
            <w:r>
              <w:rPr>
                <w:sz w:val="18"/>
                <w:szCs w:val="18"/>
              </w:rPr>
              <w:t xml:space="preserve">Infrastructure IP addresses</w:t>
            </w:r>
          </w:p>
        </w:tc>
        <w:tc>
          <w:tcPr>
            <w:tcW w:w="4800" w:type="dxa"/>
            <w:noWrap/>
          </w:tcPr>
          <w:p>
            <w:pPr>
              <w:pStyle w:val="cell"/>
            </w:pPr>
            <w:r>
              <w:rPr>
                <w:sz w:val="18"/>
                <w:szCs w:val="18"/>
              </w:rPr>
              <w:t xml:space="preserve">126</w:t>
            </w:r>
          </w:p>
        </w:tc>
      </w:tr>
    </w:tbl>
    <w:p>
      <w:pPr>
        <w:rPr>
          <w:sz w:val="8"/>
          <w:szCs w:val="8"/>
        </w:rPr>
      </w:pPr>
    </w:p>
    <w:p>
      <w:pPr>
        <w:pStyle w:val="Heading2"/>
      </w:pPr>
      <w:bookmarkStart w:id="14" w:name="_Toc14"/>
      <w:r>
        <w:t>Host uplinks (per host, FTT hosts failed)</w:t>
      </w:r>
      <w:bookmarkEnd w:id="14"/>
    </w:p>
    <w:tbl>
      <w:tblGrid>
        <w:gridCol w:w="2000" w:type="dxa"/>
        <w:gridCol w:w="1300" w:type="dxa"/>
        <w:gridCol w:w="900" w:type="dxa"/>
        <w:gridCol w:w="900" w:type="dxa"/>
        <w:gridCol w:w="1100" w:type="dxa"/>
        <w:gridCol w:w="1200" w:type="dxa"/>
        <w:gridCol w:w="1100" w:type="dxa"/>
        <w:gridCol w:w="1100" w:type="dxa"/>
      </w:tblGrid>
      <w:tblPr>
        <w:tblStyle w:val="grid"/>
      </w:tblPr>
      <w:tr>
        <w:trPr>
          <w:tblHeader w:val="1"/>
          <w:cantSplit w:val="1"/>
        </w:trPr>
        <w:tc>
          <w:tcPr>
            <w:tcW w:w="2000" w:type="dxa"/>
            <w:shd w:val="clear" w:fill="0B0B0B"/>
            <w:noWrap/>
          </w:tcPr>
          <w:p>
            <w:pPr>
              <w:pStyle w:val="cell"/>
            </w:pPr>
            <w:r>
              <w:rPr>
                <w:color w:val="FFFFFF"/>
                <w:sz w:val="17"/>
                <w:szCs w:val="17"/>
                <w:b w:val="1"/>
                <w:bCs w:val="1"/>
              </w:rPr>
              <w:t xml:space="preserve">Cluster</w:t>
            </w:r>
          </w:p>
        </w:tc>
        <w:tc>
          <w:tcPr>
            <w:tcW w:w="1300" w:type="dxa"/>
            <w:shd w:val="clear" w:fill="0B0B0B"/>
            <w:noWrap/>
          </w:tcPr>
          <w:p>
            <w:pPr>
              <w:pStyle w:val="cell"/>
            </w:pPr>
            <w:r>
              <w:rPr>
                <w:color w:val="FFFFFF"/>
                <w:sz w:val="17"/>
                <w:szCs w:val="17"/>
                <w:b w:val="1"/>
                <w:bCs w:val="1"/>
              </w:rPr>
              <w:t xml:space="preserve">NICs</w:t>
            </w:r>
          </w:p>
        </w:tc>
        <w:tc>
          <w:tcPr>
            <w:tcW w:w="900" w:type="dxa"/>
            <w:shd w:val="clear" w:fill="0B0B0B"/>
            <w:noWrap/>
          </w:tcPr>
          <w:p>
            <w:pPr>
              <w:pStyle w:val="cell"/>
            </w:pPr>
            <w:r>
              <w:rPr>
                <w:color w:val="FFFFFF"/>
                <w:sz w:val="17"/>
                <w:szCs w:val="17"/>
                <w:b w:val="1"/>
                <w:bCs w:val="1"/>
              </w:rPr>
              <w:t xml:space="preserve">Display</w:t>
            </w:r>
          </w:p>
        </w:tc>
        <w:tc>
          <w:tcPr>
            <w:tcW w:w="900" w:type="dxa"/>
            <w:shd w:val="clear" w:fill="0B0B0B"/>
            <w:noWrap/>
          </w:tcPr>
          <w:p>
            <w:pPr>
              <w:pStyle w:val="cell"/>
            </w:pPr>
            <w:r>
              <w:rPr>
                <w:color w:val="FFFFFF"/>
                <w:sz w:val="17"/>
                <w:szCs w:val="17"/>
                <w:b w:val="1"/>
                <w:bCs w:val="1"/>
              </w:rPr>
              <w:t xml:space="preserve">Storage</w:t>
            </w:r>
          </w:p>
        </w:tc>
        <w:tc>
          <w:tcPr>
            <w:tcW w:w="1100" w:type="dxa"/>
            <w:shd w:val="clear" w:fill="0B0B0B"/>
            <w:noWrap/>
          </w:tcPr>
          <w:p>
            <w:pPr>
              <w:pStyle w:val="cell"/>
            </w:pPr>
            <w:r>
              <w:rPr>
                <w:color w:val="FFFFFF"/>
                <w:sz w:val="17"/>
                <w:szCs w:val="17"/>
                <w:b w:val="1"/>
                <w:bCs w:val="1"/>
              </w:rPr>
              <w:t xml:space="preserve">vMotion+mgmt</w:t>
            </w:r>
          </w:p>
        </w:tc>
        <w:tc>
          <w:tcPr>
            <w:tcW w:w="1200" w:type="dxa"/>
            <w:shd w:val="clear" w:fill="0B0B0B"/>
            <w:noWrap/>
          </w:tcPr>
          <w:p>
            <w:pPr>
              <w:pStyle w:val="cell"/>
            </w:pPr>
            <w:r>
              <w:rPr>
                <w:color w:val="FFFFFF"/>
                <w:sz w:val="17"/>
                <w:szCs w:val="17"/>
                <w:b w:val="1"/>
                <w:bCs w:val="1"/>
              </w:rPr>
              <w:t xml:space="preserve">Required Gbps</w:t>
            </w:r>
          </w:p>
        </w:tc>
        <w:tc>
          <w:tcPr>
            <w:tcW w:w="1100" w:type="dxa"/>
            <w:shd w:val="clear" w:fill="0B0B0B"/>
            <w:noWrap/>
          </w:tcPr>
          <w:p>
            <w:pPr>
              <w:pStyle w:val="cell"/>
            </w:pPr>
            <w:r>
              <w:rPr>
                <w:color w:val="FFFFFF"/>
                <w:sz w:val="17"/>
                <w:szCs w:val="17"/>
                <w:b w:val="1"/>
                <w:bCs w:val="1"/>
              </w:rPr>
              <w:t xml:space="preserve">Usable Gbps</w:t>
            </w:r>
          </w:p>
        </w:tc>
        <w:tc>
          <w:tcPr>
            <w:tcW w:w="1100" w:type="dxa"/>
            <w:shd w:val="clear" w:fill="0B0B0B"/>
            <w:noWrap/>
          </w:tcPr>
          <w:p>
            <w:pPr>
              <w:pStyle w:val="cell"/>
            </w:pPr>
            <w:r>
              <w:rPr>
                <w:color w:val="FFFFFF"/>
                <w:sz w:val="17"/>
                <w:szCs w:val="17"/>
                <w:b w:val="1"/>
                <w:bCs w:val="1"/>
              </w:rPr>
              <w:t xml:space="preserve">Check</w:t>
            </w:r>
          </w:p>
        </w:tc>
      </w:tr>
      <w:tr>
        <w:trPr>
          <w:cantSplit w:val="1"/>
        </w:trPr>
        <w:tc>
          <w:tcPr>
            <w:tcW w:w="2000" w:type="dxa"/>
            <w:noWrap/>
          </w:tcPr>
          <w:p>
            <w:pPr>
              <w:pStyle w:val="cell"/>
            </w:pPr>
            <w:r>
              <w:rPr>
                <w:sz w:val="17"/>
                <w:szCs w:val="17"/>
              </w:rPr>
              <w:t xml:space="preserve">Desktop cluster</w:t>
            </w:r>
          </w:p>
        </w:tc>
        <w:tc>
          <w:tcPr>
            <w:tcW w:w="1300" w:type="dxa"/>
            <w:noWrap/>
          </w:tcPr>
          <w:p>
            <w:pPr>
              <w:pStyle w:val="cell"/>
            </w:pPr>
            <w:r>
              <w:rPr>
                <w:sz w:val="17"/>
                <w:szCs w:val="17"/>
              </w:rPr>
              <w:t xml:space="preserve">4 × 25 GbE</w:t>
            </w:r>
          </w:p>
        </w:tc>
        <w:tc>
          <w:tcPr>
            <w:tcW w:w="900" w:type="dxa"/>
            <w:noWrap/>
          </w:tcPr>
          <w:p>
            <w:pPr>
              <w:pStyle w:val="cell"/>
            </w:pPr>
            <w:r>
              <w:rPr>
                <w:sz w:val="17"/>
                <w:szCs w:val="17"/>
              </w:rPr>
              <w:t xml:space="preserve">0.05</w:t>
            </w:r>
          </w:p>
        </w:tc>
        <w:tc>
          <w:tcPr>
            <w:tcW w:w="900" w:type="dxa"/>
            <w:noWrap/>
          </w:tcPr>
          <w:p>
            <w:pPr>
              <w:pStyle w:val="cell"/>
            </w:pPr>
            <w:r>
              <w:rPr>
                <w:sz w:val="17"/>
                <w:szCs w:val="17"/>
              </w:rPr>
              <w:t xml:space="preserve">0.00</w:t>
            </w:r>
          </w:p>
        </w:tc>
        <w:tc>
          <w:tcPr>
            <w:tcW w:w="1100" w:type="dxa"/>
            <w:noWrap/>
          </w:tcPr>
          <w:p>
            <w:pPr>
              <w:pStyle w:val="cell"/>
            </w:pPr>
            <w:r>
              <w:rPr>
                <w:sz w:val="17"/>
                <w:szCs w:val="17"/>
              </w:rPr>
              <w:t xml:space="preserve">11.0</w:t>
            </w:r>
          </w:p>
        </w:tc>
        <w:tc>
          <w:tcPr>
            <w:tcW w:w="1200" w:type="dxa"/>
            <w:noWrap/>
          </w:tcPr>
          <w:p>
            <w:pPr>
              <w:pStyle w:val="cell"/>
            </w:pPr>
            <w:r>
              <w:rPr>
                <w:sz w:val="17"/>
                <w:szCs w:val="17"/>
              </w:rPr>
              <w:t xml:space="preserve">11.05</w:t>
            </w:r>
          </w:p>
        </w:tc>
        <w:tc>
          <w:tcPr>
            <w:tcW w:w="1100" w:type="dxa"/>
            <w:noWrap/>
          </w:tcPr>
          <w:p>
            <w:pPr>
              <w:pStyle w:val="cell"/>
            </w:pPr>
            <w:r>
              <w:rPr>
                <w:sz w:val="17"/>
                <w:szCs w:val="17"/>
              </w:rPr>
              <w:t xml:space="preserve">35.00</w:t>
            </w:r>
          </w:p>
        </w:tc>
        <w:tc>
          <w:tcPr>
            <w:tcW w:w="1100" w:type="dxa"/>
            <w:noWrap/>
          </w:tcPr>
          <w:p>
            <w:pPr>
              <w:pStyle w:val="cell"/>
            </w:pPr>
            <w:r>
              <w:rPr>
                <w:sz w:val="17"/>
                <w:szCs w:val="17"/>
              </w:rPr>
              <w:t xml:space="preserve">OK</w:t>
            </w:r>
          </w:p>
        </w:tc>
      </w:tr>
      <w:tr>
        <w:trPr>
          <w:cantSplit w:val="1"/>
        </w:trPr>
        <w:tc>
          <w:tcPr>
            <w:tcW w:w="2000" w:type="dxa"/>
            <w:shd w:val="clear" w:fill="F3F1EC"/>
            <w:noWrap/>
          </w:tcPr>
          <w:p>
            <w:pPr>
              <w:pStyle w:val="cell"/>
            </w:pPr>
            <w:r>
              <w:rPr>
                <w:sz w:val="17"/>
                <w:szCs w:val="17"/>
              </w:rPr>
              <w:t xml:space="preserve">GPU cluster</w:t>
            </w:r>
          </w:p>
        </w:tc>
        <w:tc>
          <w:tcPr>
            <w:tcW w:w="1300" w:type="dxa"/>
            <w:shd w:val="clear" w:fill="F3F1EC"/>
            <w:noWrap/>
          </w:tcPr>
          <w:p>
            <w:pPr>
              <w:pStyle w:val="cell"/>
            </w:pPr>
            <w:r>
              <w:rPr>
                <w:sz w:val="17"/>
                <w:szCs w:val="17"/>
              </w:rPr>
              <w:t xml:space="preserve">4 × 25 GbE</w:t>
            </w:r>
          </w:p>
        </w:tc>
        <w:tc>
          <w:tcPr>
            <w:tcW w:w="900" w:type="dxa"/>
            <w:shd w:val="clear" w:fill="F3F1EC"/>
            <w:noWrap/>
          </w:tcPr>
          <w:p>
            <w:pPr>
              <w:pStyle w:val="cell"/>
            </w:pPr>
            <w:r>
              <w:rPr>
                <w:sz w:val="17"/>
                <w:szCs w:val="17"/>
              </w:rPr>
              <w:t xml:space="preserve">0.09</w:t>
            </w:r>
          </w:p>
        </w:tc>
        <w:tc>
          <w:tcPr>
            <w:tcW w:w="900" w:type="dxa"/>
            <w:shd w:val="clear" w:fill="F3F1EC"/>
            <w:noWrap/>
          </w:tcPr>
          <w:p>
            <w:pPr>
              <w:pStyle w:val="cell"/>
            </w:pPr>
            <w:r>
              <w:rPr>
                <w:sz w:val="17"/>
                <w:szCs w:val="17"/>
              </w:rPr>
              <w:t xml:space="preserve">0.00</w:t>
            </w:r>
          </w:p>
        </w:tc>
        <w:tc>
          <w:tcPr>
            <w:tcW w:w="1100" w:type="dxa"/>
            <w:shd w:val="clear" w:fill="F3F1EC"/>
            <w:noWrap/>
          </w:tcPr>
          <w:p>
            <w:pPr>
              <w:pStyle w:val="cell"/>
            </w:pPr>
            <w:r>
              <w:rPr>
                <w:sz w:val="17"/>
                <w:szCs w:val="17"/>
              </w:rPr>
              <w:t xml:space="preserve">11.0</w:t>
            </w:r>
          </w:p>
        </w:tc>
        <w:tc>
          <w:tcPr>
            <w:tcW w:w="1200" w:type="dxa"/>
            <w:shd w:val="clear" w:fill="F3F1EC"/>
            <w:noWrap/>
          </w:tcPr>
          <w:p>
            <w:pPr>
              <w:pStyle w:val="cell"/>
            </w:pPr>
            <w:r>
              <w:rPr>
                <w:sz w:val="17"/>
                <w:szCs w:val="17"/>
              </w:rPr>
              <w:t xml:space="preserve">11.09</w:t>
            </w:r>
          </w:p>
        </w:tc>
        <w:tc>
          <w:tcPr>
            <w:tcW w:w="1100" w:type="dxa"/>
            <w:shd w:val="clear" w:fill="F3F1EC"/>
            <w:noWrap/>
          </w:tcPr>
          <w:p>
            <w:pPr>
              <w:pStyle w:val="cell"/>
            </w:pPr>
            <w:r>
              <w:rPr>
                <w:sz w:val="17"/>
                <w:szCs w:val="17"/>
              </w:rPr>
              <w:t xml:space="preserve">35.00</w:t>
            </w:r>
          </w:p>
        </w:tc>
        <w:tc>
          <w:tcPr>
            <w:tcW w:w="1100" w:type="dxa"/>
            <w:shd w:val="clear" w:fill="F3F1EC"/>
            <w:noWrap/>
          </w:tcPr>
          <w:p>
            <w:pPr>
              <w:pStyle w:val="cell"/>
            </w:pPr>
            <w:r>
              <w:rPr>
                <w:sz w:val="17"/>
                <w:szCs w:val="17"/>
              </w:rPr>
              <w:t xml:space="preserve">OK</w:t>
            </w:r>
          </w:p>
        </w:tc>
      </w:tr>
      <w:tr>
        <w:trPr>
          <w:cantSplit w:val="1"/>
        </w:trPr>
        <w:tc>
          <w:tcPr>
            <w:tcW w:w="2000" w:type="dxa"/>
            <w:noWrap/>
          </w:tcPr>
          <w:p>
            <w:pPr>
              <w:pStyle w:val="cell"/>
            </w:pPr>
            <w:r>
              <w:rPr>
                <w:sz w:val="17"/>
                <w:szCs w:val="17"/>
              </w:rPr>
              <w:t xml:space="preserve">Management cluster</w:t>
            </w:r>
          </w:p>
        </w:tc>
        <w:tc>
          <w:tcPr>
            <w:tcW w:w="1300" w:type="dxa"/>
            <w:noWrap/>
          </w:tcPr>
          <w:p>
            <w:pPr>
              <w:pStyle w:val="cell"/>
            </w:pPr>
            <w:r>
              <w:rPr>
                <w:sz w:val="17"/>
                <w:szCs w:val="17"/>
              </w:rPr>
              <w:t xml:space="preserve">4 × 25 GbE</w:t>
            </w:r>
          </w:p>
        </w:tc>
        <w:tc>
          <w:tcPr>
            <w:tcW w:w="900" w:type="dxa"/>
            <w:noWrap/>
          </w:tcPr>
          <w:p>
            <w:pPr>
              <w:pStyle w:val="cell"/>
            </w:pPr>
            <w:r>
              <w:rPr>
                <w:sz w:val="17"/>
                <w:szCs w:val="17"/>
              </w:rPr>
              <w:t xml:space="preserve">0.00</w:t>
            </w:r>
          </w:p>
        </w:tc>
        <w:tc>
          <w:tcPr>
            <w:tcW w:w="900" w:type="dxa"/>
            <w:noWrap/>
          </w:tcPr>
          <w:p>
            <w:pPr>
              <w:pStyle w:val="cell"/>
            </w:pPr>
            <w:r>
              <w:rPr>
                <w:sz w:val="17"/>
                <w:szCs w:val="17"/>
              </w:rPr>
              <w:t xml:space="preserve">0.00</w:t>
            </w:r>
          </w:p>
        </w:tc>
        <w:tc>
          <w:tcPr>
            <w:tcW w:w="1100" w:type="dxa"/>
            <w:noWrap/>
          </w:tcPr>
          <w:p>
            <w:pPr>
              <w:pStyle w:val="cell"/>
            </w:pPr>
            <w:r>
              <w:rPr>
                <w:sz w:val="17"/>
                <w:szCs w:val="17"/>
              </w:rPr>
              <w:t xml:space="preserve">11.0</w:t>
            </w:r>
          </w:p>
        </w:tc>
        <w:tc>
          <w:tcPr>
            <w:tcW w:w="1200" w:type="dxa"/>
            <w:noWrap/>
          </w:tcPr>
          <w:p>
            <w:pPr>
              <w:pStyle w:val="cell"/>
            </w:pPr>
            <w:r>
              <w:rPr>
                <w:sz w:val="17"/>
                <w:szCs w:val="17"/>
              </w:rPr>
              <w:t xml:space="preserve">11.00</w:t>
            </w:r>
          </w:p>
        </w:tc>
        <w:tc>
          <w:tcPr>
            <w:tcW w:w="1100" w:type="dxa"/>
            <w:noWrap/>
          </w:tcPr>
          <w:p>
            <w:pPr>
              <w:pStyle w:val="cell"/>
            </w:pPr>
            <w:r>
              <w:rPr>
                <w:sz w:val="17"/>
                <w:szCs w:val="17"/>
              </w:rPr>
              <w:t xml:space="preserve">35.00</w:t>
            </w:r>
          </w:p>
        </w:tc>
        <w:tc>
          <w:tcPr>
            <w:tcW w:w="1100" w:type="dxa"/>
            <w:noWrap/>
          </w:tcPr>
          <w:p>
            <w:pPr>
              <w:pStyle w:val="cell"/>
            </w:pPr>
            <w:r>
              <w:rPr>
                <w:sz w:val="17"/>
                <w:szCs w:val="17"/>
              </w:rPr>
              <w:t xml:space="preserve">OK</w:t>
            </w:r>
          </w:p>
        </w:tc>
      </w:tr>
    </w:tbl>
    <w:p>
      <w:pPr>
        <w:rPr>
          <w:sz w:val="8"/>
          <w:szCs w:val="8"/>
        </w:rPr>
      </w:pPr>
    </w:p>
    <w:p>
      <w:pPr>
        <w:pStyle w:val="Heading2"/>
      </w:pPr>
      <w:bookmarkStart w:id="15" w:name="_Toc15"/>
      <w:r>
        <w:t>Switching</w:t>
      </w:r>
      <w:bookmarkEnd w:id="15"/>
    </w:p>
    <w:p>
      <w:pPr/>
      <w:r>
        <w:rPr>
          <w:sz w:val="19"/>
          <w:szCs w:val="19"/>
        </w:rPr>
        <w:t xml:space="preserve">4 ToR switches (2 pair(s), 48-port 25 GbE), 4 uplinks per switch at 100 GbE (oversubscription 2.19:1), 1 out-of-band switch(es), 2 Fibre Channel switches (39 ports per fabric).</w:t>
      </w:r>
    </w:p>
    <w:p>
      <w:pPr>
        <w:sectPr>
          <w:footerReference w:type="default" r:id="rId36"/>
          <w:pgSz w:orient="portrait" w:w="11905.511811023622" w:h="16837.79527559055"/>
          <w:pgMar w:top="900" w:right="900" w:bottom="900" w:left="900" w:header="720" w:footer="720" w:gutter="0"/>
          <w:cols w:num="1" w:space="720"/>
        </w:sectPr>
      </w:pPr>
    </w:p>
    <w:p>
      <w:pPr>
        <w:pStyle w:val="Heading1"/>
      </w:pPr>
      <w:bookmarkStart w:id="16" w:name="_Toc16"/>
      <w:r>
        <w:t>8. Recommended hardware bill of materials</w:t>
      </w:r>
      <w:bookmarkEnd w:id="16"/>
    </w:p>
    <w:p>
      <w:pPr/>
      <w:r>
        <w:rPr>
          <w:color w:val="6B6B66"/>
          <w:sz w:val="18"/>
          <w:szCs w:val="18"/>
        </w:rPr>
        <w:t xml:space="preserve">Generic minimum and recommended specifications — no vendor models or part numbers are implied. Validate every line with the vendor.</w:t>
      </w:r>
    </w:p>
    <w:tbl>
      <w:tblGrid>
        <w:gridCol w:w="1300" w:type="dxa"/>
        <w:gridCol w:w="2300" w:type="dxa"/>
        <w:gridCol w:w="1100" w:type="dxa"/>
        <w:gridCol w:w="3000" w:type="dxa"/>
        <w:gridCol w:w="3000" w:type="dxa"/>
        <w:gridCol w:w="3200" w:type="dxa"/>
      </w:tblGrid>
      <w:tblPr>
        <w:tblStyle w:val="grid"/>
      </w:tblPr>
      <w:tr>
        <w:trPr>
          <w:tblHeader w:val="1"/>
          <w:cantSplit w:val="1"/>
        </w:trPr>
        <w:tc>
          <w:tcPr>
            <w:tcW w:w="1300" w:type="dxa"/>
            <w:shd w:val="clear" w:fill="0B0B0B"/>
            <w:noWrap/>
          </w:tcPr>
          <w:p>
            <w:pPr>
              <w:pStyle w:val="cell"/>
            </w:pPr>
            <w:r>
              <w:rPr>
                <w:color w:val="FFFFFF"/>
                <w:sz w:val="16"/>
                <w:szCs w:val="16"/>
                <w:b w:val="1"/>
                <w:bCs w:val="1"/>
              </w:rPr>
              <w:t xml:space="preserve">Category</w:t>
            </w:r>
          </w:p>
        </w:tc>
        <w:tc>
          <w:tcPr>
            <w:tcW w:w="2300" w:type="dxa"/>
            <w:shd w:val="clear" w:fill="0B0B0B"/>
            <w:noWrap/>
          </w:tcPr>
          <w:p>
            <w:pPr>
              <w:pStyle w:val="cell"/>
            </w:pPr>
            <w:r>
              <w:rPr>
                <w:color w:val="FFFFFF"/>
                <w:sz w:val="16"/>
                <w:szCs w:val="16"/>
                <w:b w:val="1"/>
                <w:bCs w:val="1"/>
              </w:rPr>
              <w:t xml:space="preserve">Item</w:t>
            </w:r>
          </w:p>
        </w:tc>
        <w:tc>
          <w:tcPr>
            <w:tcW w:w="1100" w:type="dxa"/>
            <w:shd w:val="clear" w:fill="0B0B0B"/>
            <w:noWrap/>
          </w:tcPr>
          <w:p>
            <w:pPr>
              <w:pStyle w:val="cell"/>
            </w:pPr>
            <w:r>
              <w:rPr>
                <w:color w:val="FFFFFF"/>
                <w:sz w:val="16"/>
                <w:szCs w:val="16"/>
                <w:b w:val="1"/>
                <w:bCs w:val="1"/>
              </w:rPr>
              <w:t xml:space="preserve">Qty</w:t>
            </w:r>
          </w:p>
        </w:tc>
        <w:tc>
          <w:tcPr>
            <w:tcW w:w="3000" w:type="dxa"/>
            <w:shd w:val="clear" w:fill="0B0B0B"/>
            <w:noWrap/>
          </w:tcPr>
          <w:p>
            <w:pPr>
              <w:pStyle w:val="cell"/>
            </w:pPr>
            <w:r>
              <w:rPr>
                <w:color w:val="FFFFFF"/>
                <w:sz w:val="16"/>
                <w:szCs w:val="16"/>
                <w:b w:val="1"/>
                <w:bCs w:val="1"/>
              </w:rPr>
              <w:t xml:space="preserve">Minimum specification</w:t>
            </w:r>
          </w:p>
        </w:tc>
        <w:tc>
          <w:tcPr>
            <w:tcW w:w="3000" w:type="dxa"/>
            <w:shd w:val="clear" w:fill="0B0B0B"/>
            <w:noWrap/>
          </w:tcPr>
          <w:p>
            <w:pPr>
              <w:pStyle w:val="cell"/>
            </w:pPr>
            <w:r>
              <w:rPr>
                <w:color w:val="FFFFFF"/>
                <w:sz w:val="16"/>
                <w:szCs w:val="16"/>
                <w:b w:val="1"/>
                <w:bCs w:val="1"/>
              </w:rPr>
              <w:t xml:space="preserve">Recommended specification</w:t>
            </w:r>
          </w:p>
        </w:tc>
        <w:tc>
          <w:tcPr>
            <w:tcW w:w="3200" w:type="dxa"/>
            <w:shd w:val="clear" w:fill="0B0B0B"/>
            <w:noWrap/>
          </w:tcPr>
          <w:p>
            <w:pPr>
              <w:pStyle w:val="cell"/>
            </w:pPr>
            <w:r>
              <w:rPr>
                <w:color w:val="FFFFFF"/>
                <w:sz w:val="16"/>
                <w:szCs w:val="16"/>
                <w:b w:val="1"/>
                <w:bCs w:val="1"/>
              </w:rPr>
              <w:t xml:space="preserve">Validation</w:t>
            </w:r>
          </w:p>
        </w:tc>
      </w:tr>
      <w:tr>
        <w:trPr>
          <w:cantSplit w:val="1"/>
        </w:trPr>
        <w:tc>
          <w:tcPr>
            <w:tcW w:w="1300" w:type="dxa"/>
            <w:noWrap/>
          </w:tcPr>
          <w:p>
            <w:pPr>
              <w:pStyle w:val="cell"/>
            </w:pPr>
            <w:r>
              <w:rPr>
                <w:sz w:val="16"/>
                <w:szCs w:val="16"/>
              </w:rPr>
              <w:t xml:space="preserve">Compute</w:t>
            </w:r>
          </w:p>
        </w:tc>
        <w:tc>
          <w:tcPr>
            <w:tcW w:w="2300" w:type="dxa"/>
            <w:noWrap/>
          </w:tcPr>
          <w:p>
            <w:pPr>
              <w:pStyle w:val="cell"/>
            </w:pPr>
            <w:r>
              <w:rPr>
                <w:sz w:val="16"/>
                <w:szCs w:val="16"/>
              </w:rPr>
              <w:t xml:space="preserve">Virtualization host — Desktop cluster</w:t>
            </w:r>
          </w:p>
        </w:tc>
        <w:tc>
          <w:tcPr>
            <w:tcW w:w="1100" w:type="dxa"/>
            <w:noWrap/>
          </w:tcPr>
          <w:p>
            <w:pPr>
              <w:pStyle w:val="cell"/>
            </w:pPr>
            <w:r>
              <w:rPr>
                <w:sz w:val="16"/>
                <w:szCs w:val="16"/>
              </w:rPr>
              <w:t xml:space="preserve">22 servers</w:t>
            </w:r>
          </w:p>
        </w:tc>
        <w:tc>
          <w:tcPr>
            <w:tcW w:w="3000" w:type="dxa"/>
            <w:noWrap/>
          </w:tcPr>
          <w:p>
            <w:pPr>
              <w:pStyle w:val="cell"/>
            </w:pPr>
            <w:r>
              <w:rPr>
                <w:sz w:val="16"/>
                <w:szCs w:val="16"/>
              </w:rPr>
              <w:t xml:space="preserve">≥ 59 physical cores, ≥ 981 GB RAM, ≥ 2 × 25 GbE ports</w:t>
            </w:r>
          </w:p>
        </w:tc>
        <w:tc>
          <w:tcPr>
            <w:tcW w:w="3000" w:type="dxa"/>
            <w:noWrap/>
          </w:tcPr>
          <w:p>
            <w:pPr>
              <w:pStyle w:val="cell"/>
            </w:pPr>
            <w:r>
              <w:rPr>
                <w:sz w:val="16"/>
                <w:szCs w:val="16"/>
              </w:rPr>
              <w:t xml:space="preserve">2 × 32-core CPU @ 2.8 GHz (64 cores), 1,024 GB RAM, 4 × 25 GbE, boot: 2 × boot devices, mirrored</w:t>
            </w:r>
          </w:p>
        </w:tc>
        <w:tc>
          <w:tcPr>
            <w:tcW w:w="3200" w:type="dxa"/>
            <w:noWrap/>
          </w:tcPr>
          <w:p>
            <w:pPr>
              <w:pStyle w:val="cell"/>
            </w:pPr>
            <w:r>
              <w:rPr>
                <w:sz w:val="16"/>
                <w:szCs w:val="16"/>
              </w:rPr>
              <w:t xml:space="preserve">Validate the server, NICs and HBAs against the Broadcom Compatibility Guide for the ESXi release.</w:t>
            </w:r>
          </w:p>
        </w:tc>
      </w:tr>
      <w:tr>
        <w:trPr>
          <w:cantSplit w:val="1"/>
        </w:trPr>
        <w:tc>
          <w:tcPr>
            <w:tcW w:w="1300" w:type="dxa"/>
            <w:shd w:val="clear" w:fill="F3F1EC"/>
            <w:noWrap/>
          </w:tcPr>
          <w:p>
            <w:pPr>
              <w:pStyle w:val="cell"/>
            </w:pPr>
            <w:r>
              <w:rPr>
                <w:sz w:val="16"/>
                <w:szCs w:val="16"/>
              </w:rPr>
              <w:t xml:space="preserve">Compute</w:t>
            </w:r>
          </w:p>
        </w:tc>
        <w:tc>
          <w:tcPr>
            <w:tcW w:w="2300" w:type="dxa"/>
            <w:shd w:val="clear" w:fill="F3F1EC"/>
            <w:noWrap/>
          </w:tcPr>
          <w:p>
            <w:pPr>
              <w:pStyle w:val="cell"/>
            </w:pPr>
            <w:r>
              <w:rPr>
                <w:sz w:val="16"/>
                <w:szCs w:val="16"/>
              </w:rPr>
              <w:t xml:space="preserve">Virtualization host — GPU cluster</w:t>
            </w:r>
          </w:p>
        </w:tc>
        <w:tc>
          <w:tcPr>
            <w:tcW w:w="1100" w:type="dxa"/>
            <w:shd w:val="clear" w:fill="F3F1EC"/>
            <w:noWrap/>
          </w:tcPr>
          <w:p>
            <w:pPr>
              <w:pStyle w:val="cell"/>
            </w:pPr>
            <w:r>
              <w:rPr>
                <w:sz w:val="16"/>
                <w:szCs w:val="16"/>
              </w:rPr>
              <w:t xml:space="preserve">11 servers</w:t>
            </w:r>
          </w:p>
        </w:tc>
        <w:tc>
          <w:tcPr>
            <w:tcW w:w="3000" w:type="dxa"/>
            <w:shd w:val="clear" w:fill="F3F1EC"/>
            <w:noWrap/>
          </w:tcPr>
          <w:p>
            <w:pPr>
              <w:pStyle w:val="cell"/>
            </w:pPr>
            <w:r>
              <w:rPr>
                <w:sz w:val="16"/>
                <w:szCs w:val="16"/>
              </w:rPr>
              <w:t xml:space="preserve">≥ 60 physical cores, ≥ 545 GB RAM, ≥ 2 × 25 GbE ports, GPU slots and power for 3 × NVIDIA L40S</w:t>
            </w:r>
          </w:p>
        </w:tc>
        <w:tc>
          <w:tcPr>
            <w:tcW w:w="3000" w:type="dxa"/>
            <w:shd w:val="clear" w:fill="F3F1EC"/>
            <w:noWrap/>
          </w:tcPr>
          <w:p>
            <w:pPr>
              <w:pStyle w:val="cell"/>
            </w:pPr>
            <w:r>
              <w:rPr>
                <w:sz w:val="16"/>
                <w:szCs w:val="16"/>
              </w:rPr>
              <w:t xml:space="preserve">2 × 32-core CPU @ 3 GHz (64 cores), 1,536 GB RAM, 4 × 25 GbE, boot: 2 × boot devices, mirrored, 3 × NVIDIA L40S</w:t>
            </w:r>
          </w:p>
        </w:tc>
        <w:tc>
          <w:tcPr>
            <w:tcW w:w="3200" w:type="dxa"/>
            <w:shd w:val="clear" w:fill="F3F1EC"/>
            <w:noWrap/>
          </w:tcPr>
          <w:p>
            <w:pPr>
              <w:pStyle w:val="cell"/>
            </w:pPr>
            <w:r>
              <w:rPr>
                <w:sz w:val="16"/>
                <w:szCs w:val="16"/>
              </w:rPr>
              <w:t xml:space="preserve">Validate the server, NICs and HBAs against the Broadcom Compatibility Guide for the ESXi release.</w:t>
            </w:r>
          </w:p>
        </w:tc>
      </w:tr>
      <w:tr>
        <w:trPr>
          <w:cantSplit w:val="1"/>
        </w:trPr>
        <w:tc>
          <w:tcPr>
            <w:tcW w:w="1300" w:type="dxa"/>
            <w:noWrap/>
          </w:tcPr>
          <w:p>
            <w:pPr>
              <w:pStyle w:val="cell"/>
            </w:pPr>
            <w:r>
              <w:rPr>
                <w:sz w:val="16"/>
                <w:szCs w:val="16"/>
              </w:rPr>
              <w:t xml:space="preserve">Compute</w:t>
            </w:r>
          </w:p>
        </w:tc>
        <w:tc>
          <w:tcPr>
            <w:tcW w:w="2300" w:type="dxa"/>
            <w:noWrap/>
          </w:tcPr>
          <w:p>
            <w:pPr>
              <w:pStyle w:val="cell"/>
            </w:pPr>
            <w:r>
              <w:rPr>
                <w:sz w:val="16"/>
                <w:szCs w:val="16"/>
              </w:rPr>
              <w:t xml:space="preserve">Virtualization host — Management cluster</w:t>
            </w:r>
          </w:p>
        </w:tc>
        <w:tc>
          <w:tcPr>
            <w:tcW w:w="1100" w:type="dxa"/>
            <w:noWrap/>
          </w:tcPr>
          <w:p>
            <w:pPr>
              <w:pStyle w:val="cell"/>
            </w:pPr>
            <w:r>
              <w:rPr>
                <w:sz w:val="16"/>
                <w:szCs w:val="16"/>
              </w:rPr>
              <w:t xml:space="preserve">2 servers</w:t>
            </w:r>
          </w:p>
        </w:tc>
        <w:tc>
          <w:tcPr>
            <w:tcW w:w="3000" w:type="dxa"/>
            <w:noWrap/>
          </w:tcPr>
          <w:p>
            <w:pPr>
              <w:pStyle w:val="cell"/>
            </w:pPr>
            <w:r>
              <w:rPr>
                <w:sz w:val="16"/>
                <w:szCs w:val="16"/>
              </w:rPr>
              <w:t xml:space="preserve">≥ 22 physical cores, ≥ 133 GB RAM, ≥ 2 × 25 GbE ports</w:t>
            </w:r>
          </w:p>
        </w:tc>
        <w:tc>
          <w:tcPr>
            <w:tcW w:w="3000" w:type="dxa"/>
            <w:noWrap/>
          </w:tcPr>
          <w:p>
            <w:pPr>
              <w:pStyle w:val="cell"/>
            </w:pPr>
            <w:r>
              <w:rPr>
                <w:sz w:val="16"/>
                <w:szCs w:val="16"/>
              </w:rPr>
              <w:t xml:space="preserve">2 × 16-core CPU @ 2.8 GHz (32 cores), 512 GB RAM, 4 × 25 GbE, boot: 2 × boot devices, mirrored</w:t>
            </w:r>
          </w:p>
        </w:tc>
        <w:tc>
          <w:tcPr>
            <w:tcW w:w="3200" w:type="dxa"/>
            <w:noWrap/>
          </w:tcPr>
          <w:p>
            <w:pPr>
              <w:pStyle w:val="cell"/>
            </w:pPr>
            <w:r>
              <w:rPr>
                <w:sz w:val="16"/>
                <w:szCs w:val="16"/>
              </w:rPr>
              <w:t xml:space="preserve">Validate the server, NICs and HBAs against the Broadcom Compatibility Guide for the ESXi release.</w:t>
            </w:r>
          </w:p>
        </w:tc>
      </w:tr>
      <w:tr>
        <w:trPr>
          <w:cantSplit w:val="1"/>
        </w:trPr>
        <w:tc>
          <w:tcPr>
            <w:tcW w:w="1300" w:type="dxa"/>
            <w:shd w:val="clear" w:fill="F3F1EC"/>
            <w:noWrap/>
          </w:tcPr>
          <w:p>
            <w:pPr>
              <w:pStyle w:val="cell"/>
            </w:pPr>
            <w:r>
              <w:rPr>
                <w:sz w:val="16"/>
                <w:szCs w:val="16"/>
              </w:rPr>
              <w:t xml:space="preserve">GPU</w:t>
            </w:r>
          </w:p>
        </w:tc>
        <w:tc>
          <w:tcPr>
            <w:tcW w:w="2300" w:type="dxa"/>
            <w:shd w:val="clear" w:fill="F3F1EC"/>
            <w:noWrap/>
          </w:tcPr>
          <w:p>
            <w:pPr>
              <w:pStyle w:val="cell"/>
            </w:pPr>
            <w:r>
              <w:rPr>
                <w:sz w:val="16"/>
                <w:szCs w:val="16"/>
              </w:rPr>
              <w:t xml:space="preserve">NVIDIA L40S (vGPU / pass-through)</w:t>
            </w:r>
          </w:p>
        </w:tc>
        <w:tc>
          <w:tcPr>
            <w:tcW w:w="1100" w:type="dxa"/>
            <w:shd w:val="clear" w:fill="F3F1EC"/>
            <w:noWrap/>
          </w:tcPr>
          <w:p>
            <w:pPr>
              <w:pStyle w:val="cell"/>
            </w:pPr>
            <w:r>
              <w:rPr>
                <w:sz w:val="16"/>
                <w:szCs w:val="16"/>
              </w:rPr>
              <w:t xml:space="preserve">33 boards</w:t>
            </w:r>
          </w:p>
        </w:tc>
        <w:tc>
          <w:tcPr>
            <w:tcW w:w="3000" w:type="dxa"/>
            <w:shd w:val="clear" w:fill="F3F1EC"/>
            <w:noWrap/>
          </w:tcPr>
          <w:p>
            <w:pPr>
              <w:pStyle w:val="cell"/>
            </w:pPr>
            <w:r>
              <w:rPr>
                <w:sz w:val="16"/>
                <w:szCs w:val="16"/>
              </w:rPr>
              <w:t xml:space="preserve">Boards required for the selected vGPU types (see GPU sizing)</w:t>
            </w:r>
          </w:p>
        </w:tc>
        <w:tc>
          <w:tcPr>
            <w:tcW w:w="3000" w:type="dxa"/>
            <w:shd w:val="clear" w:fill="F3F1EC"/>
            <w:noWrap/>
          </w:tcPr>
          <w:p>
            <w:pPr>
              <w:pStyle w:val="cell"/>
            </w:pPr>
            <w:r>
              <w:rPr>
                <w:sz w:val="16"/>
                <w:szCs w:val="16"/>
              </w:rPr>
              <w:t xml:space="preserve">One board set per GPU host, including failover hosts</w:t>
            </w:r>
          </w:p>
        </w:tc>
        <w:tc>
          <w:tcPr>
            <w:tcW w:w="3200" w:type="dxa"/>
            <w:shd w:val="clear" w:fill="F3F1EC"/>
            <w:noWrap/>
          </w:tcPr>
          <w:p>
            <w:pPr>
              <w:pStyle w:val="cell"/>
            </w:pPr>
            <w:r>
              <w:rPr>
                <w:sz w:val="16"/>
                <w:szCs w:val="16"/>
              </w:rPr>
              <w:t xml:space="preserve">Validate server support, power/cooling, NVIDIA vGPU software release and licensing with NVIDIA and the server vendor.</w:t>
            </w:r>
          </w:p>
        </w:tc>
      </w:tr>
      <w:tr>
        <w:trPr>
          <w:cantSplit w:val="1"/>
        </w:trPr>
        <w:tc>
          <w:tcPr>
            <w:tcW w:w="1300" w:type="dxa"/>
            <w:noWrap/>
          </w:tcPr>
          <w:p>
            <w:pPr>
              <w:pStyle w:val="cell"/>
            </w:pPr>
            <w:r>
              <w:rPr>
                <w:sz w:val="16"/>
                <w:szCs w:val="16"/>
              </w:rPr>
              <w:t xml:space="preserve">Storage</w:t>
            </w:r>
          </w:p>
        </w:tc>
        <w:tc>
          <w:tcPr>
            <w:tcW w:w="2300" w:type="dxa"/>
            <w:noWrap/>
          </w:tcPr>
          <w:p>
            <w:pPr>
              <w:pStyle w:val="cell"/>
            </w:pPr>
            <w:r>
              <w:rPr>
                <w:sz w:val="16"/>
                <w:szCs w:val="16"/>
              </w:rPr>
              <w:t xml:space="preserve">Shared storage array (FC)</w:t>
            </w:r>
          </w:p>
        </w:tc>
        <w:tc>
          <w:tcPr>
            <w:tcW w:w="1100" w:type="dxa"/>
            <w:noWrap/>
          </w:tcPr>
          <w:p>
            <w:pPr>
              <w:pStyle w:val="cell"/>
            </w:pPr>
            <w:r>
              <w:rPr>
                <w:sz w:val="16"/>
                <w:szCs w:val="16"/>
              </w:rPr>
              <w:t xml:space="preserve">1 array</w:t>
            </w:r>
          </w:p>
        </w:tc>
        <w:tc>
          <w:tcPr>
            <w:tcW w:w="3000" w:type="dxa"/>
            <w:noWrap/>
          </w:tcPr>
          <w:p>
            <w:pPr>
              <w:pStyle w:val="cell"/>
            </w:pPr>
            <w:r>
              <w:rPr>
                <w:sz w:val="16"/>
                <w:szCs w:val="16"/>
              </w:rPr>
              <w:t xml:space="preserve">≥ 415.16 TB usable (648.69 TB raw at assumed protection), ≥ 44,500 peak IOPS, ≥ 695.3 MB/s</w:t>
            </w:r>
          </w:p>
        </w:tc>
        <w:tc>
          <w:tcPr>
            <w:tcW w:w="3000" w:type="dxa"/>
            <w:noWrap/>
          </w:tcPr>
          <w:p>
            <w:pPr>
              <w:pStyle w:val="cell"/>
            </w:pPr>
            <w:r>
              <w:rPr>
                <w:sz w:val="16"/>
                <w:szCs w:val="16"/>
              </w:rPr>
              <w:t xml:space="preserve">Dual controllers, non-disruptive upgrades, VMware/Horizon integration</w:t>
            </w:r>
          </w:p>
        </w:tc>
        <w:tc>
          <w:tcPr>
            <w:tcW w:w="3200" w:type="dxa"/>
            <w:noWrap/>
          </w:tcPr>
          <w:p>
            <w:pPr>
              <w:pStyle w:val="cell"/>
            </w:pPr>
            <w:r>
              <w:rPr>
                <w:sz w:val="16"/>
                <w:szCs w:val="16"/>
              </w:rPr>
              <w:t xml:space="preserve">Array vendor must confirm usable capacity, RAID layout, data reduction and latency at the stated IOPS.</w:t>
            </w:r>
          </w:p>
        </w:tc>
      </w:tr>
      <w:tr>
        <w:trPr>
          <w:cantSplit w:val="1"/>
        </w:trPr>
        <w:tc>
          <w:tcPr>
            <w:tcW w:w="1300" w:type="dxa"/>
            <w:shd w:val="clear" w:fill="F3F1EC"/>
            <w:noWrap/>
          </w:tcPr>
          <w:p>
            <w:pPr>
              <w:pStyle w:val="cell"/>
            </w:pPr>
            <w:r>
              <w:rPr>
                <w:sz w:val="16"/>
                <w:szCs w:val="16"/>
              </w:rPr>
              <w:t xml:space="preserve">Storage</w:t>
            </w:r>
          </w:p>
        </w:tc>
        <w:tc>
          <w:tcPr>
            <w:tcW w:w="2300" w:type="dxa"/>
            <w:shd w:val="clear" w:fill="F3F1EC"/>
            <w:noWrap/>
          </w:tcPr>
          <w:p>
            <w:pPr>
              <w:pStyle w:val="cell"/>
            </w:pPr>
            <w:r>
              <w:rPr>
                <w:sz w:val="16"/>
                <w:szCs w:val="16"/>
              </w:rPr>
              <w:t xml:space="preserve">DR-site storage array</w:t>
            </w:r>
          </w:p>
        </w:tc>
        <w:tc>
          <w:tcPr>
            <w:tcW w:w="1100" w:type="dxa"/>
            <w:shd w:val="clear" w:fill="F3F1EC"/>
            <w:noWrap/>
          </w:tcPr>
          <w:p>
            <w:pPr>
              <w:pStyle w:val="cell"/>
            </w:pPr>
            <w:r>
              <w:rPr>
                <w:sz w:val="16"/>
                <w:szCs w:val="16"/>
              </w:rPr>
              <w:t xml:space="preserve">1 array</w:t>
            </w:r>
          </w:p>
        </w:tc>
        <w:tc>
          <w:tcPr>
            <w:tcW w:w="3000" w:type="dxa"/>
            <w:shd w:val="clear" w:fill="F3F1EC"/>
            <w:noWrap/>
          </w:tcPr>
          <w:p>
            <w:pPr>
              <w:pStyle w:val="cell"/>
            </w:pPr>
            <w:r>
              <w:rPr>
                <w:sz w:val="16"/>
                <w:szCs w:val="16"/>
              </w:rPr>
              <w:t xml:space="preserve">Capacity for replicated persistent data and golden images</w:t>
            </w:r>
          </w:p>
        </w:tc>
        <w:tc>
          <w:tcPr>
            <w:tcW w:w="3000" w:type="dxa"/>
            <w:shd w:val="clear" w:fill="F3F1EC"/>
            <w:noWrap/>
          </w:tcPr>
          <w:p>
            <w:pPr>
              <w:pStyle w:val="cell"/>
            </w:pPr>
            <w:r>
              <w:rPr>
                <w:sz w:val="16"/>
                <w:szCs w:val="16"/>
              </w:rPr>
              <w:t xml:space="preserve">Matching protocol and replication support</w:t>
            </w:r>
          </w:p>
        </w:tc>
        <w:tc>
          <w:tcPr>
            <w:tcW w:w="3200" w:type="dxa"/>
            <w:shd w:val="clear" w:fill="F3F1EC"/>
            <w:noWrap/>
          </w:tcPr>
          <w:p>
            <w:pPr>
              <w:pStyle w:val="cell"/>
            </w:pPr>
            <w:r>
              <w:rPr>
                <w:sz w:val="16"/>
                <w:szCs w:val="16"/>
              </w:rPr>
              <w:t xml:space="preserve">Size replication with the array vendor.</w:t>
            </w:r>
          </w:p>
        </w:tc>
      </w:tr>
      <w:tr>
        <w:trPr>
          <w:cantSplit w:val="1"/>
        </w:trPr>
        <w:tc>
          <w:tcPr>
            <w:tcW w:w="1300" w:type="dxa"/>
            <w:noWrap/>
          </w:tcPr>
          <w:p>
            <w:pPr>
              <w:pStyle w:val="cell"/>
            </w:pPr>
            <w:r>
              <w:rPr>
                <w:sz w:val="16"/>
                <w:szCs w:val="16"/>
              </w:rPr>
              <w:t xml:space="preserve">Storage</w:t>
            </w:r>
          </w:p>
        </w:tc>
        <w:tc>
          <w:tcPr>
            <w:tcW w:w="2300" w:type="dxa"/>
            <w:noWrap/>
          </w:tcPr>
          <w:p>
            <w:pPr>
              <w:pStyle w:val="cell"/>
            </w:pPr>
            <w:r>
              <w:rPr>
                <w:sz w:val="16"/>
                <w:szCs w:val="16"/>
              </w:rPr>
              <w:t xml:space="preserve">NAS / file services for profiles and user data</w:t>
            </w:r>
          </w:p>
        </w:tc>
        <w:tc>
          <w:tcPr>
            <w:tcW w:w="1100" w:type="dxa"/>
            <w:noWrap/>
          </w:tcPr>
          <w:p>
            <w:pPr>
              <w:pStyle w:val="cell"/>
            </w:pPr>
            <w:r>
              <w:rPr>
                <w:sz w:val="16"/>
                <w:szCs w:val="16"/>
              </w:rPr>
              <w:t xml:space="preserve">1 system</w:t>
            </w:r>
          </w:p>
        </w:tc>
        <w:tc>
          <w:tcPr>
            <w:tcW w:w="3000" w:type="dxa"/>
            <w:noWrap/>
          </w:tcPr>
          <w:p>
            <w:pPr>
              <w:pStyle w:val="cell"/>
            </w:pPr>
            <w:r>
              <w:rPr>
                <w:sz w:val="16"/>
                <w:szCs w:val="16"/>
              </w:rPr>
              <w:t xml:space="preserve">≥ 52.73 TB usable</w:t>
            </w:r>
          </w:p>
        </w:tc>
        <w:tc>
          <w:tcPr>
            <w:tcW w:w="3000" w:type="dxa"/>
            <w:noWrap/>
          </w:tcPr>
          <w:p>
            <w:pPr>
              <w:pStyle w:val="cell"/>
            </w:pPr>
            <w:r>
              <w:rPr>
                <w:sz w:val="16"/>
                <w:szCs w:val="16"/>
              </w:rPr>
              <w:t xml:space="preserve">SMB 3 file services with snapshots</w:t>
            </w:r>
          </w:p>
        </w:tc>
        <w:tc>
          <w:tcPr>
            <w:tcW w:w="3200" w:type="dxa"/>
            <w:noWrap/>
          </w:tcPr>
          <w:p>
            <w:pPr>
              <w:pStyle w:val="cell"/>
            </w:pPr>
            <w:r>
              <w:rPr>
                <w:sz w:val="16"/>
                <w:szCs w:val="16"/>
              </w:rPr>
              <w:t xml:space="preserve">Confirm SMB features required by the profile solution.</w:t>
            </w:r>
          </w:p>
        </w:tc>
      </w:tr>
      <w:tr>
        <w:trPr>
          <w:cantSplit w:val="1"/>
        </w:trPr>
        <w:tc>
          <w:tcPr>
            <w:tcW w:w="1300" w:type="dxa"/>
            <w:shd w:val="clear" w:fill="F3F1EC"/>
            <w:noWrap/>
          </w:tcPr>
          <w:p>
            <w:pPr>
              <w:pStyle w:val="cell"/>
            </w:pPr>
            <w:r>
              <w:rPr>
                <w:sz w:val="16"/>
                <w:szCs w:val="16"/>
              </w:rPr>
              <w:t xml:space="preserve">Storage</w:t>
            </w:r>
          </w:p>
        </w:tc>
        <w:tc>
          <w:tcPr>
            <w:tcW w:w="2300" w:type="dxa"/>
            <w:shd w:val="clear" w:fill="F3F1EC"/>
            <w:noWrap/>
          </w:tcPr>
          <w:p>
            <w:pPr>
              <w:pStyle w:val="cell"/>
            </w:pPr>
            <w:r>
              <w:rPr>
                <w:sz w:val="16"/>
                <w:szCs w:val="16"/>
              </w:rPr>
              <w:t xml:space="preserve">Backup target</w:t>
            </w:r>
          </w:p>
        </w:tc>
        <w:tc>
          <w:tcPr>
            <w:tcW w:w="1100" w:type="dxa"/>
            <w:shd w:val="clear" w:fill="F3F1EC"/>
            <w:noWrap/>
          </w:tcPr>
          <w:p>
            <w:pPr>
              <w:pStyle w:val="cell"/>
            </w:pPr>
            <w:r>
              <w:rPr>
                <w:sz w:val="16"/>
                <w:szCs w:val="16"/>
              </w:rPr>
              <w:t xml:space="preserve">1 system</w:t>
            </w:r>
          </w:p>
        </w:tc>
        <w:tc>
          <w:tcPr>
            <w:tcW w:w="3000" w:type="dxa"/>
            <w:shd w:val="clear" w:fill="F3F1EC"/>
            <w:noWrap/>
          </w:tcPr>
          <w:p>
            <w:pPr>
              <w:pStyle w:val="cell"/>
            </w:pPr>
            <w:r>
              <w:rPr>
                <w:sz w:val="16"/>
                <w:szCs w:val="16"/>
              </w:rPr>
              <w:t xml:space="preserve">≥ 1,035.95 TB</w:t>
            </w:r>
          </w:p>
        </w:tc>
        <w:tc>
          <w:tcPr>
            <w:tcW w:w="3000" w:type="dxa"/>
            <w:shd w:val="clear" w:fill="F3F1EC"/>
            <w:noWrap/>
          </w:tcPr>
          <w:p>
            <w:pPr>
              <w:pStyle w:val="cell"/>
            </w:pPr>
            <w:r>
              <w:rPr>
                <w:sz w:val="16"/>
                <w:szCs w:val="16"/>
              </w:rPr>
              <w:t xml:space="preserve">Immutable / deduplicating backup storage</w:t>
            </w:r>
          </w:p>
        </w:tc>
        <w:tc>
          <w:tcPr>
            <w:tcW w:w="3200" w:type="dxa"/>
            <w:shd w:val="clear" w:fill="F3F1EC"/>
            <w:noWrap/>
          </w:tcPr>
          <w:p>
            <w:pPr>
              <w:pStyle w:val="cell"/>
            </w:pPr>
            <w:r>
              <w:rPr>
                <w:sz w:val="16"/>
                <w:szCs w:val="16"/>
              </w:rPr>
              <w:t xml:space="preserve">Size with the backup vendor's tools.</w:t>
            </w:r>
          </w:p>
        </w:tc>
      </w:tr>
      <w:tr>
        <w:trPr>
          <w:cantSplit w:val="1"/>
        </w:trPr>
        <w:tc>
          <w:tcPr>
            <w:tcW w:w="1300" w:type="dxa"/>
            <w:noWrap/>
          </w:tcPr>
          <w:p>
            <w:pPr>
              <w:pStyle w:val="cell"/>
            </w:pPr>
            <w:r>
              <w:rPr>
                <w:sz w:val="16"/>
                <w:szCs w:val="16"/>
              </w:rPr>
              <w:t xml:space="preserve">Network</w:t>
            </w:r>
          </w:p>
        </w:tc>
        <w:tc>
          <w:tcPr>
            <w:tcW w:w="2300" w:type="dxa"/>
            <w:noWrap/>
          </w:tcPr>
          <w:p>
            <w:pPr>
              <w:pStyle w:val="cell"/>
            </w:pPr>
            <w:r>
              <w:rPr>
                <w:sz w:val="16"/>
                <w:szCs w:val="16"/>
              </w:rPr>
              <w:t xml:space="preserve">Top-of-rack Ethernet switch</w:t>
            </w:r>
          </w:p>
        </w:tc>
        <w:tc>
          <w:tcPr>
            <w:tcW w:w="1100" w:type="dxa"/>
            <w:noWrap/>
          </w:tcPr>
          <w:p>
            <w:pPr>
              <w:pStyle w:val="cell"/>
            </w:pPr>
            <w:r>
              <w:rPr>
                <w:sz w:val="16"/>
                <w:szCs w:val="16"/>
              </w:rPr>
              <w:t xml:space="preserve">4 switches</w:t>
            </w:r>
          </w:p>
        </w:tc>
        <w:tc>
          <w:tcPr>
            <w:tcW w:w="3000" w:type="dxa"/>
            <w:noWrap/>
          </w:tcPr>
          <w:p>
            <w:pPr>
              <w:pStyle w:val="cell"/>
            </w:pPr>
            <w:r>
              <w:rPr>
                <w:sz w:val="16"/>
                <w:szCs w:val="16"/>
              </w:rPr>
              <w:t xml:space="preserve">≥ 35 × 25 GbE ports + 4 × 100 GbE uplinks per switch</w:t>
            </w:r>
          </w:p>
        </w:tc>
        <w:tc>
          <w:tcPr>
            <w:tcW w:w="3000" w:type="dxa"/>
            <w:noWrap/>
          </w:tcPr>
          <w:p>
            <w:pPr>
              <w:pStyle w:val="cell"/>
            </w:pPr>
            <w:r>
              <w:rPr>
                <w:sz w:val="16"/>
                <w:szCs w:val="16"/>
              </w:rPr>
              <w:t xml:space="preserve">48-port 25 GbE, deployed in redundant pairs (MLAG/vPC or equivalent)</w:t>
            </w:r>
          </w:p>
        </w:tc>
        <w:tc>
          <w:tcPr>
            <w:tcW w:w="3200" w:type="dxa"/>
            <w:noWrap/>
          </w:tcPr>
          <w:p>
            <w:pPr>
              <w:pStyle w:val="cell"/>
            </w:pPr>
            <w:r>
              <w:rPr>
                <w:sz w:val="16"/>
                <w:szCs w:val="16"/>
              </w:rPr>
              <w:t xml:space="preserve">Validate buffers, MLAG and feature set with the network vendor.</w:t>
            </w:r>
          </w:p>
        </w:tc>
      </w:tr>
      <w:tr>
        <w:trPr>
          <w:cantSplit w:val="1"/>
        </w:trPr>
        <w:tc>
          <w:tcPr>
            <w:tcW w:w="1300" w:type="dxa"/>
            <w:shd w:val="clear" w:fill="F3F1EC"/>
            <w:noWrap/>
          </w:tcPr>
          <w:p>
            <w:pPr>
              <w:pStyle w:val="cell"/>
            </w:pPr>
            <w:r>
              <w:rPr>
                <w:sz w:val="16"/>
                <w:szCs w:val="16"/>
              </w:rPr>
              <w:t xml:space="preserve">Network</w:t>
            </w:r>
          </w:p>
        </w:tc>
        <w:tc>
          <w:tcPr>
            <w:tcW w:w="2300" w:type="dxa"/>
            <w:shd w:val="clear" w:fill="F3F1EC"/>
            <w:noWrap/>
          </w:tcPr>
          <w:p>
            <w:pPr>
              <w:pStyle w:val="cell"/>
            </w:pPr>
            <w:r>
              <w:rPr>
                <w:sz w:val="16"/>
                <w:szCs w:val="16"/>
              </w:rPr>
              <w:t xml:space="preserve">Out-of-band management switch</w:t>
            </w:r>
          </w:p>
        </w:tc>
        <w:tc>
          <w:tcPr>
            <w:tcW w:w="1100" w:type="dxa"/>
            <w:shd w:val="clear" w:fill="F3F1EC"/>
            <w:noWrap/>
          </w:tcPr>
          <w:p>
            <w:pPr>
              <w:pStyle w:val="cell"/>
            </w:pPr>
            <w:r>
              <w:rPr>
                <w:sz w:val="16"/>
                <w:szCs w:val="16"/>
              </w:rPr>
              <w:t xml:space="preserve">1 switches</w:t>
            </w:r>
          </w:p>
        </w:tc>
        <w:tc>
          <w:tcPr>
            <w:tcW w:w="3000" w:type="dxa"/>
            <w:shd w:val="clear" w:fill="F3F1EC"/>
            <w:noWrap/>
          </w:tcPr>
          <w:p>
            <w:pPr>
              <w:pStyle w:val="cell"/>
            </w:pPr>
            <w:r>
              <w:rPr>
                <w:sz w:val="16"/>
                <w:szCs w:val="16"/>
              </w:rPr>
              <w:t xml:space="preserve">≥ 41 × 1 GbE ports</w:t>
            </w:r>
          </w:p>
        </w:tc>
        <w:tc>
          <w:tcPr>
            <w:tcW w:w="3000" w:type="dxa"/>
            <w:shd w:val="clear" w:fill="F3F1EC"/>
            <w:noWrap/>
          </w:tcPr>
          <w:p>
            <w:pPr>
              <w:pStyle w:val="cell"/>
            </w:pPr>
            <w:r>
              <w:rPr>
                <w:sz w:val="16"/>
                <w:szCs w:val="16"/>
              </w:rPr>
              <w:t xml:space="preserve">1 GbE copper</w:t>
            </w:r>
          </w:p>
        </w:tc>
        <w:tc>
          <w:tcPr>
            <w:tcW w:w="3200" w:type="dxa"/>
            <w:shd w:val="clear" w:fill="F3F1EC"/>
            <w:noWrap/>
          </w:tcPr>
          <w:p>
            <w:pPr>
              <w:pStyle w:val="cell"/>
            </w:pPr>
            <w:r>
              <w:rPr>
                <w:sz w:val="16"/>
                <w:szCs w:val="16"/>
              </w:rPr>
              <w:t xml:space="preserve"/>
            </w:r>
          </w:p>
        </w:tc>
      </w:tr>
      <w:tr>
        <w:trPr>
          <w:cantSplit w:val="1"/>
        </w:trPr>
        <w:tc>
          <w:tcPr>
            <w:tcW w:w="1300" w:type="dxa"/>
            <w:noWrap/>
          </w:tcPr>
          <w:p>
            <w:pPr>
              <w:pStyle w:val="cell"/>
            </w:pPr>
            <w:r>
              <w:rPr>
                <w:sz w:val="16"/>
                <w:szCs w:val="16"/>
              </w:rPr>
              <w:t xml:space="preserve">Network</w:t>
            </w:r>
          </w:p>
        </w:tc>
        <w:tc>
          <w:tcPr>
            <w:tcW w:w="2300" w:type="dxa"/>
            <w:noWrap/>
          </w:tcPr>
          <w:p>
            <w:pPr>
              <w:pStyle w:val="cell"/>
            </w:pPr>
            <w:r>
              <w:rPr>
                <w:sz w:val="16"/>
                <w:szCs w:val="16"/>
              </w:rPr>
              <w:t xml:space="preserve">Fibre Channel switch (fabric A/B)</w:t>
            </w:r>
          </w:p>
        </w:tc>
        <w:tc>
          <w:tcPr>
            <w:tcW w:w="1100" w:type="dxa"/>
            <w:noWrap/>
          </w:tcPr>
          <w:p>
            <w:pPr>
              <w:pStyle w:val="cell"/>
            </w:pPr>
            <w:r>
              <w:rPr>
                <w:sz w:val="16"/>
                <w:szCs w:val="16"/>
              </w:rPr>
              <w:t xml:space="preserve">2 switches</w:t>
            </w:r>
          </w:p>
        </w:tc>
        <w:tc>
          <w:tcPr>
            <w:tcW w:w="3000" w:type="dxa"/>
            <w:noWrap/>
          </w:tcPr>
          <w:p>
            <w:pPr>
              <w:pStyle w:val="cell"/>
            </w:pPr>
            <w:r>
              <w:rPr>
                <w:sz w:val="16"/>
                <w:szCs w:val="16"/>
              </w:rPr>
              <w:t xml:space="preserve">≥ 39 × 32 Gb FC ports per fabric</w:t>
            </w:r>
          </w:p>
        </w:tc>
        <w:tc>
          <w:tcPr>
            <w:tcW w:w="3000" w:type="dxa"/>
            <w:noWrap/>
          </w:tcPr>
          <w:p>
            <w:pPr>
              <w:pStyle w:val="cell"/>
            </w:pPr>
            <w:r>
              <w:rPr>
                <w:sz w:val="16"/>
                <w:szCs w:val="16"/>
              </w:rPr>
              <w:t xml:space="preserve">32 Gb FC, two independent fabrics</w:t>
            </w:r>
          </w:p>
        </w:tc>
        <w:tc>
          <w:tcPr>
            <w:tcW w:w="3200" w:type="dxa"/>
            <w:noWrap/>
          </w:tcPr>
          <w:p>
            <w:pPr>
              <w:pStyle w:val="cell"/>
            </w:pPr>
            <w:r>
              <w:rPr>
                <w:sz w:val="16"/>
                <w:szCs w:val="16"/>
              </w:rPr>
              <w:t xml:space="preserve">Validate zoning, licensing of ports and multipathing with the SAN vendor.</w:t>
            </w:r>
          </w:p>
        </w:tc>
      </w:tr>
      <w:tr>
        <w:trPr>
          <w:cantSplit w:val="1"/>
        </w:trPr>
        <w:tc>
          <w:tcPr>
            <w:tcW w:w="1300" w:type="dxa"/>
            <w:shd w:val="clear" w:fill="F3F1EC"/>
            <w:noWrap/>
          </w:tcPr>
          <w:p>
            <w:pPr>
              <w:pStyle w:val="cell"/>
            </w:pPr>
            <w:r>
              <w:rPr>
                <w:sz w:val="16"/>
                <w:szCs w:val="16"/>
              </w:rPr>
              <w:t xml:space="preserve">Network</w:t>
            </w:r>
          </w:p>
        </w:tc>
        <w:tc>
          <w:tcPr>
            <w:tcW w:w="2300" w:type="dxa"/>
            <w:shd w:val="clear" w:fill="F3F1EC"/>
            <w:noWrap/>
          </w:tcPr>
          <w:p>
            <w:pPr>
              <w:pStyle w:val="cell"/>
            </w:pPr>
            <w:r>
              <w:rPr>
                <w:sz w:val="16"/>
                <w:szCs w:val="16"/>
              </w:rPr>
              <w:t xml:space="preserve">Fibre Channel HBA (dual-port)</w:t>
            </w:r>
          </w:p>
        </w:tc>
        <w:tc>
          <w:tcPr>
            <w:tcW w:w="1100" w:type="dxa"/>
            <w:shd w:val="clear" w:fill="F3F1EC"/>
            <w:noWrap/>
          </w:tcPr>
          <w:p>
            <w:pPr>
              <w:pStyle w:val="cell"/>
            </w:pPr>
            <w:r>
              <w:rPr>
                <w:sz w:val="16"/>
                <w:szCs w:val="16"/>
              </w:rPr>
              <w:t xml:space="preserve">35 HBAs</w:t>
            </w:r>
          </w:p>
        </w:tc>
        <w:tc>
          <w:tcPr>
            <w:tcW w:w="3000" w:type="dxa"/>
            <w:shd w:val="clear" w:fill="F3F1EC"/>
            <w:noWrap/>
          </w:tcPr>
          <w:p>
            <w:pPr>
              <w:pStyle w:val="cell"/>
            </w:pPr>
            <w:r>
              <w:rPr>
                <w:sz w:val="16"/>
                <w:szCs w:val="16"/>
              </w:rPr>
              <w:t xml:space="preserve">32 Gb FC</w:t>
            </w:r>
          </w:p>
        </w:tc>
        <w:tc>
          <w:tcPr>
            <w:tcW w:w="3000" w:type="dxa"/>
            <w:shd w:val="clear" w:fill="F3F1EC"/>
            <w:noWrap/>
          </w:tcPr>
          <w:p>
            <w:pPr>
              <w:pStyle w:val="cell"/>
            </w:pPr>
            <w:r>
              <w:rPr>
                <w:sz w:val="16"/>
                <w:szCs w:val="16"/>
              </w:rPr>
              <w:t xml:space="preserve">Dual-port, one port per fabric</w:t>
            </w:r>
          </w:p>
        </w:tc>
        <w:tc>
          <w:tcPr>
            <w:tcW w:w="3200" w:type="dxa"/>
            <w:shd w:val="clear" w:fill="F3F1EC"/>
            <w:noWrap/>
          </w:tcPr>
          <w:p>
            <w:pPr>
              <w:pStyle w:val="cell"/>
            </w:pPr>
            <w:r>
              <w:rPr>
                <w:sz w:val="16"/>
                <w:szCs w:val="16"/>
              </w:rPr>
              <w:t xml:space="preserve">Validate HBA on the Broadcom Compatibility Guide.</w:t>
            </w:r>
          </w:p>
        </w:tc>
      </w:tr>
      <w:tr>
        <w:trPr>
          <w:cantSplit w:val="1"/>
        </w:trPr>
        <w:tc>
          <w:tcPr>
            <w:tcW w:w="1300" w:type="dxa"/>
            <w:noWrap/>
          </w:tcPr>
          <w:p>
            <w:pPr>
              <w:pStyle w:val="cell"/>
            </w:pPr>
            <w:r>
              <w:rPr>
                <w:sz w:val="16"/>
                <w:szCs w:val="16"/>
              </w:rPr>
              <w:t xml:space="preserve">Network</w:t>
            </w:r>
          </w:p>
        </w:tc>
        <w:tc>
          <w:tcPr>
            <w:tcW w:w="2300" w:type="dxa"/>
            <w:noWrap/>
          </w:tcPr>
          <w:p>
            <w:pPr>
              <w:pStyle w:val="cell"/>
            </w:pPr>
            <w:r>
              <w:rPr>
                <w:sz w:val="16"/>
                <w:szCs w:val="16"/>
              </w:rPr>
              <w:t xml:space="preserve">FC optics</w:t>
            </w:r>
          </w:p>
        </w:tc>
        <w:tc>
          <w:tcPr>
            <w:tcW w:w="1100" w:type="dxa"/>
            <w:noWrap/>
          </w:tcPr>
          <w:p>
            <w:pPr>
              <w:pStyle w:val="cell"/>
            </w:pPr>
            <w:r>
              <w:rPr>
                <w:sz w:val="16"/>
                <w:szCs w:val="16"/>
              </w:rPr>
              <w:t xml:space="preserve">156 transceivers</w:t>
            </w:r>
          </w:p>
        </w:tc>
        <w:tc>
          <w:tcPr>
            <w:tcW w:w="3000" w:type="dxa"/>
            <w:noWrap/>
          </w:tcPr>
          <w:p>
            <w:pPr>
              <w:pStyle w:val="cell"/>
            </w:pPr>
            <w:r>
              <w:rPr>
                <w:sz w:val="16"/>
                <w:szCs w:val="16"/>
              </w:rPr>
              <w:t xml:space="preserve">32 Gb SFP</w:t>
            </w:r>
          </w:p>
        </w:tc>
        <w:tc>
          <w:tcPr>
            <w:tcW w:w="3000" w:type="dxa"/>
            <w:noWrap/>
          </w:tcPr>
          <w:p>
            <w:pPr>
              <w:pStyle w:val="cell"/>
            </w:pPr>
            <w:r>
              <w:rPr>
                <w:sz w:val="16"/>
                <w:szCs w:val="16"/>
              </w:rPr>
              <w:t xml:space="preserve">Short-wave optics</w:t>
            </w:r>
          </w:p>
        </w:tc>
        <w:tc>
          <w:tcPr>
            <w:tcW w:w="3200" w:type="dxa"/>
            <w:noWrap/>
          </w:tcPr>
          <w:p>
            <w:pPr>
              <w:pStyle w:val="cell"/>
            </w:pPr>
            <w:r>
              <w:rPr>
                <w:sz w:val="16"/>
                <w:szCs w:val="16"/>
              </w:rPr>
              <w:t xml:space="preserve">Some HBAs/switches ship with optics.</w:t>
            </w:r>
          </w:p>
        </w:tc>
      </w:tr>
      <w:tr>
        <w:trPr>
          <w:cantSplit w:val="1"/>
        </w:trPr>
        <w:tc>
          <w:tcPr>
            <w:tcW w:w="1300" w:type="dxa"/>
            <w:shd w:val="clear" w:fill="F3F1EC"/>
            <w:noWrap/>
          </w:tcPr>
          <w:p>
            <w:pPr>
              <w:pStyle w:val="cell"/>
            </w:pPr>
            <w:r>
              <w:rPr>
                <w:sz w:val="16"/>
                <w:szCs w:val="16"/>
              </w:rPr>
              <w:t xml:space="preserve">Network</w:t>
            </w:r>
          </w:p>
        </w:tc>
        <w:tc>
          <w:tcPr>
            <w:tcW w:w="2300" w:type="dxa"/>
            <w:shd w:val="clear" w:fill="F3F1EC"/>
            <w:noWrap/>
          </w:tcPr>
          <w:p>
            <w:pPr>
              <w:pStyle w:val="cell"/>
            </w:pPr>
            <w:r>
              <w:rPr>
                <w:sz w:val="16"/>
                <w:szCs w:val="16"/>
              </w:rPr>
              <w:t xml:space="preserve">Ethernet transceivers</w:t>
            </w:r>
          </w:p>
        </w:tc>
        <w:tc>
          <w:tcPr>
            <w:tcW w:w="1100" w:type="dxa"/>
            <w:shd w:val="clear" w:fill="F3F1EC"/>
            <w:noWrap/>
          </w:tcPr>
          <w:p>
            <w:pPr>
              <w:pStyle w:val="cell"/>
            </w:pPr>
            <w:r>
              <w:rPr>
                <w:sz w:val="16"/>
                <w:szCs w:val="16"/>
              </w:rPr>
              <w:t xml:space="preserve">32 transceivers</w:t>
            </w:r>
          </w:p>
        </w:tc>
        <w:tc>
          <w:tcPr>
            <w:tcW w:w="3000" w:type="dxa"/>
            <w:shd w:val="clear" w:fill="F3F1EC"/>
            <w:noWrap/>
          </w:tcPr>
          <w:p>
            <w:pPr>
              <w:pStyle w:val="cell"/>
            </w:pPr>
            <w:r>
              <w:rPr>
                <w:sz w:val="16"/>
                <w:szCs w:val="16"/>
              </w:rPr>
              <w:t xml:space="preserve">Matching port speeds</w:t>
            </w:r>
          </w:p>
        </w:tc>
        <w:tc>
          <w:tcPr>
            <w:tcW w:w="3000" w:type="dxa"/>
            <w:shd w:val="clear" w:fill="F3F1EC"/>
            <w:noWrap/>
          </w:tcPr>
          <w:p>
            <w:pPr>
              <w:pStyle w:val="cell"/>
            </w:pPr>
            <w:r>
              <w:rPr>
                <w:sz w:val="16"/>
                <w:szCs w:val="16"/>
              </w:rPr>
              <w:t xml:space="preserve">Short-reach optics for uplinks</w:t>
            </w:r>
          </w:p>
        </w:tc>
        <w:tc>
          <w:tcPr>
            <w:tcW w:w="3200" w:type="dxa"/>
            <w:shd w:val="clear" w:fill="F3F1EC"/>
            <w:noWrap/>
          </w:tcPr>
          <w:p>
            <w:pPr>
              <w:pStyle w:val="cell"/>
            </w:pPr>
            <w:r>
              <w:rPr>
                <w:sz w:val="16"/>
                <w:szCs w:val="16"/>
              </w:rPr>
              <w:t xml:space="preserve">Match optics to switch and NIC vendor compatibility lists.</w:t>
            </w:r>
          </w:p>
        </w:tc>
      </w:tr>
      <w:tr>
        <w:trPr>
          <w:cantSplit w:val="1"/>
        </w:trPr>
        <w:tc>
          <w:tcPr>
            <w:tcW w:w="1300" w:type="dxa"/>
            <w:noWrap/>
          </w:tcPr>
          <w:p>
            <w:pPr>
              <w:pStyle w:val="cell"/>
            </w:pPr>
            <w:r>
              <w:rPr>
                <w:sz w:val="16"/>
                <w:szCs w:val="16"/>
              </w:rPr>
              <w:t xml:space="preserve">Network</w:t>
            </w:r>
          </w:p>
        </w:tc>
        <w:tc>
          <w:tcPr>
            <w:tcW w:w="2300" w:type="dxa"/>
            <w:noWrap/>
          </w:tcPr>
          <w:p>
            <w:pPr>
              <w:pStyle w:val="cell"/>
            </w:pPr>
            <w:r>
              <w:rPr>
                <w:sz w:val="16"/>
                <w:szCs w:val="16"/>
              </w:rPr>
              <w:t xml:space="preserve">DAC cables</w:t>
            </w:r>
          </w:p>
        </w:tc>
        <w:tc>
          <w:tcPr>
            <w:tcW w:w="1100" w:type="dxa"/>
            <w:noWrap/>
          </w:tcPr>
          <w:p>
            <w:pPr>
              <w:pStyle w:val="cell"/>
            </w:pPr>
            <w:r>
              <w:rPr>
                <w:sz w:val="16"/>
                <w:szCs w:val="16"/>
              </w:rPr>
              <w:t xml:space="preserve">144 cables</w:t>
            </w:r>
          </w:p>
        </w:tc>
        <w:tc>
          <w:tcPr>
            <w:tcW w:w="3000" w:type="dxa"/>
            <w:noWrap/>
          </w:tcPr>
          <w:p>
            <w:pPr>
              <w:pStyle w:val="cell"/>
            </w:pPr>
            <w:r>
              <w:rPr>
                <w:sz w:val="16"/>
                <w:szCs w:val="16"/>
              </w:rPr>
              <w:t xml:space="preserve">Matching port speed</w:t>
            </w:r>
          </w:p>
        </w:tc>
        <w:tc>
          <w:tcPr>
            <w:tcW w:w="3000" w:type="dxa"/>
            <w:noWrap/>
          </w:tcPr>
          <w:p>
            <w:pPr>
              <w:pStyle w:val="cell"/>
            </w:pPr>
            <w:r>
              <w:rPr>
                <w:sz w:val="16"/>
                <w:szCs w:val="16"/>
              </w:rPr>
              <w:t xml:space="preserve">Passive DAC for host and peer links</w:t>
            </w:r>
          </w:p>
        </w:tc>
        <w:tc>
          <w:tcPr>
            <w:tcW w:w="3200" w:type="dxa"/>
            <w:noWrap/>
          </w:tcPr>
          <w:p>
            <w:pPr>
              <w:pStyle w:val="cell"/>
            </w:pPr>
            <w:r>
              <w:rPr>
                <w:sz w:val="16"/>
                <w:szCs w:val="16"/>
              </w:rPr>
              <w:t xml:space="preserve"/>
            </w:r>
          </w:p>
        </w:tc>
      </w:tr>
      <w:tr>
        <w:trPr>
          <w:cantSplit w:val="1"/>
        </w:trPr>
        <w:tc>
          <w:tcPr>
            <w:tcW w:w="1300" w:type="dxa"/>
            <w:shd w:val="clear" w:fill="F3F1EC"/>
            <w:noWrap/>
          </w:tcPr>
          <w:p>
            <w:pPr>
              <w:pStyle w:val="cell"/>
            </w:pPr>
            <w:r>
              <w:rPr>
                <w:sz w:val="16"/>
                <w:szCs w:val="16"/>
              </w:rPr>
              <w:t xml:space="preserve">Network</w:t>
            </w:r>
          </w:p>
        </w:tc>
        <w:tc>
          <w:tcPr>
            <w:tcW w:w="2300" w:type="dxa"/>
            <w:shd w:val="clear" w:fill="F3F1EC"/>
            <w:noWrap/>
          </w:tcPr>
          <w:p>
            <w:pPr>
              <w:pStyle w:val="cell"/>
            </w:pPr>
            <w:r>
              <w:rPr>
                <w:sz w:val="16"/>
                <w:szCs w:val="16"/>
              </w:rPr>
              <w:t xml:space="preserve">Fiber cables</w:t>
            </w:r>
          </w:p>
        </w:tc>
        <w:tc>
          <w:tcPr>
            <w:tcW w:w="1100" w:type="dxa"/>
            <w:shd w:val="clear" w:fill="F3F1EC"/>
            <w:noWrap/>
          </w:tcPr>
          <w:p>
            <w:pPr>
              <w:pStyle w:val="cell"/>
            </w:pPr>
            <w:r>
              <w:rPr>
                <w:sz w:val="16"/>
                <w:szCs w:val="16"/>
              </w:rPr>
              <w:t xml:space="preserve">94 cables</w:t>
            </w:r>
          </w:p>
        </w:tc>
        <w:tc>
          <w:tcPr>
            <w:tcW w:w="3000" w:type="dxa"/>
            <w:shd w:val="clear" w:fill="F3F1EC"/>
            <w:noWrap/>
          </w:tcPr>
          <w:p>
            <w:pPr>
              <w:pStyle w:val="cell"/>
            </w:pPr>
            <w:r>
              <w:rPr>
                <w:sz w:val="16"/>
                <w:szCs w:val="16"/>
              </w:rPr>
              <w:t xml:space="preserve">OM4 or better</w:t>
            </w:r>
          </w:p>
        </w:tc>
        <w:tc>
          <w:tcPr>
            <w:tcW w:w="3000" w:type="dxa"/>
            <w:shd w:val="clear" w:fill="F3F1EC"/>
            <w:noWrap/>
          </w:tcPr>
          <w:p>
            <w:pPr>
              <w:pStyle w:val="cell"/>
            </w:pPr>
            <w:r>
              <w:rPr>
                <w:sz w:val="16"/>
                <w:szCs w:val="16"/>
              </w:rPr>
              <w:t xml:space="preserve">LC-LC duplex</w:t>
            </w:r>
          </w:p>
        </w:tc>
        <w:tc>
          <w:tcPr>
            <w:tcW w:w="3200" w:type="dxa"/>
            <w:shd w:val="clear" w:fill="F3F1EC"/>
            <w:noWrap/>
          </w:tcPr>
          <w:p>
            <w:pPr>
              <w:pStyle w:val="cell"/>
            </w:pPr>
            <w:r>
              <w:rPr>
                <w:sz w:val="16"/>
                <w:szCs w:val="16"/>
              </w:rPr>
              <w:t xml:space="preserve"/>
            </w:r>
          </w:p>
        </w:tc>
      </w:tr>
      <w:tr>
        <w:trPr>
          <w:cantSplit w:val="1"/>
        </w:trPr>
        <w:tc>
          <w:tcPr>
            <w:tcW w:w="1300" w:type="dxa"/>
            <w:noWrap/>
          </w:tcPr>
          <w:p>
            <w:pPr>
              <w:pStyle w:val="cell"/>
            </w:pPr>
            <w:r>
              <w:rPr>
                <w:sz w:val="16"/>
                <w:szCs w:val="16"/>
              </w:rPr>
              <w:t xml:space="preserve">Network</w:t>
            </w:r>
          </w:p>
        </w:tc>
        <w:tc>
          <w:tcPr>
            <w:tcW w:w="2300" w:type="dxa"/>
            <w:noWrap/>
          </w:tcPr>
          <w:p>
            <w:pPr>
              <w:pStyle w:val="cell"/>
            </w:pPr>
            <w:r>
              <w:rPr>
                <w:sz w:val="16"/>
                <w:szCs w:val="16"/>
              </w:rPr>
              <w:t xml:space="preserve">Copper patch cables (OOB)</w:t>
            </w:r>
          </w:p>
        </w:tc>
        <w:tc>
          <w:tcPr>
            <w:tcW w:w="1100" w:type="dxa"/>
            <w:noWrap/>
          </w:tcPr>
          <w:p>
            <w:pPr>
              <w:pStyle w:val="cell"/>
            </w:pPr>
            <w:r>
              <w:rPr>
                <w:sz w:val="16"/>
                <w:szCs w:val="16"/>
              </w:rPr>
              <w:t xml:space="preserve">41 cables</w:t>
            </w:r>
          </w:p>
        </w:tc>
        <w:tc>
          <w:tcPr>
            <w:tcW w:w="3000" w:type="dxa"/>
            <w:noWrap/>
          </w:tcPr>
          <w:p>
            <w:pPr>
              <w:pStyle w:val="cell"/>
            </w:pPr>
            <w:r>
              <w:rPr>
                <w:sz w:val="16"/>
                <w:szCs w:val="16"/>
              </w:rPr>
              <w:t xml:space="preserve">Cat6</w:t>
            </w:r>
          </w:p>
        </w:tc>
        <w:tc>
          <w:tcPr>
            <w:tcW w:w="3000" w:type="dxa"/>
            <w:noWrap/>
          </w:tcPr>
          <w:p>
            <w:pPr>
              <w:pStyle w:val="cell"/>
            </w:pPr>
            <w:r>
              <w:rPr>
                <w:sz w:val="16"/>
                <w:szCs w:val="16"/>
              </w:rPr>
              <w:t xml:space="preserve">Cat6 / Cat6A</w:t>
            </w:r>
          </w:p>
        </w:tc>
        <w:tc>
          <w:tcPr>
            <w:tcW w:w="3200" w:type="dxa"/>
            <w:noWrap/>
          </w:tcPr>
          <w:p>
            <w:pPr>
              <w:pStyle w:val="cell"/>
            </w:pPr>
            <w:r>
              <w:rPr>
                <w:sz w:val="16"/>
                <w:szCs w:val="16"/>
              </w:rPr>
              <w:t xml:space="preserve"/>
            </w:r>
          </w:p>
        </w:tc>
      </w:tr>
      <w:tr>
        <w:trPr>
          <w:cantSplit w:val="1"/>
        </w:trPr>
        <w:tc>
          <w:tcPr>
            <w:tcW w:w="1300" w:type="dxa"/>
            <w:shd w:val="clear" w:fill="F3F1EC"/>
            <w:noWrap/>
          </w:tcPr>
          <w:p>
            <w:pPr>
              <w:pStyle w:val="cell"/>
            </w:pPr>
            <w:r>
              <w:rPr>
                <w:sz w:val="16"/>
                <w:szCs w:val="16"/>
              </w:rPr>
              <w:t xml:space="preserve">Access</w:t>
            </w:r>
          </w:p>
        </w:tc>
        <w:tc>
          <w:tcPr>
            <w:tcW w:w="2300" w:type="dxa"/>
            <w:shd w:val="clear" w:fill="F3F1EC"/>
            <w:noWrap/>
          </w:tcPr>
          <w:p>
            <w:pPr>
              <w:pStyle w:val="cell"/>
            </w:pPr>
            <w:r>
              <w:rPr>
                <w:sz w:val="16"/>
                <w:szCs w:val="16"/>
              </w:rPr>
              <w:t xml:space="preserve">Load balancer (Connection Servers, internal)</w:t>
            </w:r>
          </w:p>
        </w:tc>
        <w:tc>
          <w:tcPr>
            <w:tcW w:w="1100" w:type="dxa"/>
            <w:shd w:val="clear" w:fill="F3F1EC"/>
            <w:noWrap/>
          </w:tcPr>
          <w:p>
            <w:pPr>
              <w:pStyle w:val="cell"/>
            </w:pPr>
            <w:r>
              <w:rPr>
                <w:sz w:val="16"/>
                <w:szCs w:val="16"/>
              </w:rPr>
              <w:t xml:space="preserve">2 appliances</w:t>
            </w:r>
          </w:p>
        </w:tc>
        <w:tc>
          <w:tcPr>
            <w:tcW w:w="3000" w:type="dxa"/>
            <w:shd w:val="clear" w:fill="F3F1EC"/>
            <w:noWrap/>
          </w:tcPr>
          <w:p>
            <w:pPr>
              <w:pStyle w:val="cell"/>
            </w:pPr>
            <w:r>
              <w:rPr>
                <w:sz w:val="16"/>
                <w:szCs w:val="16"/>
              </w:rPr>
              <w:t xml:space="preserve">HTTPS health monitoring, source-IP or cookie persistence</w:t>
            </w:r>
          </w:p>
        </w:tc>
        <w:tc>
          <w:tcPr>
            <w:tcW w:w="3000" w:type="dxa"/>
            <w:shd w:val="clear" w:fill="F3F1EC"/>
            <w:noWrap/>
          </w:tcPr>
          <w:p>
            <w:pPr>
              <w:pStyle w:val="cell"/>
            </w:pPr>
            <w:r>
              <w:rPr>
                <w:sz w:val="16"/>
                <w:szCs w:val="16"/>
              </w:rPr>
              <w:t xml:space="preserve">HA pair</w:t>
            </w:r>
          </w:p>
        </w:tc>
        <w:tc>
          <w:tcPr>
            <w:tcW w:w="3200" w:type="dxa"/>
            <w:shd w:val="clear" w:fill="F3F1EC"/>
            <w:noWrap/>
          </w:tcPr>
          <w:p>
            <w:pPr>
              <w:pStyle w:val="cell"/>
            </w:pPr>
            <w:r>
              <w:rPr>
                <w:sz w:val="16"/>
                <w:szCs w:val="16"/>
              </w:rPr>
              <w:t xml:space="preserve">Confirm Horizon/UAG support and throughput with the load-balancer vendor.</w:t>
            </w:r>
          </w:p>
        </w:tc>
      </w:tr>
      <w:tr>
        <w:trPr>
          <w:cantSplit w:val="1"/>
        </w:trPr>
        <w:tc>
          <w:tcPr>
            <w:tcW w:w="1300" w:type="dxa"/>
            <w:noWrap/>
          </w:tcPr>
          <w:p>
            <w:pPr>
              <w:pStyle w:val="cell"/>
            </w:pPr>
            <w:r>
              <w:rPr>
                <w:sz w:val="16"/>
                <w:szCs w:val="16"/>
              </w:rPr>
              <w:t xml:space="preserve">Access</w:t>
            </w:r>
          </w:p>
        </w:tc>
        <w:tc>
          <w:tcPr>
            <w:tcW w:w="2300" w:type="dxa"/>
            <w:noWrap/>
          </w:tcPr>
          <w:p>
            <w:pPr>
              <w:pStyle w:val="cell"/>
            </w:pPr>
            <w:r>
              <w:rPr>
                <w:sz w:val="16"/>
                <w:szCs w:val="16"/>
              </w:rPr>
              <w:t xml:space="preserve">Load balancer (UAG, DMZ)</w:t>
            </w:r>
          </w:p>
        </w:tc>
        <w:tc>
          <w:tcPr>
            <w:tcW w:w="1100" w:type="dxa"/>
            <w:noWrap/>
          </w:tcPr>
          <w:p>
            <w:pPr>
              <w:pStyle w:val="cell"/>
            </w:pPr>
            <w:r>
              <w:rPr>
                <w:sz w:val="16"/>
                <w:szCs w:val="16"/>
              </w:rPr>
              <w:t xml:space="preserve">2 appliances</w:t>
            </w:r>
          </w:p>
        </w:tc>
        <w:tc>
          <w:tcPr>
            <w:tcW w:w="3000" w:type="dxa"/>
            <w:noWrap/>
          </w:tcPr>
          <w:p>
            <w:pPr>
              <w:pStyle w:val="cell"/>
            </w:pPr>
            <w:r>
              <w:rPr>
                <w:sz w:val="16"/>
                <w:szCs w:val="16"/>
              </w:rPr>
              <w:t xml:space="preserve">≥ 378 Mbps display throughput, TCP+UDP load balancing</w:t>
            </w:r>
          </w:p>
        </w:tc>
        <w:tc>
          <w:tcPr>
            <w:tcW w:w="3000" w:type="dxa"/>
            <w:noWrap/>
          </w:tcPr>
          <w:p>
            <w:pPr>
              <w:pStyle w:val="cell"/>
            </w:pPr>
            <w:r>
              <w:rPr>
                <w:sz w:val="16"/>
                <w:szCs w:val="16"/>
              </w:rPr>
              <w:t xml:space="preserve">HA pair</w:t>
            </w:r>
          </w:p>
        </w:tc>
        <w:tc>
          <w:tcPr>
            <w:tcW w:w="3200" w:type="dxa"/>
            <w:noWrap/>
          </w:tcPr>
          <w:p>
            <w:pPr>
              <w:pStyle w:val="cell"/>
            </w:pPr>
            <w:r>
              <w:rPr>
                <w:sz w:val="16"/>
                <w:szCs w:val="16"/>
              </w:rPr>
              <w:t xml:space="preserve">UDP (Blast/PCoIP) and TCP must reach the same UAG.</w:t>
            </w:r>
          </w:p>
        </w:tc>
      </w:tr>
      <w:tr>
        <w:trPr>
          <w:cantSplit w:val="1"/>
        </w:trPr>
        <w:tc>
          <w:tcPr>
            <w:tcW w:w="1300" w:type="dxa"/>
            <w:shd w:val="clear" w:fill="F3F1EC"/>
            <w:noWrap/>
          </w:tcPr>
          <w:p>
            <w:pPr>
              <w:pStyle w:val="cell"/>
            </w:pPr>
            <w:r>
              <w:rPr>
                <w:sz w:val="16"/>
                <w:szCs w:val="16"/>
              </w:rPr>
              <w:t xml:space="preserve">Rack &amp; power</w:t>
            </w:r>
          </w:p>
        </w:tc>
        <w:tc>
          <w:tcPr>
            <w:tcW w:w="2300" w:type="dxa"/>
            <w:shd w:val="clear" w:fill="F3F1EC"/>
            <w:noWrap/>
          </w:tcPr>
          <w:p>
            <w:pPr>
              <w:pStyle w:val="cell"/>
            </w:pPr>
            <w:r>
              <w:rPr>
                <w:sz w:val="16"/>
                <w:szCs w:val="16"/>
              </w:rPr>
              <w:t xml:space="preserve">Rack space (servers and switches)</w:t>
            </w:r>
          </w:p>
        </w:tc>
        <w:tc>
          <w:tcPr>
            <w:tcW w:w="1100" w:type="dxa"/>
            <w:shd w:val="clear" w:fill="F3F1EC"/>
            <w:noWrap/>
          </w:tcPr>
          <w:p>
            <w:pPr>
              <w:pStyle w:val="cell"/>
            </w:pPr>
            <w:r>
              <w:rPr>
                <w:sz w:val="16"/>
                <w:szCs w:val="16"/>
              </w:rPr>
              <w:t xml:space="preserve">53 RU</w:t>
            </w:r>
          </w:p>
        </w:tc>
        <w:tc>
          <w:tcPr>
            <w:tcW w:w="3000" w:type="dxa"/>
            <w:shd w:val="clear" w:fill="F3F1EC"/>
            <w:noWrap/>
          </w:tcPr>
          <w:p>
            <w:pPr>
              <w:pStyle w:val="cell"/>
            </w:pPr>
            <w:r>
              <w:rPr>
                <w:sz w:val="16"/>
                <w:szCs w:val="16"/>
              </w:rPr>
              <w:t xml:space="preserve">2 racks of 42 RU (4 RU kept free per rack)</w:t>
            </w:r>
          </w:p>
        </w:tc>
        <w:tc>
          <w:tcPr>
            <w:tcW w:w="3000" w:type="dxa"/>
            <w:shd w:val="clear" w:fill="F3F1EC"/>
            <w:noWrap/>
          </w:tcPr>
          <w:p>
            <w:pPr>
              <w:pStyle w:val="cell"/>
            </w:pPr>
            <w:r>
              <w:rPr>
                <w:sz w:val="16"/>
                <w:szCs w:val="16"/>
              </w:rPr>
              <w:t xml:space="preserve">Separate racks / power feeds per failure domain where possible</w:t>
            </w:r>
          </w:p>
        </w:tc>
        <w:tc>
          <w:tcPr>
            <w:tcW w:w="3200" w:type="dxa"/>
            <w:shd w:val="clear" w:fill="F3F1EC"/>
            <w:noWrap/>
          </w:tcPr>
          <w:p>
            <w:pPr>
              <w:pStyle w:val="cell"/>
            </w:pPr>
            <w:r>
              <w:rPr>
                <w:sz w:val="16"/>
                <w:szCs w:val="16"/>
              </w:rPr>
              <w:t xml:space="preserve">Storage arrays, load-balancer appliances and patch panels are not included.</w:t>
            </w:r>
          </w:p>
        </w:tc>
      </w:tr>
      <w:tr>
        <w:trPr>
          <w:cantSplit w:val="1"/>
        </w:trPr>
        <w:tc>
          <w:tcPr>
            <w:tcW w:w="1300" w:type="dxa"/>
            <w:noWrap/>
          </w:tcPr>
          <w:p>
            <w:pPr>
              <w:pStyle w:val="cell"/>
            </w:pPr>
            <w:r>
              <w:rPr>
                <w:sz w:val="16"/>
                <w:szCs w:val="16"/>
              </w:rPr>
              <w:t xml:space="preserve">Rack &amp; power</w:t>
            </w:r>
          </w:p>
        </w:tc>
        <w:tc>
          <w:tcPr>
            <w:tcW w:w="2300" w:type="dxa"/>
            <w:noWrap/>
          </w:tcPr>
          <w:p>
            <w:pPr>
              <w:pStyle w:val="cell"/>
            </w:pPr>
            <w:r>
              <w:rPr>
                <w:sz w:val="16"/>
                <w:szCs w:val="16"/>
              </w:rPr>
              <w:t xml:space="preserve">Power and cooling</w:t>
            </w:r>
          </w:p>
        </w:tc>
        <w:tc>
          <w:tcPr>
            <w:tcW w:w="1100" w:type="dxa"/>
            <w:noWrap/>
          </w:tcPr>
          <w:p>
            <w:pPr>
              <w:pStyle w:val="cell"/>
            </w:pPr>
            <w:r>
              <w:rPr>
                <w:sz w:val="16"/>
                <w:szCs w:val="16"/>
              </w:rPr>
              <w:t xml:space="preserve">0 —</w:t>
            </w:r>
          </w:p>
        </w:tc>
        <w:tc>
          <w:tcPr>
            <w:tcW w:w="3000" w:type="dxa"/>
            <w:noWrap/>
          </w:tcPr>
          <w:p>
            <w:pPr>
              <w:pStyle w:val="cell"/>
            </w:pPr>
            <w:r>
              <w:rPr>
                <w:sz w:val="16"/>
                <w:szCs w:val="16"/>
              </w:rPr>
              <w:t xml:space="preserve">Requires hardware power data</w:t>
            </w:r>
          </w:p>
        </w:tc>
        <w:tc>
          <w:tcPr>
            <w:tcW w:w="3000" w:type="dxa"/>
            <w:noWrap/>
          </w:tcPr>
          <w:p>
            <w:pPr>
              <w:pStyle w:val="cell"/>
            </w:pPr>
            <w:r>
              <w:rPr>
                <w:sz w:val="16"/>
                <w:szCs w:val="16"/>
              </w:rPr>
              <w:t xml:space="preserve">Enter per-server power to calculate</w:t>
            </w:r>
          </w:p>
        </w:tc>
        <w:tc>
          <w:tcPr>
            <w:tcW w:w="3200" w:type="dxa"/>
            <w:noWrap/>
          </w:tcPr>
          <w:p>
            <w:pPr>
              <w:pStyle w:val="cell"/>
            </w:pPr>
            <w:r>
              <w:rPr>
                <w:sz w:val="16"/>
                <w:szCs w:val="16"/>
              </w:rPr>
              <w:t xml:space="preserve">Use the server vendor's power calculator.</w:t>
            </w:r>
          </w:p>
        </w:tc>
      </w:tr>
      <w:tr>
        <w:trPr>
          <w:cantSplit w:val="1"/>
        </w:trPr>
        <w:tc>
          <w:tcPr>
            <w:tcW w:w="1300" w:type="dxa"/>
            <w:shd w:val="clear" w:fill="F3F1EC"/>
            <w:noWrap/>
          </w:tcPr>
          <w:p>
            <w:pPr>
              <w:pStyle w:val="cell"/>
            </w:pPr>
            <w:r>
              <w:rPr>
                <w:sz w:val="16"/>
                <w:szCs w:val="16"/>
              </w:rPr>
              <w:t xml:space="preserve">Software &amp; licensing</w:t>
            </w:r>
          </w:p>
        </w:tc>
        <w:tc>
          <w:tcPr>
            <w:tcW w:w="2300" w:type="dxa"/>
            <w:shd w:val="clear" w:fill="F3F1EC"/>
            <w:noWrap/>
          </w:tcPr>
          <w:p>
            <w:pPr>
              <w:pStyle w:val="cell"/>
            </w:pPr>
            <w:r>
              <w:rPr>
                <w:sz w:val="16"/>
                <w:szCs w:val="16"/>
              </w:rPr>
              <w:t xml:space="preserve">Omnissa Horizon (named users)</w:t>
            </w:r>
          </w:p>
        </w:tc>
        <w:tc>
          <w:tcPr>
            <w:tcW w:w="1100" w:type="dxa"/>
            <w:shd w:val="clear" w:fill="F3F1EC"/>
            <w:noWrap/>
          </w:tcPr>
          <w:p>
            <w:pPr>
              <w:pStyle w:val="cell"/>
            </w:pPr>
            <w:r>
              <w:rPr>
                <w:sz w:val="16"/>
                <w:szCs w:val="16"/>
              </w:rPr>
              <w:t xml:space="preserve">3,050 named users</w:t>
            </w:r>
          </w:p>
        </w:tc>
        <w:tc>
          <w:tcPr>
            <w:tcW w:w="3000" w:type="dxa"/>
            <w:shd w:val="clear" w:fill="F3F1EC"/>
            <w:noWrap/>
          </w:tcPr>
          <w:p>
            <w:pPr>
              <w:pStyle w:val="cell"/>
            </w:pPr>
            <w:r>
              <w:rPr>
                <w:sz w:val="16"/>
                <w:szCs w:val="16"/>
              </w:rPr>
              <w:t xml:space="preserve">—</w:t>
            </w:r>
          </w:p>
        </w:tc>
        <w:tc>
          <w:tcPr>
            <w:tcW w:w="3000" w:type="dxa"/>
            <w:shd w:val="clear" w:fill="F3F1EC"/>
            <w:noWrap/>
          </w:tcPr>
          <w:p>
            <w:pPr>
              <w:pStyle w:val="cell"/>
            </w:pPr>
            <w:r>
              <w:rPr>
                <w:sz w:val="16"/>
                <w:szCs w:val="16"/>
              </w:rPr>
              <w:t xml:space="preserve">—</w:t>
            </w:r>
          </w:p>
        </w:tc>
        <w:tc>
          <w:tcPr>
            <w:tcW w:w="3200" w:type="dxa"/>
            <w:shd w:val="clear" w:fill="F3F1EC"/>
            <w:noWrap/>
          </w:tcPr>
          <w:p>
            <w:pPr>
              <w:pStyle w:val="cell"/>
            </w:pPr>
            <w:r>
              <w:rPr>
                <w:sz w:val="16"/>
                <w:szCs w:val="16"/>
              </w:rPr>
              <w:t xml:space="preserve">Edition, term and subscription model per Omnissa licensing; confirm with Omnissa or a partner.</w:t>
            </w:r>
          </w:p>
        </w:tc>
      </w:tr>
      <w:tr>
        <w:trPr>
          <w:cantSplit w:val="1"/>
        </w:trPr>
        <w:tc>
          <w:tcPr>
            <w:tcW w:w="1300" w:type="dxa"/>
            <w:noWrap/>
          </w:tcPr>
          <w:p>
            <w:pPr>
              <w:pStyle w:val="cell"/>
            </w:pPr>
            <w:r>
              <w:rPr>
                <w:sz w:val="16"/>
                <w:szCs w:val="16"/>
              </w:rPr>
              <w:t xml:space="preserve">Software &amp; licensing</w:t>
            </w:r>
          </w:p>
        </w:tc>
        <w:tc>
          <w:tcPr>
            <w:tcW w:w="2300" w:type="dxa"/>
            <w:noWrap/>
          </w:tcPr>
          <w:p>
            <w:pPr>
              <w:pStyle w:val="cell"/>
            </w:pPr>
            <w:r>
              <w:rPr>
                <w:sz w:val="16"/>
                <w:szCs w:val="16"/>
              </w:rPr>
              <w:t xml:space="preserve">NVIDIA vGPU software licences</w:t>
            </w:r>
          </w:p>
        </w:tc>
        <w:tc>
          <w:tcPr>
            <w:tcW w:w="1100" w:type="dxa"/>
            <w:noWrap/>
          </w:tcPr>
          <w:p>
            <w:pPr>
              <w:pStyle w:val="cell"/>
            </w:pPr>
            <w:r>
              <w:rPr>
                <w:sz w:val="16"/>
                <w:szCs w:val="16"/>
              </w:rPr>
              <w:t xml:space="preserve">150 concurrent GPU VMs</w:t>
            </w:r>
          </w:p>
        </w:tc>
        <w:tc>
          <w:tcPr>
            <w:tcW w:w="3000" w:type="dxa"/>
            <w:noWrap/>
          </w:tcPr>
          <w:p>
            <w:pPr>
              <w:pStyle w:val="cell"/>
            </w:pPr>
            <w:r>
              <w:rPr>
                <w:sz w:val="16"/>
                <w:szCs w:val="16"/>
              </w:rPr>
              <w:t xml:space="preserve">—</w:t>
            </w:r>
          </w:p>
        </w:tc>
        <w:tc>
          <w:tcPr>
            <w:tcW w:w="3000" w:type="dxa"/>
            <w:noWrap/>
          </w:tcPr>
          <w:p>
            <w:pPr>
              <w:pStyle w:val="cell"/>
            </w:pPr>
            <w:r>
              <w:rPr>
                <w:sz w:val="16"/>
                <w:szCs w:val="16"/>
              </w:rPr>
              <w:t xml:space="preserve">—</w:t>
            </w:r>
          </w:p>
        </w:tc>
        <w:tc>
          <w:tcPr>
            <w:tcW w:w="3200" w:type="dxa"/>
            <w:noWrap/>
          </w:tcPr>
          <w:p>
            <w:pPr>
              <w:pStyle w:val="cell"/>
            </w:pPr>
            <w:r>
              <w:rPr>
                <w:sz w:val="16"/>
                <w:szCs w:val="16"/>
              </w:rPr>
              <w:t xml:space="preserve">Edition (e.g. vPC / RTX vWS) and counting per NVIDIA licensing; validate with NVIDIA.</w:t>
            </w:r>
          </w:p>
        </w:tc>
      </w:tr>
      <w:tr>
        <w:trPr>
          <w:cantSplit w:val="1"/>
        </w:trPr>
        <w:tc>
          <w:tcPr>
            <w:tcW w:w="1300" w:type="dxa"/>
            <w:shd w:val="clear" w:fill="F3F1EC"/>
            <w:noWrap/>
          </w:tcPr>
          <w:p>
            <w:pPr>
              <w:pStyle w:val="cell"/>
            </w:pPr>
            <w:r>
              <w:rPr>
                <w:sz w:val="16"/>
                <w:szCs w:val="16"/>
              </w:rPr>
              <w:t xml:space="preserve">Software &amp; licensing</w:t>
            </w:r>
          </w:p>
        </w:tc>
        <w:tc>
          <w:tcPr>
            <w:tcW w:w="2300" w:type="dxa"/>
            <w:shd w:val="clear" w:fill="F3F1EC"/>
            <w:noWrap/>
          </w:tcPr>
          <w:p>
            <w:pPr>
              <w:pStyle w:val="cell"/>
            </w:pPr>
            <w:r>
              <w:rPr>
                <w:sz w:val="16"/>
                <w:szCs w:val="16"/>
              </w:rPr>
              <w:t xml:space="preserve">VMware vSphere licensing</w:t>
            </w:r>
          </w:p>
        </w:tc>
        <w:tc>
          <w:tcPr>
            <w:tcW w:w="1100" w:type="dxa"/>
            <w:shd w:val="clear" w:fill="F3F1EC"/>
            <w:noWrap/>
          </w:tcPr>
          <w:p>
            <w:pPr>
              <w:pStyle w:val="cell"/>
            </w:pPr>
            <w:r>
              <w:rPr>
                <w:sz w:val="16"/>
                <w:szCs w:val="16"/>
              </w:rPr>
              <w:t xml:space="preserve">2,176 physical cores</w:t>
            </w:r>
          </w:p>
        </w:tc>
        <w:tc>
          <w:tcPr>
            <w:tcW w:w="3000" w:type="dxa"/>
            <w:shd w:val="clear" w:fill="F3F1EC"/>
            <w:noWrap/>
          </w:tcPr>
          <w:p>
            <w:pPr>
              <w:pStyle w:val="cell"/>
            </w:pPr>
            <w:r>
              <w:rPr>
                <w:sz w:val="16"/>
                <w:szCs w:val="16"/>
              </w:rPr>
              <w:t xml:space="preserve">Per-core or subscription metric per vendor terms</w:t>
            </w:r>
          </w:p>
        </w:tc>
        <w:tc>
          <w:tcPr>
            <w:tcW w:w="3000" w:type="dxa"/>
            <w:shd w:val="clear" w:fill="F3F1EC"/>
            <w:noWrap/>
          </w:tcPr>
          <w:p>
            <w:pPr>
              <w:pStyle w:val="cell"/>
            </w:pPr>
            <w:r>
              <w:rPr>
                <w:sz w:val="16"/>
                <w:szCs w:val="16"/>
              </w:rPr>
              <w:t xml:space="preserve">—</w:t>
            </w:r>
          </w:p>
        </w:tc>
        <w:tc>
          <w:tcPr>
            <w:tcW w:w="3200" w:type="dxa"/>
            <w:shd w:val="clear" w:fill="F3F1EC"/>
            <w:noWrap/>
          </w:tcPr>
          <w:p>
            <w:pPr>
              <w:pStyle w:val="cell"/>
            </w:pPr>
            <w:r>
              <w:rPr>
                <w:sz w:val="16"/>
                <w:szCs w:val="16"/>
              </w:rPr>
              <w:t xml:space="preserve">Licensing metrics, minimums per CPU and bundles change — confirm with the vendor.</w:t>
            </w:r>
          </w:p>
        </w:tc>
      </w:tr>
    </w:tbl>
    <w:p>
      <w:pPr>
        <w:rPr>
          <w:sz w:val="8"/>
          <w:szCs w:val="8"/>
        </w:rPr>
      </w:pPr>
    </w:p>
    <w:p>
      <w:pPr>
        <w:pStyle w:val="Heading1"/>
      </w:pPr>
      <w:bookmarkStart w:id="17" w:name="_Toc17"/>
      <w:r>
        <w:t>9. Logical architecture</w:t>
      </w:r>
      <w:bookmarkEnd w:id="17"/>
    </w:p>
    <w:p>
      <w:pPr/>
      <w:r>
        <w:rPr>
          <w:sz w:val="20"/>
          <w:szCs w:val="20"/>
          <w:b w:val="1"/>
          <w:bCs w:val="1"/>
        </w:rPr>
        <w:t xml:space="preserve">Logical Horizon architecture</w:t>
      </w:r>
    </w:p>
    <w:p>
      <w:pPr>
        <w:jc w:val="center"/>
      </w:pPr>
      <w:r>
        <w:pict>
          <v:shape type="#_x0000_t75" stroked="f" style="width:645pt; height:353.25pt; margin-left:0pt; margin-top:0pt; mso-position-horizontal:left; mso-position-vertical:top; mso-position-horizontal-relative:char; mso-position-vertical-relative:line;">
            <w10:wrap type="inline"/>
            <v:imagedata r:id="rId8" o:title=""/>
          </v:shape>
        </w:pict>
      </w:r>
    </w:p>
    <w:p>
      <w:pPr/>
      <w:r>
        <w:rPr>
          <w:color w:val="6B6B66"/>
          <w:sz w:val="17"/>
          <w:szCs w:val="17"/>
          <w:i w:val="1"/>
          <w:iCs w:val="1"/>
        </w:rPr>
        <w:t xml:space="preserve">Components shown are those selected for this project; the diagram is generated from the saved revision.</w:t>
      </w:r>
    </w:p>
    <w:p>
      <w:r>
        <w:br w:type="page"/>
      </w:r>
    </w:p>
    <w:p>
      <w:pPr>
        <w:pStyle w:val="Heading1"/>
      </w:pPr>
      <w:bookmarkStart w:id="18" w:name="_Toc18"/>
      <w:r>
        <w:t>10. Physical connectivity</w:t>
      </w:r>
      <w:bookmarkEnd w:id="18"/>
    </w:p>
    <w:p>
      <w:pPr/>
      <w:r>
        <w:rPr>
          <w:sz w:val="20"/>
          <w:szCs w:val="20"/>
          <w:b w:val="1"/>
          <w:bCs w:val="1"/>
        </w:rPr>
        <w:t xml:space="preserve">Physical infrastructure</w:t>
      </w:r>
    </w:p>
    <w:p>
      <w:pPr>
        <w:jc w:val="center"/>
      </w:pPr>
      <w:r>
        <w:pict>
          <v:shape type="#_x0000_t75" stroked="f" style="width:558.75pt; height:390pt; margin-left:0pt; margin-top:0pt; mso-position-horizontal:left; mso-position-vertical:top; mso-position-horizontal-relative:char; mso-position-vertical-relative:line;">
            <w10:wrap type="inline"/>
            <v:imagedata r:id="rId9" o:title=""/>
          </v:shape>
        </w:pict>
      </w:r>
    </w:p>
    <w:p>
      <w:pPr/>
      <w:r>
        <w:rPr>
          <w:sz w:val="20"/>
          <w:szCs w:val="20"/>
          <w:b w:val="1"/>
          <w:bCs w:val="1"/>
        </w:rPr>
        <w:t xml:space="preserve">Network zones and traffic flow</w:t>
      </w:r>
    </w:p>
    <w:p>
      <w:pPr>
        <w:jc w:val="center"/>
      </w:pPr>
      <w:r>
        <w:pict>
          <v:shape type="#_x0000_t75" stroked="f" style="width:558pt; height:390pt; margin-left:0pt; margin-top:0pt; mso-position-horizontal:left; mso-position-vertical:top; mso-position-horizontal-relative:char; mso-position-vertical-relative:line;">
            <w10:wrap type="inline"/>
            <v:imagedata r:id="rId10" o:title=""/>
          </v:shape>
        </w:pict>
      </w:r>
    </w:p>
    <w:p>
      <w:pPr/>
      <w:r>
        <w:rPr>
          <w:color w:val="6B6B66"/>
          <w:sz w:val="17"/>
          <w:szCs w:val="17"/>
          <w:i w:val="1"/>
          <w:iCs w:val="1"/>
        </w:rPr>
        <w:t xml:space="preserve">Hosts, switching, storage connectivity and failure domains from the saved revision.</w:t>
      </w:r>
    </w:p>
    <w:p>
      <w:r>
        <w:br w:type="page"/>
      </w:r>
    </w:p>
    <w:p>
      <w:pPr>
        <w:pStyle w:val="Heading1"/>
      </w:pPr>
      <w:bookmarkStart w:id="19" w:name="_Toc19"/>
      <w:r>
        <w:t>11. Firewall ports</w:t>
      </w:r>
      <w:bookmarkEnd w:id="19"/>
    </w:p>
    <w:p>
      <w:pPr/>
      <w:r>
        <w:rPr>
          <w:color w:val="D6336C"/>
          <w:sz w:val="18"/>
          <w:szCs w:val="18"/>
          <w:b w:val="1"/>
          <w:bCs w:val="1"/>
        </w:rPr>
        <w:t xml:space="preserve">This matrix is generated from documented Horizon defaults for the features selected in this project. Review it against the actual deployment, product versions, configured (non-default) ports and the organisation's security policy before implementing any firewall change.</w:t>
      </w:r>
    </w:p>
    <w:tbl>
      <w:tblGrid>
        <w:gridCol w:w="700" w:type="dxa"/>
        <w:gridCol w:w="2600" w:type="dxa"/>
        <w:gridCol w:w="2600" w:type="dxa"/>
        <w:gridCol w:w="700" w:type="dxa"/>
        <w:gridCol w:w="1100" w:type="dxa"/>
        <w:gridCol w:w="3600" w:type="dxa"/>
        <w:gridCol w:w="1000" w:type="dxa"/>
        <w:gridCol w:w="2300" w:type="dxa"/>
      </w:tblGrid>
      <w:tblPr>
        <w:tblStyle w:val="grid"/>
      </w:tblPr>
      <w:tr>
        <w:trPr>
          <w:tblHeader w:val="1"/>
          <w:cantSplit w:val="1"/>
        </w:trPr>
        <w:tc>
          <w:tcPr>
            <w:tcW w:w="700" w:type="dxa"/>
            <w:shd w:val="clear" w:fill="0B0B0B"/>
            <w:noWrap/>
          </w:tcPr>
          <w:p>
            <w:pPr>
              <w:pStyle w:val="cell"/>
            </w:pPr>
            <w:r>
              <w:rPr>
                <w:color w:val="FFFFFF"/>
                <w:sz w:val="15"/>
                <w:szCs w:val="15"/>
                <w:b w:val="1"/>
                <w:bCs w:val="1"/>
              </w:rPr>
              <w:t xml:space="preserve">ID</w:t>
            </w:r>
          </w:p>
        </w:tc>
        <w:tc>
          <w:tcPr>
            <w:tcW w:w="2600" w:type="dxa"/>
            <w:shd w:val="clear" w:fill="0B0B0B"/>
            <w:noWrap/>
          </w:tcPr>
          <w:p>
            <w:pPr>
              <w:pStyle w:val="cell"/>
            </w:pPr>
            <w:r>
              <w:rPr>
                <w:color w:val="FFFFFF"/>
                <w:sz w:val="15"/>
                <w:szCs w:val="15"/>
                <w:b w:val="1"/>
                <w:bCs w:val="1"/>
              </w:rPr>
              <w:t xml:space="preserve">Source</w:t>
            </w:r>
          </w:p>
        </w:tc>
        <w:tc>
          <w:tcPr>
            <w:tcW w:w="2600" w:type="dxa"/>
            <w:shd w:val="clear" w:fill="0B0B0B"/>
            <w:noWrap/>
          </w:tcPr>
          <w:p>
            <w:pPr>
              <w:pStyle w:val="cell"/>
            </w:pPr>
            <w:r>
              <w:rPr>
                <w:color w:val="FFFFFF"/>
                <w:sz w:val="15"/>
                <w:szCs w:val="15"/>
                <w:b w:val="1"/>
                <w:bCs w:val="1"/>
              </w:rPr>
              <w:t xml:space="preserve">Destination</w:t>
            </w:r>
          </w:p>
        </w:tc>
        <w:tc>
          <w:tcPr>
            <w:tcW w:w="700" w:type="dxa"/>
            <w:shd w:val="clear" w:fill="0B0B0B"/>
            <w:noWrap/>
          </w:tcPr>
          <w:p>
            <w:pPr>
              <w:pStyle w:val="cell"/>
            </w:pPr>
            <w:r>
              <w:rPr>
                <w:color w:val="FFFFFF"/>
                <w:sz w:val="15"/>
                <w:szCs w:val="15"/>
                <w:b w:val="1"/>
                <w:bCs w:val="1"/>
              </w:rPr>
              <w:t xml:space="preserve">Proto</w:t>
            </w:r>
          </w:p>
        </w:tc>
        <w:tc>
          <w:tcPr>
            <w:tcW w:w="1100" w:type="dxa"/>
            <w:shd w:val="clear" w:fill="0B0B0B"/>
            <w:noWrap/>
          </w:tcPr>
          <w:p>
            <w:pPr>
              <w:pStyle w:val="cell"/>
            </w:pPr>
            <w:r>
              <w:rPr>
                <w:color w:val="FFFFFF"/>
                <w:sz w:val="15"/>
                <w:szCs w:val="15"/>
                <w:b w:val="1"/>
                <w:bCs w:val="1"/>
              </w:rPr>
              <w:t xml:space="preserve">Port</w:t>
            </w:r>
          </w:p>
        </w:tc>
        <w:tc>
          <w:tcPr>
            <w:tcW w:w="3600" w:type="dxa"/>
            <w:shd w:val="clear" w:fill="0B0B0B"/>
            <w:noWrap/>
          </w:tcPr>
          <w:p>
            <w:pPr>
              <w:pStyle w:val="cell"/>
            </w:pPr>
            <w:r>
              <w:rPr>
                <w:color w:val="FFFFFF"/>
                <w:sz w:val="15"/>
                <w:szCs w:val="15"/>
                <w:b w:val="1"/>
                <w:bCs w:val="1"/>
              </w:rPr>
              <w:t xml:space="preserve">Purpose</w:t>
            </w:r>
          </w:p>
        </w:tc>
        <w:tc>
          <w:tcPr>
            <w:tcW w:w="1000" w:type="dxa"/>
            <w:shd w:val="clear" w:fill="0B0B0B"/>
            <w:noWrap/>
          </w:tcPr>
          <w:p>
            <w:pPr>
              <w:pStyle w:val="cell"/>
            </w:pPr>
            <w:r>
              <w:rPr>
                <w:color w:val="FFFFFF"/>
                <w:sz w:val="15"/>
                <w:szCs w:val="15"/>
                <w:b w:val="1"/>
                <w:bCs w:val="1"/>
              </w:rPr>
              <w:t xml:space="preserve">Status</w:t>
            </w:r>
          </w:p>
        </w:tc>
        <w:tc>
          <w:tcPr>
            <w:tcW w:w="2300" w:type="dxa"/>
            <w:shd w:val="clear" w:fill="0B0B0B"/>
            <w:noWrap/>
          </w:tcPr>
          <w:p>
            <w:pPr>
              <w:pStyle w:val="cell"/>
            </w:pPr>
            <w:r>
              <w:rPr>
                <w:color w:val="FFFFFF"/>
                <w:sz w:val="15"/>
                <w:szCs w:val="15"/>
                <w:b w:val="1"/>
                <w:bCs w:val="1"/>
              </w:rPr>
              <w:t xml:space="preserve">Source document</w:t>
            </w:r>
          </w:p>
        </w:tc>
      </w:tr>
      <w:tr>
        <w:trPr>
          <w:cantSplit w:val="1"/>
        </w:trPr>
        <w:tc>
          <w:tcPr>
            <w:tcW w:w="700" w:type="dxa"/>
            <w:noWrap/>
          </w:tcPr>
          <w:p>
            <w:pPr>
              <w:pStyle w:val="cell"/>
            </w:pPr>
            <w:r>
              <w:rPr>
                <w:sz w:val="15"/>
                <w:szCs w:val="15"/>
              </w:rPr>
              <w:t xml:space="preserve">FW-001</w:t>
            </w:r>
          </w:p>
        </w:tc>
        <w:tc>
          <w:tcPr>
            <w:tcW w:w="2600" w:type="dxa"/>
            <w:noWrap/>
          </w:tcPr>
          <w:p>
            <w:pPr>
              <w:pStyle w:val="cell"/>
            </w:pPr>
            <w:r>
              <w:rPr>
                <w:sz w:val="15"/>
                <w:szCs w:val="15"/>
              </w:rPr>
              <w:t xml:space="preserve">Internet / external clients: Horizon Client (external)</w:t>
            </w:r>
          </w:p>
        </w:tc>
        <w:tc>
          <w:tcPr>
            <w:tcW w:w="2600" w:type="dxa"/>
            <w:noWrap/>
          </w:tcPr>
          <w:p>
            <w:pPr>
              <w:pStyle w:val="cell"/>
            </w:pPr>
            <w:r>
              <w:rPr>
                <w:sz w:val="15"/>
                <w:szCs w:val="15"/>
              </w:rPr>
              <w:t xml:space="preserve">DMZ: Unified Access Gateway (via external load balancer VIP)</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4172</w:t>
            </w:r>
          </w:p>
        </w:tc>
        <w:tc>
          <w:tcPr>
            <w:tcW w:w="3600" w:type="dxa"/>
            <w:noWrap/>
          </w:tcPr>
          <w:p>
            <w:pPr>
              <w:pStyle w:val="cell"/>
            </w:pPr>
            <w:r>
              <w:rPr>
                <w:sz w:val="15"/>
                <w:szCs w:val="15"/>
              </w:rPr>
              <w:t xml:space="preserve">PCoIP via the PCoIP Secure Gateway</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FW-002</w:t>
            </w:r>
          </w:p>
        </w:tc>
        <w:tc>
          <w:tcPr>
            <w:tcW w:w="2600" w:type="dxa"/>
            <w:shd w:val="clear" w:fill="F3F1EC"/>
            <w:noWrap/>
          </w:tcPr>
          <w:p>
            <w:pPr>
              <w:pStyle w:val="cell"/>
            </w:pPr>
            <w:r>
              <w:rPr>
                <w:sz w:val="15"/>
                <w:szCs w:val="15"/>
              </w:rPr>
              <w:t xml:space="preserve">Internet / external clients: Horizon Client (external)</w:t>
            </w:r>
          </w:p>
        </w:tc>
        <w:tc>
          <w:tcPr>
            <w:tcW w:w="2600" w:type="dxa"/>
            <w:shd w:val="clear" w:fill="F3F1EC"/>
            <w:noWrap/>
          </w:tcPr>
          <w:p>
            <w:pPr>
              <w:pStyle w:val="cell"/>
            </w:pPr>
            <w:r>
              <w:rPr>
                <w:sz w:val="15"/>
                <w:szCs w:val="15"/>
              </w:rPr>
              <w:t xml:space="preserve">DMZ: Unified Access Gateway (via external load balancer VIP)</w:t>
            </w:r>
          </w:p>
        </w:tc>
        <w:tc>
          <w:tcPr>
            <w:tcW w:w="700" w:type="dxa"/>
            <w:shd w:val="clear" w:fill="F3F1EC"/>
            <w:noWrap/>
          </w:tcPr>
          <w:p>
            <w:pPr>
              <w:pStyle w:val="cell"/>
            </w:pPr>
            <w:r>
              <w:rPr>
                <w:sz w:val="15"/>
                <w:szCs w:val="15"/>
              </w:rPr>
              <w:t xml:space="preserve">UDP</w:t>
            </w:r>
          </w:p>
        </w:tc>
        <w:tc>
          <w:tcPr>
            <w:tcW w:w="1100" w:type="dxa"/>
            <w:shd w:val="clear" w:fill="F3F1EC"/>
            <w:noWrap/>
          </w:tcPr>
          <w:p>
            <w:pPr>
              <w:pStyle w:val="cell"/>
            </w:pPr>
            <w:r>
              <w:rPr>
                <w:sz w:val="15"/>
                <w:szCs w:val="15"/>
              </w:rPr>
              <w:t xml:space="preserve">4172</w:t>
            </w:r>
          </w:p>
        </w:tc>
        <w:tc>
          <w:tcPr>
            <w:tcW w:w="3600" w:type="dxa"/>
            <w:shd w:val="clear" w:fill="F3F1EC"/>
            <w:noWrap/>
          </w:tcPr>
          <w:p>
            <w:pPr>
              <w:pStyle w:val="cell"/>
            </w:pPr>
            <w:r>
              <w:rPr>
                <w:sz w:val="15"/>
                <w:szCs w:val="15"/>
              </w:rPr>
              <w:t xml:space="preserve">PCoIP via the PCoIP Secure Gateway</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FW-003</w:t>
            </w:r>
          </w:p>
        </w:tc>
        <w:tc>
          <w:tcPr>
            <w:tcW w:w="2600" w:type="dxa"/>
            <w:noWrap/>
          </w:tcPr>
          <w:p>
            <w:pPr>
              <w:pStyle w:val="cell"/>
            </w:pPr>
            <w:r>
              <w:rPr>
                <w:sz w:val="15"/>
                <w:szCs w:val="15"/>
              </w:rPr>
              <w:t xml:space="preserve">Internet / external clients: Horizon Client (external)</w:t>
            </w:r>
          </w:p>
        </w:tc>
        <w:tc>
          <w:tcPr>
            <w:tcW w:w="2600" w:type="dxa"/>
            <w:noWrap/>
          </w:tcPr>
          <w:p>
            <w:pPr>
              <w:pStyle w:val="cell"/>
            </w:pPr>
            <w:r>
              <w:rPr>
                <w:sz w:val="15"/>
                <w:szCs w:val="15"/>
              </w:rPr>
              <w:t xml:space="preserve">DMZ: Unified Access Gateway (via external load balancer VIP)</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8443</w:t>
            </w:r>
          </w:p>
        </w:tc>
        <w:tc>
          <w:tcPr>
            <w:tcW w:w="3600" w:type="dxa"/>
            <w:noWrap/>
          </w:tcPr>
          <w:p>
            <w:pPr>
              <w:pStyle w:val="cell"/>
            </w:pPr>
            <w:r>
              <w:rPr>
                <w:sz w:val="15"/>
                <w:szCs w:val="15"/>
              </w:rPr>
              <w:t xml:space="preserve">Blast Extreme via the Blast Secure Gateway (performant channel)</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FW-004</w:t>
            </w:r>
          </w:p>
        </w:tc>
        <w:tc>
          <w:tcPr>
            <w:tcW w:w="2600" w:type="dxa"/>
            <w:shd w:val="clear" w:fill="F3F1EC"/>
            <w:noWrap/>
          </w:tcPr>
          <w:p>
            <w:pPr>
              <w:pStyle w:val="cell"/>
            </w:pPr>
            <w:r>
              <w:rPr>
                <w:sz w:val="15"/>
                <w:szCs w:val="15"/>
              </w:rPr>
              <w:t xml:space="preserve">Internet / external clients: Horizon Client (external)</w:t>
            </w:r>
          </w:p>
        </w:tc>
        <w:tc>
          <w:tcPr>
            <w:tcW w:w="2600" w:type="dxa"/>
            <w:shd w:val="clear" w:fill="F3F1EC"/>
            <w:noWrap/>
          </w:tcPr>
          <w:p>
            <w:pPr>
              <w:pStyle w:val="cell"/>
            </w:pPr>
            <w:r>
              <w:rPr>
                <w:sz w:val="15"/>
                <w:szCs w:val="15"/>
              </w:rPr>
              <w:t xml:space="preserve">DMZ: Unified Access Gateway (via external load balancer VIP)</w:t>
            </w:r>
          </w:p>
        </w:tc>
        <w:tc>
          <w:tcPr>
            <w:tcW w:w="700" w:type="dxa"/>
            <w:shd w:val="clear" w:fill="F3F1EC"/>
            <w:noWrap/>
          </w:tcPr>
          <w:p>
            <w:pPr>
              <w:pStyle w:val="cell"/>
            </w:pPr>
            <w:r>
              <w:rPr>
                <w:sz w:val="15"/>
                <w:szCs w:val="15"/>
              </w:rPr>
              <w:t xml:space="preserve">UDP</w:t>
            </w:r>
          </w:p>
        </w:tc>
        <w:tc>
          <w:tcPr>
            <w:tcW w:w="1100" w:type="dxa"/>
            <w:shd w:val="clear" w:fill="F3F1EC"/>
            <w:noWrap/>
          </w:tcPr>
          <w:p>
            <w:pPr>
              <w:pStyle w:val="cell"/>
            </w:pPr>
            <w:r>
              <w:rPr>
                <w:sz w:val="15"/>
                <w:szCs w:val="15"/>
              </w:rPr>
              <w:t xml:space="preserve">8443</w:t>
            </w:r>
          </w:p>
        </w:tc>
        <w:tc>
          <w:tcPr>
            <w:tcW w:w="3600" w:type="dxa"/>
            <w:shd w:val="clear" w:fill="F3F1EC"/>
            <w:noWrap/>
          </w:tcPr>
          <w:p>
            <w:pPr>
              <w:pStyle w:val="cell"/>
            </w:pPr>
            <w:r>
              <w:rPr>
                <w:sz w:val="15"/>
                <w:szCs w:val="15"/>
              </w:rPr>
              <w:t xml:space="preserve">Blast Extreme via the Blast Secure Gateway (adaptive transport)</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FW-005</w:t>
            </w:r>
          </w:p>
        </w:tc>
        <w:tc>
          <w:tcPr>
            <w:tcW w:w="2600" w:type="dxa"/>
            <w:noWrap/>
          </w:tcPr>
          <w:p>
            <w:pPr>
              <w:pStyle w:val="cell"/>
            </w:pPr>
            <w:r>
              <w:rPr>
                <w:sz w:val="15"/>
                <w:szCs w:val="15"/>
              </w:rPr>
              <w:t xml:space="preserve">Internet / external clients: Horizon Client / browser (external)</w:t>
            </w:r>
          </w:p>
        </w:tc>
        <w:tc>
          <w:tcPr>
            <w:tcW w:w="2600" w:type="dxa"/>
            <w:noWrap/>
          </w:tcPr>
          <w:p>
            <w:pPr>
              <w:pStyle w:val="cell"/>
            </w:pPr>
            <w:r>
              <w:rPr>
                <w:sz w:val="15"/>
                <w:szCs w:val="15"/>
              </w:rPr>
              <w:t xml:space="preserve">DMZ: Unified Access Gateway (via external load balancer VIP)</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443</w:t>
            </w:r>
          </w:p>
        </w:tc>
        <w:tc>
          <w:tcPr>
            <w:tcW w:w="3600" w:type="dxa"/>
            <w:noWrap/>
          </w:tcPr>
          <w:p>
            <w:pPr>
              <w:pStyle w:val="cell"/>
            </w:pPr>
            <w:r>
              <w:rPr>
                <w:sz w:val="15"/>
                <w:szCs w:val="15"/>
              </w:rPr>
              <w:t xml:space="preserve">HTTPS login; also carries tunneled RDP, client drive redirection and USB redirection traffic</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FW-006</w:t>
            </w:r>
          </w:p>
        </w:tc>
        <w:tc>
          <w:tcPr>
            <w:tcW w:w="2600" w:type="dxa"/>
            <w:shd w:val="clear" w:fill="F3F1EC"/>
            <w:noWrap/>
          </w:tcPr>
          <w:p>
            <w:pPr>
              <w:pStyle w:val="cell"/>
            </w:pPr>
            <w:r>
              <w:rPr>
                <w:sz w:val="15"/>
                <w:szCs w:val="15"/>
              </w:rPr>
              <w:t xml:space="preserve">Internal client network: Horizon Client</w:t>
            </w:r>
          </w:p>
        </w:tc>
        <w:tc>
          <w:tcPr>
            <w:tcW w:w="2600" w:type="dxa"/>
            <w:shd w:val="clear" w:fill="F3F1EC"/>
            <w:noWrap/>
          </w:tcPr>
          <w:p>
            <w:pPr>
              <w:pStyle w:val="cell"/>
            </w:pPr>
            <w:r>
              <w:rPr>
                <w:sz w:val="15"/>
                <w:szCs w:val="15"/>
              </w:rPr>
              <w:t xml:space="preserve">Horizon server zone: Connection Server (via internal load balancer)</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443</w:t>
            </w:r>
          </w:p>
        </w:tc>
        <w:tc>
          <w:tcPr>
            <w:tcW w:w="3600" w:type="dxa"/>
            <w:shd w:val="clear" w:fill="F3F1EC"/>
            <w:noWrap/>
          </w:tcPr>
          <w:p>
            <w:pPr>
              <w:pStyle w:val="cell"/>
            </w:pPr>
            <w:r>
              <w:rPr>
                <w:sz w:val="15"/>
                <w:szCs w:val="15"/>
              </w:rPr>
              <w:t xml:space="preserve">HTTPS login, authentication and desktop/application selection</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TCP and UDP Ports for Clients and Agents</w:t>
            </w:r>
          </w:p>
        </w:tc>
      </w:tr>
      <w:tr>
        <w:trPr>
          <w:cantSplit w:val="1"/>
        </w:trPr>
        <w:tc>
          <w:tcPr>
            <w:tcW w:w="700" w:type="dxa"/>
            <w:noWrap/>
          </w:tcPr>
          <w:p>
            <w:pPr>
              <w:pStyle w:val="cell"/>
            </w:pPr>
            <w:r>
              <w:rPr>
                <w:sz w:val="15"/>
                <w:szCs w:val="15"/>
              </w:rPr>
              <w:t xml:space="preserve">FW-007</w:t>
            </w:r>
          </w:p>
        </w:tc>
        <w:tc>
          <w:tcPr>
            <w:tcW w:w="2600" w:type="dxa"/>
            <w:noWrap/>
          </w:tcPr>
          <w:p>
            <w:pPr>
              <w:pStyle w:val="cell"/>
            </w:pPr>
            <w:r>
              <w:rPr>
                <w:sz w:val="15"/>
                <w:szCs w:val="15"/>
              </w:rPr>
              <w:t xml:space="preserve">Internal client network: Horizon Client</w:t>
            </w:r>
          </w:p>
        </w:tc>
        <w:tc>
          <w:tcPr>
            <w:tcW w:w="2600" w:type="dxa"/>
            <w:noWrap/>
          </w:tcPr>
          <w:p>
            <w:pPr>
              <w:pStyle w:val="cell"/>
            </w:pPr>
            <w:r>
              <w:rPr>
                <w:sz w:val="15"/>
                <w:szCs w:val="15"/>
              </w:rPr>
              <w:t xml:space="preserve">Desktop and RDS zone: Horizon Agent (desktops / RDS hosts)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4172</w:t>
            </w:r>
          </w:p>
        </w:tc>
        <w:tc>
          <w:tcPr>
            <w:tcW w:w="3600" w:type="dxa"/>
            <w:noWrap/>
          </w:tcPr>
          <w:p>
            <w:pPr>
              <w:pStyle w:val="cell"/>
            </w:pPr>
            <w:r>
              <w:rPr>
                <w:sz w:val="15"/>
                <w:szCs w:val="15"/>
              </w:rPr>
              <w:t xml:space="preserve">PCoIP — direct connection (PCoIP Secure Gateway not used)</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TCP and UDP Ports for Clients and Agents</w:t>
            </w:r>
          </w:p>
        </w:tc>
      </w:tr>
      <w:tr>
        <w:trPr>
          <w:cantSplit w:val="1"/>
        </w:trPr>
        <w:tc>
          <w:tcPr>
            <w:tcW w:w="700" w:type="dxa"/>
            <w:shd w:val="clear" w:fill="F3F1EC"/>
            <w:noWrap/>
          </w:tcPr>
          <w:p>
            <w:pPr>
              <w:pStyle w:val="cell"/>
            </w:pPr>
            <w:r>
              <w:rPr>
                <w:sz w:val="15"/>
                <w:szCs w:val="15"/>
              </w:rPr>
              <w:t xml:space="preserve">FW-008</w:t>
            </w:r>
          </w:p>
        </w:tc>
        <w:tc>
          <w:tcPr>
            <w:tcW w:w="2600" w:type="dxa"/>
            <w:shd w:val="clear" w:fill="F3F1EC"/>
            <w:noWrap/>
          </w:tcPr>
          <w:p>
            <w:pPr>
              <w:pStyle w:val="cell"/>
            </w:pPr>
            <w:r>
              <w:rPr>
                <w:sz w:val="15"/>
                <w:szCs w:val="15"/>
              </w:rPr>
              <w:t xml:space="preserve">Internal client network: Horizon Client</w:t>
            </w:r>
          </w:p>
        </w:tc>
        <w:tc>
          <w:tcPr>
            <w:tcW w:w="2600" w:type="dxa"/>
            <w:shd w:val="clear" w:fill="F3F1EC"/>
            <w:noWrap/>
          </w:tcPr>
          <w:p>
            <w:pPr>
              <w:pStyle w:val="cell"/>
            </w:pPr>
            <w:r>
              <w:rPr>
                <w:sz w:val="15"/>
                <w:szCs w:val="15"/>
              </w:rPr>
              <w:t xml:space="preserve">Desktop and RDS zone: Horizon Agent (desktops / RDS hosts)</w:t>
            </w:r>
          </w:p>
        </w:tc>
        <w:tc>
          <w:tcPr>
            <w:tcW w:w="700" w:type="dxa"/>
            <w:shd w:val="clear" w:fill="F3F1EC"/>
            <w:noWrap/>
          </w:tcPr>
          <w:p>
            <w:pPr>
              <w:pStyle w:val="cell"/>
            </w:pPr>
            <w:r>
              <w:rPr>
                <w:sz w:val="15"/>
                <w:szCs w:val="15"/>
              </w:rPr>
              <w:t xml:space="preserve">UDP</w:t>
            </w:r>
          </w:p>
        </w:tc>
        <w:tc>
          <w:tcPr>
            <w:tcW w:w="1100" w:type="dxa"/>
            <w:shd w:val="clear" w:fill="F3F1EC"/>
            <w:noWrap/>
          </w:tcPr>
          <w:p>
            <w:pPr>
              <w:pStyle w:val="cell"/>
            </w:pPr>
            <w:r>
              <w:rPr>
                <w:sz w:val="15"/>
                <w:szCs w:val="15"/>
              </w:rPr>
              <w:t xml:space="preserve">4172</w:t>
            </w:r>
          </w:p>
        </w:tc>
        <w:tc>
          <w:tcPr>
            <w:tcW w:w="3600" w:type="dxa"/>
            <w:shd w:val="clear" w:fill="F3F1EC"/>
            <w:noWrap/>
          </w:tcPr>
          <w:p>
            <w:pPr>
              <w:pStyle w:val="cell"/>
            </w:pPr>
            <w:r>
              <w:rPr>
                <w:sz w:val="15"/>
                <w:szCs w:val="15"/>
              </w:rPr>
              <w:t xml:space="preserve">PCoIP — direct connection</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TCP and UDP Ports for Clients and Agents</w:t>
            </w:r>
          </w:p>
        </w:tc>
      </w:tr>
      <w:tr>
        <w:trPr>
          <w:cantSplit w:val="1"/>
        </w:trPr>
        <w:tc>
          <w:tcPr>
            <w:tcW w:w="700" w:type="dxa"/>
            <w:noWrap/>
          </w:tcPr>
          <w:p>
            <w:pPr>
              <w:pStyle w:val="cell"/>
            </w:pPr>
            <w:r>
              <w:rPr>
                <w:sz w:val="15"/>
                <w:szCs w:val="15"/>
              </w:rPr>
              <w:t xml:space="preserve">FW-009</w:t>
            </w:r>
          </w:p>
        </w:tc>
        <w:tc>
          <w:tcPr>
            <w:tcW w:w="2600" w:type="dxa"/>
            <w:noWrap/>
          </w:tcPr>
          <w:p>
            <w:pPr>
              <w:pStyle w:val="cell"/>
            </w:pPr>
            <w:r>
              <w:rPr>
                <w:sz w:val="15"/>
                <w:szCs w:val="15"/>
              </w:rPr>
              <w:t xml:space="preserve">Internal client network: Horizon Client</w:t>
            </w:r>
          </w:p>
        </w:tc>
        <w:tc>
          <w:tcPr>
            <w:tcW w:w="2600" w:type="dxa"/>
            <w:noWrap/>
          </w:tcPr>
          <w:p>
            <w:pPr>
              <w:pStyle w:val="cell"/>
            </w:pPr>
            <w:r>
              <w:rPr>
                <w:sz w:val="15"/>
                <w:szCs w:val="15"/>
              </w:rPr>
              <w:t xml:space="preserve">Desktop and RDS zone: Horizon Agent (desktops / RDS hosts)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9427</w:t>
            </w:r>
          </w:p>
        </w:tc>
        <w:tc>
          <w:tcPr>
            <w:tcW w:w="3600" w:type="dxa"/>
            <w:noWrap/>
          </w:tcPr>
          <w:p>
            <w:pPr>
              <w:pStyle w:val="cell"/>
            </w:pPr>
            <w:r>
              <w:rPr>
                <w:sz w:val="15"/>
                <w:szCs w:val="15"/>
              </w:rPr>
              <w:t xml:space="preserve">Multimedia redirection, Microsoft Teams optimization, HTML5 MMR, Horizon printer redirection, client drive and USB redirection — direct connection</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TCP and UDP Ports for Clients and Agents</w:t>
            </w:r>
          </w:p>
        </w:tc>
      </w:tr>
      <w:tr>
        <w:trPr>
          <w:cantSplit w:val="1"/>
        </w:trPr>
        <w:tc>
          <w:tcPr>
            <w:tcW w:w="700" w:type="dxa"/>
            <w:shd w:val="clear" w:fill="F3F1EC"/>
            <w:noWrap/>
          </w:tcPr>
          <w:p>
            <w:pPr>
              <w:pStyle w:val="cell"/>
            </w:pPr>
            <w:r>
              <w:rPr>
                <w:sz w:val="15"/>
                <w:szCs w:val="15"/>
              </w:rPr>
              <w:t xml:space="preserve">FW-010</w:t>
            </w:r>
          </w:p>
        </w:tc>
        <w:tc>
          <w:tcPr>
            <w:tcW w:w="2600" w:type="dxa"/>
            <w:shd w:val="clear" w:fill="F3F1EC"/>
            <w:noWrap/>
          </w:tcPr>
          <w:p>
            <w:pPr>
              <w:pStyle w:val="cell"/>
            </w:pPr>
            <w:r>
              <w:rPr>
                <w:sz w:val="15"/>
                <w:szCs w:val="15"/>
              </w:rPr>
              <w:t xml:space="preserve">Internal client network: Horizon Client</w:t>
            </w:r>
          </w:p>
        </w:tc>
        <w:tc>
          <w:tcPr>
            <w:tcW w:w="2600" w:type="dxa"/>
            <w:shd w:val="clear" w:fill="F3F1EC"/>
            <w:noWrap/>
          </w:tcPr>
          <w:p>
            <w:pPr>
              <w:pStyle w:val="cell"/>
            </w:pPr>
            <w:r>
              <w:rPr>
                <w:sz w:val="15"/>
                <w:szCs w:val="15"/>
              </w:rPr>
              <w:t xml:space="preserve">Desktop and RDS zone: Horizon Agent (desktops / RDS hosts)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22443</w:t>
            </w:r>
          </w:p>
        </w:tc>
        <w:tc>
          <w:tcPr>
            <w:tcW w:w="3600" w:type="dxa"/>
            <w:shd w:val="clear" w:fill="F3F1EC"/>
            <w:noWrap/>
          </w:tcPr>
          <w:p>
            <w:pPr>
              <w:pStyle w:val="cell"/>
            </w:pPr>
            <w:r>
              <w:rPr>
                <w:sz w:val="15"/>
                <w:szCs w:val="15"/>
              </w:rPr>
              <w:t xml:space="preserve">Blast Extreme — direct connection</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TCP and UDP Ports for Clients and Agents</w:t>
            </w:r>
          </w:p>
        </w:tc>
      </w:tr>
      <w:tr>
        <w:trPr>
          <w:cantSplit w:val="1"/>
        </w:trPr>
        <w:tc>
          <w:tcPr>
            <w:tcW w:w="700" w:type="dxa"/>
            <w:noWrap/>
          </w:tcPr>
          <w:p>
            <w:pPr>
              <w:pStyle w:val="cell"/>
            </w:pPr>
            <w:r>
              <w:rPr>
                <w:sz w:val="15"/>
                <w:szCs w:val="15"/>
              </w:rPr>
              <w:t xml:space="preserve">FW-011</w:t>
            </w:r>
          </w:p>
        </w:tc>
        <w:tc>
          <w:tcPr>
            <w:tcW w:w="2600" w:type="dxa"/>
            <w:noWrap/>
          </w:tcPr>
          <w:p>
            <w:pPr>
              <w:pStyle w:val="cell"/>
            </w:pPr>
            <w:r>
              <w:rPr>
                <w:sz w:val="15"/>
                <w:szCs w:val="15"/>
              </w:rPr>
              <w:t xml:space="preserve">Internal client network: Horizon Client</w:t>
            </w:r>
          </w:p>
        </w:tc>
        <w:tc>
          <w:tcPr>
            <w:tcW w:w="2600" w:type="dxa"/>
            <w:noWrap/>
          </w:tcPr>
          <w:p>
            <w:pPr>
              <w:pStyle w:val="cell"/>
            </w:pPr>
            <w:r>
              <w:rPr>
                <w:sz w:val="15"/>
                <w:szCs w:val="15"/>
              </w:rPr>
              <w:t xml:space="preserve">Desktop and RDS zone: Horizon Agent (desktops / RDS hosts)</w:t>
            </w:r>
          </w:p>
        </w:tc>
        <w:tc>
          <w:tcPr>
            <w:tcW w:w="700" w:type="dxa"/>
            <w:noWrap/>
          </w:tcPr>
          <w:p>
            <w:pPr>
              <w:pStyle w:val="cell"/>
            </w:pPr>
            <w:r>
              <w:rPr>
                <w:sz w:val="15"/>
                <w:szCs w:val="15"/>
              </w:rPr>
              <w:t xml:space="preserve">UDP</w:t>
            </w:r>
          </w:p>
        </w:tc>
        <w:tc>
          <w:tcPr>
            <w:tcW w:w="1100" w:type="dxa"/>
            <w:noWrap/>
          </w:tcPr>
          <w:p>
            <w:pPr>
              <w:pStyle w:val="cell"/>
            </w:pPr>
            <w:r>
              <w:rPr>
                <w:sz w:val="15"/>
                <w:szCs w:val="15"/>
              </w:rPr>
              <w:t xml:space="preserve">22443</w:t>
            </w:r>
          </w:p>
        </w:tc>
        <w:tc>
          <w:tcPr>
            <w:tcW w:w="3600" w:type="dxa"/>
            <w:noWrap/>
          </w:tcPr>
          <w:p>
            <w:pPr>
              <w:pStyle w:val="cell"/>
            </w:pPr>
            <w:r>
              <w:rPr>
                <w:sz w:val="15"/>
                <w:szCs w:val="15"/>
              </w:rPr>
              <w:t xml:space="preserve">Blast Extreme adaptive transport — direct connection</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TCP and UDP Ports for Clients and Agents</w:t>
            </w:r>
          </w:p>
        </w:tc>
      </w:tr>
      <w:tr>
        <w:trPr>
          <w:cantSplit w:val="1"/>
        </w:trPr>
        <w:tc>
          <w:tcPr>
            <w:tcW w:w="700" w:type="dxa"/>
            <w:shd w:val="clear" w:fill="F3F1EC"/>
            <w:noWrap/>
          </w:tcPr>
          <w:p>
            <w:pPr>
              <w:pStyle w:val="cell"/>
            </w:pPr>
            <w:r>
              <w:rPr>
                <w:sz w:val="15"/>
                <w:szCs w:val="15"/>
              </w:rPr>
              <w:t xml:space="preserve">FW-012</w:t>
            </w:r>
          </w:p>
        </w:tc>
        <w:tc>
          <w:tcPr>
            <w:tcW w:w="2600" w:type="dxa"/>
            <w:shd w:val="clear" w:fill="F3F1EC"/>
            <w:noWrap/>
          </w:tcPr>
          <w:p>
            <w:pPr>
              <w:pStyle w:val="cell"/>
            </w:pPr>
            <w:r>
              <w:rPr>
                <w:sz w:val="15"/>
                <w:szCs w:val="15"/>
              </w:rPr>
              <w:t xml:space="preserve">Internal client network: Horizon Client</w:t>
            </w:r>
          </w:p>
        </w:tc>
        <w:tc>
          <w:tcPr>
            <w:tcW w:w="2600" w:type="dxa"/>
            <w:shd w:val="clear" w:fill="F3F1EC"/>
            <w:noWrap/>
          </w:tcPr>
          <w:p>
            <w:pPr>
              <w:pStyle w:val="cell"/>
            </w:pPr>
            <w:r>
              <w:rPr>
                <w:sz w:val="15"/>
                <w:szCs w:val="15"/>
              </w:rPr>
              <w:t xml:space="preserve">Desktop and RDS zone: Horizon Agent (desktops / RDS hosts)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32111</w:t>
            </w:r>
          </w:p>
        </w:tc>
        <w:tc>
          <w:tcPr>
            <w:tcW w:w="3600" w:type="dxa"/>
            <w:shd w:val="clear" w:fill="F3F1EC"/>
            <w:noWrap/>
          </w:tcPr>
          <w:p>
            <w:pPr>
              <w:pStyle w:val="cell"/>
            </w:pPr>
            <w:r>
              <w:rPr>
                <w:sz w:val="15"/>
                <w:szCs w:val="15"/>
              </w:rPr>
              <w:t xml:space="preserve">USB redirection and time zone synchronization — direct connection</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TCP and UDP Ports for Clients and Agents</w:t>
            </w:r>
          </w:p>
        </w:tc>
      </w:tr>
      <w:tr>
        <w:trPr>
          <w:cantSplit w:val="1"/>
        </w:trPr>
        <w:tc>
          <w:tcPr>
            <w:tcW w:w="700" w:type="dxa"/>
            <w:noWrap/>
          </w:tcPr>
          <w:p>
            <w:pPr>
              <w:pStyle w:val="cell"/>
            </w:pPr>
            <w:r>
              <w:rPr>
                <w:sz w:val="15"/>
                <w:szCs w:val="15"/>
              </w:rPr>
              <w:t xml:space="preserve">FW-013</w:t>
            </w:r>
          </w:p>
        </w:tc>
        <w:tc>
          <w:tcPr>
            <w:tcW w:w="2600" w:type="dxa"/>
            <w:noWrap/>
          </w:tcPr>
          <w:p>
            <w:pPr>
              <w:pStyle w:val="cell"/>
            </w:pPr>
            <w:r>
              <w:rPr>
                <w:sz w:val="15"/>
                <w:szCs w:val="15"/>
              </w:rPr>
              <w:t xml:space="preserve">DMZ: Unified Access Gateway</w:t>
            </w:r>
          </w:p>
        </w:tc>
        <w:tc>
          <w:tcPr>
            <w:tcW w:w="2600" w:type="dxa"/>
            <w:noWrap/>
          </w:tcPr>
          <w:p>
            <w:pPr>
              <w:pStyle w:val="cell"/>
            </w:pPr>
            <w:r>
              <w:rPr>
                <w:sz w:val="15"/>
                <w:szCs w:val="15"/>
              </w:rPr>
              <w:t xml:space="preserve">Horizon server zone: Connection Server (via internal load balancer)</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443</w:t>
            </w:r>
          </w:p>
        </w:tc>
        <w:tc>
          <w:tcPr>
            <w:tcW w:w="3600" w:type="dxa"/>
            <w:noWrap/>
          </w:tcPr>
          <w:p>
            <w:pPr>
              <w:pStyle w:val="cell"/>
            </w:pPr>
            <w:r>
              <w:rPr>
                <w:sz w:val="15"/>
                <w:szCs w:val="15"/>
              </w:rPr>
              <w:t xml:space="preserve">Login / XML-API traffic to the Connection Server</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FW-014</w:t>
            </w:r>
          </w:p>
        </w:tc>
        <w:tc>
          <w:tcPr>
            <w:tcW w:w="2600" w:type="dxa"/>
            <w:shd w:val="clear" w:fill="F3F1EC"/>
            <w:noWrap/>
          </w:tcPr>
          <w:p>
            <w:pPr>
              <w:pStyle w:val="cell"/>
            </w:pPr>
            <w:r>
              <w:rPr>
                <w:sz w:val="15"/>
                <w:szCs w:val="15"/>
              </w:rPr>
              <w:t xml:space="preserve">DMZ: Unified Access Gateway</w:t>
            </w:r>
          </w:p>
        </w:tc>
        <w:tc>
          <w:tcPr>
            <w:tcW w:w="2600" w:type="dxa"/>
            <w:shd w:val="clear" w:fill="F3F1EC"/>
            <w:noWrap/>
          </w:tcPr>
          <w:p>
            <w:pPr>
              <w:pStyle w:val="cell"/>
            </w:pPr>
            <w:r>
              <w:rPr>
                <w:sz w:val="15"/>
                <w:szCs w:val="15"/>
              </w:rPr>
              <w:t xml:space="preserve">Desktop and RDS zone: Horizon Agent (desktops / RDS hosts)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4172</w:t>
            </w:r>
          </w:p>
        </w:tc>
        <w:tc>
          <w:tcPr>
            <w:tcW w:w="3600" w:type="dxa"/>
            <w:shd w:val="clear" w:fill="F3F1EC"/>
            <w:noWrap/>
          </w:tcPr>
          <w:p>
            <w:pPr>
              <w:pStyle w:val="cell"/>
            </w:pPr>
            <w:r>
              <w:rPr>
                <w:sz w:val="15"/>
                <w:szCs w:val="15"/>
              </w:rPr>
              <w:t xml:space="preserve">PCoIP when the PCoIP Secure Gateway is used</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TCP and UDP Ports for Clients and Agents</w:t>
            </w:r>
          </w:p>
        </w:tc>
      </w:tr>
      <w:tr>
        <w:trPr>
          <w:cantSplit w:val="1"/>
        </w:trPr>
        <w:tc>
          <w:tcPr>
            <w:tcW w:w="700" w:type="dxa"/>
            <w:noWrap/>
          </w:tcPr>
          <w:p>
            <w:pPr>
              <w:pStyle w:val="cell"/>
            </w:pPr>
            <w:r>
              <w:rPr>
                <w:sz w:val="15"/>
                <w:szCs w:val="15"/>
              </w:rPr>
              <w:t xml:space="preserve">FW-015</w:t>
            </w:r>
          </w:p>
        </w:tc>
        <w:tc>
          <w:tcPr>
            <w:tcW w:w="2600" w:type="dxa"/>
            <w:noWrap/>
          </w:tcPr>
          <w:p>
            <w:pPr>
              <w:pStyle w:val="cell"/>
            </w:pPr>
            <w:r>
              <w:rPr>
                <w:sz w:val="15"/>
                <w:szCs w:val="15"/>
              </w:rPr>
              <w:t xml:space="preserve">DMZ: Unified Access Gateway</w:t>
            </w:r>
          </w:p>
        </w:tc>
        <w:tc>
          <w:tcPr>
            <w:tcW w:w="2600" w:type="dxa"/>
            <w:noWrap/>
          </w:tcPr>
          <w:p>
            <w:pPr>
              <w:pStyle w:val="cell"/>
            </w:pPr>
            <w:r>
              <w:rPr>
                <w:sz w:val="15"/>
                <w:szCs w:val="15"/>
              </w:rPr>
              <w:t xml:space="preserve">Desktop and RDS zone: Horizon Agent (desktops / RDS hosts)</w:t>
            </w:r>
          </w:p>
        </w:tc>
        <w:tc>
          <w:tcPr>
            <w:tcW w:w="700" w:type="dxa"/>
            <w:noWrap/>
          </w:tcPr>
          <w:p>
            <w:pPr>
              <w:pStyle w:val="cell"/>
            </w:pPr>
            <w:r>
              <w:rPr>
                <w:sz w:val="15"/>
                <w:szCs w:val="15"/>
              </w:rPr>
              <w:t xml:space="preserve">UDP</w:t>
            </w:r>
          </w:p>
        </w:tc>
        <w:tc>
          <w:tcPr>
            <w:tcW w:w="1100" w:type="dxa"/>
            <w:noWrap/>
          </w:tcPr>
          <w:p>
            <w:pPr>
              <w:pStyle w:val="cell"/>
            </w:pPr>
            <w:r>
              <w:rPr>
                <w:sz w:val="15"/>
                <w:szCs w:val="15"/>
              </w:rPr>
              <w:t xml:space="preserve">4172</w:t>
            </w:r>
          </w:p>
        </w:tc>
        <w:tc>
          <w:tcPr>
            <w:tcW w:w="3600" w:type="dxa"/>
            <w:noWrap/>
          </w:tcPr>
          <w:p>
            <w:pPr>
              <w:pStyle w:val="cell"/>
            </w:pPr>
            <w:r>
              <w:rPr>
                <w:sz w:val="15"/>
                <w:szCs w:val="15"/>
              </w:rPr>
              <w:t xml:space="preserve">PCoIP (not SALSA20) when the PCoIP Secure Gateway is used</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TCP and UDP Ports for Clients and Agents</w:t>
            </w:r>
          </w:p>
        </w:tc>
      </w:tr>
      <w:tr>
        <w:trPr>
          <w:cantSplit w:val="1"/>
        </w:trPr>
        <w:tc>
          <w:tcPr>
            <w:tcW w:w="700" w:type="dxa"/>
            <w:shd w:val="clear" w:fill="F3F1EC"/>
            <w:noWrap/>
          </w:tcPr>
          <w:p>
            <w:pPr>
              <w:pStyle w:val="cell"/>
            </w:pPr>
            <w:r>
              <w:rPr>
                <w:sz w:val="15"/>
                <w:szCs w:val="15"/>
              </w:rPr>
              <w:t xml:space="preserve">FW-016</w:t>
            </w:r>
          </w:p>
        </w:tc>
        <w:tc>
          <w:tcPr>
            <w:tcW w:w="2600" w:type="dxa"/>
            <w:shd w:val="clear" w:fill="F3F1EC"/>
            <w:noWrap/>
          </w:tcPr>
          <w:p>
            <w:pPr>
              <w:pStyle w:val="cell"/>
            </w:pPr>
            <w:r>
              <w:rPr>
                <w:sz w:val="15"/>
                <w:szCs w:val="15"/>
              </w:rPr>
              <w:t xml:space="preserve">DMZ: Unified Access Gateway</w:t>
            </w:r>
          </w:p>
        </w:tc>
        <w:tc>
          <w:tcPr>
            <w:tcW w:w="2600" w:type="dxa"/>
            <w:shd w:val="clear" w:fill="F3F1EC"/>
            <w:noWrap/>
          </w:tcPr>
          <w:p>
            <w:pPr>
              <w:pStyle w:val="cell"/>
            </w:pPr>
            <w:r>
              <w:rPr>
                <w:sz w:val="15"/>
                <w:szCs w:val="15"/>
              </w:rPr>
              <w:t xml:space="preserve">Desktop and RDS zone: Horizon Agent (desktops / RDS hosts)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9427</w:t>
            </w:r>
          </w:p>
        </w:tc>
        <w:tc>
          <w:tcPr>
            <w:tcW w:w="3600" w:type="dxa"/>
            <w:shd w:val="clear" w:fill="F3F1EC"/>
            <w:noWrap/>
          </w:tcPr>
          <w:p>
            <w:pPr>
              <w:pStyle w:val="cell"/>
            </w:pPr>
            <w:r>
              <w:rPr>
                <w:sz w:val="15"/>
                <w:szCs w:val="15"/>
              </w:rPr>
              <w:t xml:space="preserve">MMR, Teams optimization, HTML5 MMR, printer, client drive and USB redirection when tunnel connections are used</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TCP and UDP Ports for Clients and Agents</w:t>
            </w:r>
          </w:p>
        </w:tc>
      </w:tr>
      <w:tr>
        <w:trPr>
          <w:cantSplit w:val="1"/>
        </w:trPr>
        <w:tc>
          <w:tcPr>
            <w:tcW w:w="700" w:type="dxa"/>
            <w:noWrap/>
          </w:tcPr>
          <w:p>
            <w:pPr>
              <w:pStyle w:val="cell"/>
            </w:pPr>
            <w:r>
              <w:rPr>
                <w:sz w:val="15"/>
                <w:szCs w:val="15"/>
              </w:rPr>
              <w:t xml:space="preserve">FW-017</w:t>
            </w:r>
          </w:p>
        </w:tc>
        <w:tc>
          <w:tcPr>
            <w:tcW w:w="2600" w:type="dxa"/>
            <w:noWrap/>
          </w:tcPr>
          <w:p>
            <w:pPr>
              <w:pStyle w:val="cell"/>
            </w:pPr>
            <w:r>
              <w:rPr>
                <w:sz w:val="15"/>
                <w:szCs w:val="15"/>
              </w:rPr>
              <w:t xml:space="preserve">DMZ: Unified Access Gateway</w:t>
            </w:r>
          </w:p>
        </w:tc>
        <w:tc>
          <w:tcPr>
            <w:tcW w:w="2600" w:type="dxa"/>
            <w:noWrap/>
          </w:tcPr>
          <w:p>
            <w:pPr>
              <w:pStyle w:val="cell"/>
            </w:pPr>
            <w:r>
              <w:rPr>
                <w:sz w:val="15"/>
                <w:szCs w:val="15"/>
              </w:rPr>
              <w:t xml:space="preserve">Desktop and RDS zone: Horizon Agent (desktops / RDS hosts)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22443</w:t>
            </w:r>
          </w:p>
        </w:tc>
        <w:tc>
          <w:tcPr>
            <w:tcW w:w="3600" w:type="dxa"/>
            <w:noWrap/>
          </w:tcPr>
          <w:p>
            <w:pPr>
              <w:pStyle w:val="cell"/>
            </w:pPr>
            <w:r>
              <w:rPr>
                <w:sz w:val="15"/>
                <w:szCs w:val="15"/>
              </w:rPr>
              <w:t xml:space="preserve">Blast Extreme when the Blast Secure Gateway is used</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TCP and UDP Ports for Clients and Agents</w:t>
            </w:r>
          </w:p>
        </w:tc>
      </w:tr>
      <w:tr>
        <w:trPr>
          <w:cantSplit w:val="1"/>
        </w:trPr>
        <w:tc>
          <w:tcPr>
            <w:tcW w:w="700" w:type="dxa"/>
            <w:shd w:val="clear" w:fill="F3F1EC"/>
            <w:noWrap/>
          </w:tcPr>
          <w:p>
            <w:pPr>
              <w:pStyle w:val="cell"/>
            </w:pPr>
            <w:r>
              <w:rPr>
                <w:sz w:val="15"/>
                <w:szCs w:val="15"/>
              </w:rPr>
              <w:t xml:space="preserve">FW-018</w:t>
            </w:r>
          </w:p>
        </w:tc>
        <w:tc>
          <w:tcPr>
            <w:tcW w:w="2600" w:type="dxa"/>
            <w:shd w:val="clear" w:fill="F3F1EC"/>
            <w:noWrap/>
          </w:tcPr>
          <w:p>
            <w:pPr>
              <w:pStyle w:val="cell"/>
            </w:pPr>
            <w:r>
              <w:rPr>
                <w:sz w:val="15"/>
                <w:szCs w:val="15"/>
              </w:rPr>
              <w:t xml:space="preserve">DMZ: Unified Access Gateway</w:t>
            </w:r>
          </w:p>
        </w:tc>
        <w:tc>
          <w:tcPr>
            <w:tcW w:w="2600" w:type="dxa"/>
            <w:shd w:val="clear" w:fill="F3F1EC"/>
            <w:noWrap/>
          </w:tcPr>
          <w:p>
            <w:pPr>
              <w:pStyle w:val="cell"/>
            </w:pPr>
            <w:r>
              <w:rPr>
                <w:sz w:val="15"/>
                <w:szCs w:val="15"/>
              </w:rPr>
              <w:t xml:space="preserve">Desktop and RDS zone: Horizon Agent (desktops / RDS hosts)</w:t>
            </w:r>
          </w:p>
        </w:tc>
        <w:tc>
          <w:tcPr>
            <w:tcW w:w="700" w:type="dxa"/>
            <w:shd w:val="clear" w:fill="F3F1EC"/>
            <w:noWrap/>
          </w:tcPr>
          <w:p>
            <w:pPr>
              <w:pStyle w:val="cell"/>
            </w:pPr>
            <w:r>
              <w:rPr>
                <w:sz w:val="15"/>
                <w:szCs w:val="15"/>
              </w:rPr>
              <w:t xml:space="preserve">UDP</w:t>
            </w:r>
          </w:p>
        </w:tc>
        <w:tc>
          <w:tcPr>
            <w:tcW w:w="1100" w:type="dxa"/>
            <w:shd w:val="clear" w:fill="F3F1EC"/>
            <w:noWrap/>
          </w:tcPr>
          <w:p>
            <w:pPr>
              <w:pStyle w:val="cell"/>
            </w:pPr>
            <w:r>
              <w:rPr>
                <w:sz w:val="15"/>
                <w:szCs w:val="15"/>
              </w:rPr>
              <w:t xml:space="preserve">22443</w:t>
            </w:r>
          </w:p>
        </w:tc>
        <w:tc>
          <w:tcPr>
            <w:tcW w:w="3600" w:type="dxa"/>
            <w:shd w:val="clear" w:fill="F3F1EC"/>
            <w:noWrap/>
          </w:tcPr>
          <w:p>
            <w:pPr>
              <w:pStyle w:val="cell"/>
            </w:pPr>
            <w:r>
              <w:rPr>
                <w:sz w:val="15"/>
                <w:szCs w:val="15"/>
              </w:rPr>
              <w:t xml:space="preserve">Blast Extreme when the Blast Secure Gateway is used</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TCP and UDP Ports for Clients and Agents</w:t>
            </w:r>
          </w:p>
        </w:tc>
      </w:tr>
      <w:tr>
        <w:trPr>
          <w:cantSplit w:val="1"/>
        </w:trPr>
        <w:tc>
          <w:tcPr>
            <w:tcW w:w="700" w:type="dxa"/>
            <w:noWrap/>
          </w:tcPr>
          <w:p>
            <w:pPr>
              <w:pStyle w:val="cell"/>
            </w:pPr>
            <w:r>
              <w:rPr>
                <w:sz w:val="15"/>
                <w:szCs w:val="15"/>
              </w:rPr>
              <w:t xml:space="preserve">FW-019</w:t>
            </w:r>
          </w:p>
        </w:tc>
        <w:tc>
          <w:tcPr>
            <w:tcW w:w="2600" w:type="dxa"/>
            <w:noWrap/>
          </w:tcPr>
          <w:p>
            <w:pPr>
              <w:pStyle w:val="cell"/>
            </w:pPr>
            <w:r>
              <w:rPr>
                <w:sz w:val="15"/>
                <w:szCs w:val="15"/>
              </w:rPr>
              <w:t xml:space="preserve">DMZ: Unified Access Gateway</w:t>
            </w:r>
          </w:p>
        </w:tc>
        <w:tc>
          <w:tcPr>
            <w:tcW w:w="2600" w:type="dxa"/>
            <w:noWrap/>
          </w:tcPr>
          <w:p>
            <w:pPr>
              <w:pStyle w:val="cell"/>
            </w:pPr>
            <w:r>
              <w:rPr>
                <w:sz w:val="15"/>
                <w:szCs w:val="15"/>
              </w:rPr>
              <w:t xml:space="preserve">Desktop and RDS zone: Horizon Agent (desktops / RDS hosts)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32111</w:t>
            </w:r>
          </w:p>
        </w:tc>
        <w:tc>
          <w:tcPr>
            <w:tcW w:w="3600" w:type="dxa"/>
            <w:noWrap/>
          </w:tcPr>
          <w:p>
            <w:pPr>
              <w:pStyle w:val="cell"/>
            </w:pPr>
            <w:r>
              <w:rPr>
                <w:sz w:val="15"/>
                <w:szCs w:val="15"/>
              </w:rPr>
              <w:t xml:space="preserve">USB redirection and time zone synchronization when tunnel connections are used</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TCP and UDP Ports for Clients and Agents</w:t>
            </w:r>
          </w:p>
        </w:tc>
      </w:tr>
      <w:tr>
        <w:trPr>
          <w:cantSplit w:val="1"/>
        </w:trPr>
        <w:tc>
          <w:tcPr>
            <w:tcW w:w="700" w:type="dxa"/>
            <w:shd w:val="clear" w:fill="F3F1EC"/>
            <w:noWrap/>
          </w:tcPr>
          <w:p>
            <w:pPr>
              <w:pStyle w:val="cell"/>
            </w:pPr>
            <w:r>
              <w:rPr>
                <w:sz w:val="15"/>
                <w:szCs w:val="15"/>
              </w:rPr>
              <w:t xml:space="preserve">FW-020</w:t>
            </w:r>
          </w:p>
        </w:tc>
        <w:tc>
          <w:tcPr>
            <w:tcW w:w="2600" w:type="dxa"/>
            <w:shd w:val="clear" w:fill="F3F1EC"/>
            <w:noWrap/>
          </w:tcPr>
          <w:p>
            <w:pPr>
              <w:pStyle w:val="cell"/>
            </w:pPr>
            <w:r>
              <w:rPr>
                <w:sz w:val="15"/>
                <w:szCs w:val="15"/>
              </w:rPr>
              <w:t xml:space="preserve">Horizon server zone: Connection Server</w:t>
            </w:r>
          </w:p>
        </w:tc>
        <w:tc>
          <w:tcPr>
            <w:tcW w:w="2600" w:type="dxa"/>
            <w:shd w:val="clear" w:fill="F3F1EC"/>
            <w:noWrap/>
          </w:tcPr>
          <w:p>
            <w:pPr>
              <w:pStyle w:val="cell"/>
            </w:pPr>
            <w:r>
              <w:rPr>
                <w:sz w:val="15"/>
                <w:szCs w:val="15"/>
              </w:rPr>
              <w:t xml:space="preserve">Identity (AD, DNS, DHCP, PKI): Active Directory Global Catalog</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3268</w:t>
            </w:r>
          </w:p>
        </w:tc>
        <w:tc>
          <w:tcPr>
            <w:tcW w:w="3600" w:type="dxa"/>
            <w:shd w:val="clear" w:fill="F3F1EC"/>
            <w:noWrap/>
          </w:tcPr>
          <w:p>
            <w:pPr>
              <w:pStyle w:val="cell"/>
            </w:pPr>
            <w:r>
              <w:rPr>
                <w:sz w:val="15"/>
                <w:szCs w:val="15"/>
              </w:rPr>
              <w:t xml:space="preserve">Global Catalog (required for entitlements — Firewall Rules for Active Directory)</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Service overview and network port requirements for Windows</w:t>
            </w:r>
          </w:p>
        </w:tc>
      </w:tr>
      <w:tr>
        <w:trPr>
          <w:cantSplit w:val="1"/>
        </w:trPr>
        <w:tc>
          <w:tcPr>
            <w:tcW w:w="700" w:type="dxa"/>
            <w:noWrap/>
          </w:tcPr>
          <w:p>
            <w:pPr>
              <w:pStyle w:val="cell"/>
            </w:pPr>
            <w:r>
              <w:rPr>
                <w:sz w:val="15"/>
                <w:szCs w:val="15"/>
              </w:rPr>
              <w:t xml:space="preserve">FW-021</w:t>
            </w:r>
          </w:p>
        </w:tc>
        <w:tc>
          <w:tcPr>
            <w:tcW w:w="2600" w:type="dxa"/>
            <w:noWrap/>
          </w:tcPr>
          <w:p>
            <w:pPr>
              <w:pStyle w:val="cell"/>
            </w:pPr>
            <w:r>
              <w:rPr>
                <w:sz w:val="15"/>
                <w:szCs w:val="15"/>
              </w:rPr>
              <w:t xml:space="preserve">Horizon server zone: Connection Server</w:t>
            </w:r>
          </w:p>
        </w:tc>
        <w:tc>
          <w:tcPr>
            <w:tcW w:w="2600" w:type="dxa"/>
            <w:noWrap/>
          </w:tcPr>
          <w:p>
            <w:pPr>
              <w:pStyle w:val="cell"/>
            </w:pPr>
            <w:r>
              <w:rPr>
                <w:sz w:val="15"/>
                <w:szCs w:val="15"/>
              </w:rPr>
              <w:t xml:space="preserve">Identity (AD, DNS, DHCP, PKI): Active Directory domain controllers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88</w:t>
            </w:r>
          </w:p>
        </w:tc>
        <w:tc>
          <w:tcPr>
            <w:tcW w:w="3600" w:type="dxa"/>
            <w:noWrap/>
          </w:tcPr>
          <w:p>
            <w:pPr>
              <w:pStyle w:val="cell"/>
            </w:pPr>
            <w:r>
              <w:rPr>
                <w:sz w:val="15"/>
                <w:szCs w:val="15"/>
              </w:rPr>
              <w:t xml:space="preserve">Kerberos authentication</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Service overview and network port requirements for Windows</w:t>
            </w:r>
          </w:p>
        </w:tc>
      </w:tr>
      <w:tr>
        <w:trPr>
          <w:cantSplit w:val="1"/>
        </w:trPr>
        <w:tc>
          <w:tcPr>
            <w:tcW w:w="700" w:type="dxa"/>
            <w:shd w:val="clear" w:fill="F3F1EC"/>
            <w:noWrap/>
          </w:tcPr>
          <w:p>
            <w:pPr>
              <w:pStyle w:val="cell"/>
            </w:pPr>
            <w:r>
              <w:rPr>
                <w:sz w:val="15"/>
                <w:szCs w:val="15"/>
              </w:rPr>
              <w:t xml:space="preserve">FW-022</w:t>
            </w:r>
          </w:p>
        </w:tc>
        <w:tc>
          <w:tcPr>
            <w:tcW w:w="2600" w:type="dxa"/>
            <w:shd w:val="clear" w:fill="F3F1EC"/>
            <w:noWrap/>
          </w:tcPr>
          <w:p>
            <w:pPr>
              <w:pStyle w:val="cell"/>
            </w:pPr>
            <w:r>
              <w:rPr>
                <w:sz w:val="15"/>
                <w:szCs w:val="15"/>
              </w:rPr>
              <w:t xml:space="preserve">Horizon server zone: Connection Server</w:t>
            </w:r>
          </w:p>
        </w:tc>
        <w:tc>
          <w:tcPr>
            <w:tcW w:w="2600" w:type="dxa"/>
            <w:shd w:val="clear" w:fill="F3F1EC"/>
            <w:noWrap/>
          </w:tcPr>
          <w:p>
            <w:pPr>
              <w:pStyle w:val="cell"/>
            </w:pPr>
            <w:r>
              <w:rPr>
                <w:sz w:val="15"/>
                <w:szCs w:val="15"/>
              </w:rPr>
              <w:t xml:space="preserve">Identity (AD, DNS, DHCP, PKI): Active Directory domain controllers</w:t>
            </w:r>
          </w:p>
        </w:tc>
        <w:tc>
          <w:tcPr>
            <w:tcW w:w="700" w:type="dxa"/>
            <w:shd w:val="clear" w:fill="F3F1EC"/>
            <w:noWrap/>
          </w:tcPr>
          <w:p>
            <w:pPr>
              <w:pStyle w:val="cell"/>
            </w:pPr>
            <w:r>
              <w:rPr>
                <w:sz w:val="15"/>
                <w:szCs w:val="15"/>
              </w:rPr>
              <w:t xml:space="preserve">UDP</w:t>
            </w:r>
          </w:p>
        </w:tc>
        <w:tc>
          <w:tcPr>
            <w:tcW w:w="1100" w:type="dxa"/>
            <w:shd w:val="clear" w:fill="F3F1EC"/>
            <w:noWrap/>
          </w:tcPr>
          <w:p>
            <w:pPr>
              <w:pStyle w:val="cell"/>
            </w:pPr>
            <w:r>
              <w:rPr>
                <w:sz w:val="15"/>
                <w:szCs w:val="15"/>
              </w:rPr>
              <w:t xml:space="preserve">88</w:t>
            </w:r>
          </w:p>
        </w:tc>
        <w:tc>
          <w:tcPr>
            <w:tcW w:w="3600" w:type="dxa"/>
            <w:shd w:val="clear" w:fill="F3F1EC"/>
            <w:noWrap/>
          </w:tcPr>
          <w:p>
            <w:pPr>
              <w:pStyle w:val="cell"/>
            </w:pPr>
            <w:r>
              <w:rPr>
                <w:sz w:val="15"/>
                <w:szCs w:val="15"/>
              </w:rPr>
              <w:t xml:space="preserve">Kerberos authentication</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Service overview and network port requirements for Windows</w:t>
            </w:r>
          </w:p>
        </w:tc>
      </w:tr>
      <w:tr>
        <w:trPr>
          <w:cantSplit w:val="1"/>
        </w:trPr>
        <w:tc>
          <w:tcPr>
            <w:tcW w:w="700" w:type="dxa"/>
            <w:noWrap/>
          </w:tcPr>
          <w:p>
            <w:pPr>
              <w:pStyle w:val="cell"/>
            </w:pPr>
            <w:r>
              <w:rPr>
                <w:sz w:val="15"/>
                <w:szCs w:val="15"/>
              </w:rPr>
              <w:t xml:space="preserve">FW-023</w:t>
            </w:r>
          </w:p>
        </w:tc>
        <w:tc>
          <w:tcPr>
            <w:tcW w:w="2600" w:type="dxa"/>
            <w:noWrap/>
          </w:tcPr>
          <w:p>
            <w:pPr>
              <w:pStyle w:val="cell"/>
            </w:pPr>
            <w:r>
              <w:rPr>
                <w:sz w:val="15"/>
                <w:szCs w:val="15"/>
              </w:rPr>
              <w:t xml:space="preserve">Horizon server zone: Connection Server</w:t>
            </w:r>
          </w:p>
        </w:tc>
        <w:tc>
          <w:tcPr>
            <w:tcW w:w="2600" w:type="dxa"/>
            <w:noWrap/>
          </w:tcPr>
          <w:p>
            <w:pPr>
              <w:pStyle w:val="cell"/>
            </w:pPr>
            <w:r>
              <w:rPr>
                <w:sz w:val="15"/>
                <w:szCs w:val="15"/>
              </w:rPr>
              <w:t xml:space="preserve">Identity (AD, DNS, DHCP, PKI): Active Directory domain controllers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135, 49152-65535</w:t>
            </w:r>
          </w:p>
        </w:tc>
        <w:tc>
          <w:tcPr>
            <w:tcW w:w="3600" w:type="dxa"/>
            <w:noWrap/>
          </w:tcPr>
          <w:p>
            <w:pPr>
              <w:pStyle w:val="cell"/>
            </w:pPr>
            <w:r>
              <w:rPr>
                <w:sz w:val="15"/>
                <w:szCs w:val="15"/>
              </w:rPr>
              <w:t xml:space="preserve">RPC endpoint mapper and dynamic RPC (Net Logon)</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Service overview and network port requirements for Windows</w:t>
            </w:r>
          </w:p>
        </w:tc>
      </w:tr>
      <w:tr>
        <w:trPr>
          <w:cantSplit w:val="1"/>
        </w:trPr>
        <w:tc>
          <w:tcPr>
            <w:tcW w:w="700" w:type="dxa"/>
            <w:shd w:val="clear" w:fill="F3F1EC"/>
            <w:noWrap/>
          </w:tcPr>
          <w:p>
            <w:pPr>
              <w:pStyle w:val="cell"/>
            </w:pPr>
            <w:r>
              <w:rPr>
                <w:sz w:val="15"/>
                <w:szCs w:val="15"/>
              </w:rPr>
              <w:t xml:space="preserve">FW-024</w:t>
            </w:r>
          </w:p>
        </w:tc>
        <w:tc>
          <w:tcPr>
            <w:tcW w:w="2600" w:type="dxa"/>
            <w:shd w:val="clear" w:fill="F3F1EC"/>
            <w:noWrap/>
          </w:tcPr>
          <w:p>
            <w:pPr>
              <w:pStyle w:val="cell"/>
            </w:pPr>
            <w:r>
              <w:rPr>
                <w:sz w:val="15"/>
                <w:szCs w:val="15"/>
              </w:rPr>
              <w:t xml:space="preserve">Horizon server zone: Connection Server</w:t>
            </w:r>
          </w:p>
        </w:tc>
        <w:tc>
          <w:tcPr>
            <w:tcW w:w="2600" w:type="dxa"/>
            <w:shd w:val="clear" w:fill="F3F1EC"/>
            <w:noWrap/>
          </w:tcPr>
          <w:p>
            <w:pPr>
              <w:pStyle w:val="cell"/>
            </w:pPr>
            <w:r>
              <w:rPr>
                <w:sz w:val="15"/>
                <w:szCs w:val="15"/>
              </w:rPr>
              <w:t xml:space="preserve">Identity (AD, DNS, DHCP, PKI): Active Directory domain controllers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389</w:t>
            </w:r>
          </w:p>
        </w:tc>
        <w:tc>
          <w:tcPr>
            <w:tcW w:w="3600" w:type="dxa"/>
            <w:shd w:val="clear" w:fill="F3F1EC"/>
            <w:noWrap/>
          </w:tcPr>
          <w:p>
            <w:pPr>
              <w:pStyle w:val="cell"/>
            </w:pPr>
            <w:r>
              <w:rPr>
                <w:sz w:val="15"/>
                <w:szCs w:val="15"/>
              </w:rPr>
              <w:t xml:space="preserve">LDAP queries and DC locator (user entitlements)</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Service overview and network port requirements for Windows</w:t>
            </w:r>
          </w:p>
        </w:tc>
      </w:tr>
      <w:tr>
        <w:trPr>
          <w:cantSplit w:val="1"/>
        </w:trPr>
        <w:tc>
          <w:tcPr>
            <w:tcW w:w="700" w:type="dxa"/>
            <w:noWrap/>
          </w:tcPr>
          <w:p>
            <w:pPr>
              <w:pStyle w:val="cell"/>
            </w:pPr>
            <w:r>
              <w:rPr>
                <w:sz w:val="15"/>
                <w:szCs w:val="15"/>
              </w:rPr>
              <w:t xml:space="preserve">FW-025</w:t>
            </w:r>
          </w:p>
        </w:tc>
        <w:tc>
          <w:tcPr>
            <w:tcW w:w="2600" w:type="dxa"/>
            <w:noWrap/>
          </w:tcPr>
          <w:p>
            <w:pPr>
              <w:pStyle w:val="cell"/>
            </w:pPr>
            <w:r>
              <w:rPr>
                <w:sz w:val="15"/>
                <w:szCs w:val="15"/>
              </w:rPr>
              <w:t xml:space="preserve">Horizon server zone: Connection Server</w:t>
            </w:r>
          </w:p>
        </w:tc>
        <w:tc>
          <w:tcPr>
            <w:tcW w:w="2600" w:type="dxa"/>
            <w:noWrap/>
          </w:tcPr>
          <w:p>
            <w:pPr>
              <w:pStyle w:val="cell"/>
            </w:pPr>
            <w:r>
              <w:rPr>
                <w:sz w:val="15"/>
                <w:szCs w:val="15"/>
              </w:rPr>
              <w:t xml:space="preserve">Identity (AD, DNS, DHCP, PKI): Active Directory domain controllers</w:t>
            </w:r>
          </w:p>
        </w:tc>
        <w:tc>
          <w:tcPr>
            <w:tcW w:w="700" w:type="dxa"/>
            <w:noWrap/>
          </w:tcPr>
          <w:p>
            <w:pPr>
              <w:pStyle w:val="cell"/>
            </w:pPr>
            <w:r>
              <w:rPr>
                <w:sz w:val="15"/>
                <w:szCs w:val="15"/>
              </w:rPr>
              <w:t xml:space="preserve">UDP</w:t>
            </w:r>
          </w:p>
        </w:tc>
        <w:tc>
          <w:tcPr>
            <w:tcW w:w="1100" w:type="dxa"/>
            <w:noWrap/>
          </w:tcPr>
          <w:p>
            <w:pPr>
              <w:pStyle w:val="cell"/>
            </w:pPr>
            <w:r>
              <w:rPr>
                <w:sz w:val="15"/>
                <w:szCs w:val="15"/>
              </w:rPr>
              <w:t xml:space="preserve">389</w:t>
            </w:r>
          </w:p>
        </w:tc>
        <w:tc>
          <w:tcPr>
            <w:tcW w:w="3600" w:type="dxa"/>
            <w:noWrap/>
          </w:tcPr>
          <w:p>
            <w:pPr>
              <w:pStyle w:val="cell"/>
            </w:pPr>
            <w:r>
              <w:rPr>
                <w:sz w:val="15"/>
                <w:szCs w:val="15"/>
              </w:rPr>
              <w:t xml:space="preserve">LDAP queries and DC locator (user entitlements)</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Service overview and network port requirements for Windows</w:t>
            </w:r>
          </w:p>
        </w:tc>
      </w:tr>
      <w:tr>
        <w:trPr>
          <w:cantSplit w:val="1"/>
        </w:trPr>
        <w:tc>
          <w:tcPr>
            <w:tcW w:w="700" w:type="dxa"/>
            <w:shd w:val="clear" w:fill="F3F1EC"/>
            <w:noWrap/>
          </w:tcPr>
          <w:p>
            <w:pPr>
              <w:pStyle w:val="cell"/>
            </w:pPr>
            <w:r>
              <w:rPr>
                <w:sz w:val="15"/>
                <w:szCs w:val="15"/>
              </w:rPr>
              <w:t xml:space="preserve">FW-026</w:t>
            </w:r>
          </w:p>
        </w:tc>
        <w:tc>
          <w:tcPr>
            <w:tcW w:w="2600" w:type="dxa"/>
            <w:shd w:val="clear" w:fill="F3F1EC"/>
            <w:noWrap/>
          </w:tcPr>
          <w:p>
            <w:pPr>
              <w:pStyle w:val="cell"/>
            </w:pPr>
            <w:r>
              <w:rPr>
                <w:sz w:val="15"/>
                <w:szCs w:val="15"/>
              </w:rPr>
              <w:t xml:space="preserve">Horizon server zone: Connection Server</w:t>
            </w:r>
          </w:p>
        </w:tc>
        <w:tc>
          <w:tcPr>
            <w:tcW w:w="2600" w:type="dxa"/>
            <w:shd w:val="clear" w:fill="F3F1EC"/>
            <w:noWrap/>
          </w:tcPr>
          <w:p>
            <w:pPr>
              <w:pStyle w:val="cell"/>
            </w:pPr>
            <w:r>
              <w:rPr>
                <w:sz w:val="15"/>
                <w:szCs w:val="15"/>
              </w:rPr>
              <w:t xml:space="preserve">Identity (AD, DNS, DHCP, PKI): Active Directory domain controllers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464</w:t>
            </w:r>
          </w:p>
        </w:tc>
        <w:tc>
          <w:tcPr>
            <w:tcW w:w="3600" w:type="dxa"/>
            <w:shd w:val="clear" w:fill="F3F1EC"/>
            <w:noWrap/>
          </w:tcPr>
          <w:p>
            <w:pPr>
              <w:pStyle w:val="cell"/>
            </w:pPr>
            <w:r>
              <w:rPr>
                <w:sz w:val="15"/>
                <w:szCs w:val="15"/>
              </w:rPr>
              <w:t xml:space="preserve">Kerberos password change (expired passwords changed at Horizon login)</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Service overview and network port requirements for Windows</w:t>
            </w:r>
          </w:p>
        </w:tc>
      </w:tr>
      <w:tr>
        <w:trPr>
          <w:cantSplit w:val="1"/>
        </w:trPr>
        <w:tc>
          <w:tcPr>
            <w:tcW w:w="700" w:type="dxa"/>
            <w:noWrap/>
          </w:tcPr>
          <w:p>
            <w:pPr>
              <w:pStyle w:val="cell"/>
            </w:pPr>
            <w:r>
              <w:rPr>
                <w:sz w:val="15"/>
                <w:szCs w:val="15"/>
              </w:rPr>
              <w:t xml:space="preserve">FW-027</w:t>
            </w:r>
          </w:p>
        </w:tc>
        <w:tc>
          <w:tcPr>
            <w:tcW w:w="2600" w:type="dxa"/>
            <w:noWrap/>
          </w:tcPr>
          <w:p>
            <w:pPr>
              <w:pStyle w:val="cell"/>
            </w:pPr>
            <w:r>
              <w:rPr>
                <w:sz w:val="15"/>
                <w:szCs w:val="15"/>
              </w:rPr>
              <w:t xml:space="preserve">Horizon server zone: Connection Server</w:t>
            </w:r>
          </w:p>
        </w:tc>
        <w:tc>
          <w:tcPr>
            <w:tcW w:w="2600" w:type="dxa"/>
            <w:noWrap/>
          </w:tcPr>
          <w:p>
            <w:pPr>
              <w:pStyle w:val="cell"/>
            </w:pPr>
            <w:r>
              <w:rPr>
                <w:sz w:val="15"/>
                <w:szCs w:val="15"/>
              </w:rPr>
              <w:t xml:space="preserve">Identity (AD, DNS, DHCP, PKI): Active Directory domain controllers</w:t>
            </w:r>
          </w:p>
        </w:tc>
        <w:tc>
          <w:tcPr>
            <w:tcW w:w="700" w:type="dxa"/>
            <w:noWrap/>
          </w:tcPr>
          <w:p>
            <w:pPr>
              <w:pStyle w:val="cell"/>
            </w:pPr>
            <w:r>
              <w:rPr>
                <w:sz w:val="15"/>
                <w:szCs w:val="15"/>
              </w:rPr>
              <w:t xml:space="preserve">UDP</w:t>
            </w:r>
          </w:p>
        </w:tc>
        <w:tc>
          <w:tcPr>
            <w:tcW w:w="1100" w:type="dxa"/>
            <w:noWrap/>
          </w:tcPr>
          <w:p>
            <w:pPr>
              <w:pStyle w:val="cell"/>
            </w:pPr>
            <w:r>
              <w:rPr>
                <w:sz w:val="15"/>
                <w:szCs w:val="15"/>
              </w:rPr>
              <w:t xml:space="preserve">464</w:t>
            </w:r>
          </w:p>
        </w:tc>
        <w:tc>
          <w:tcPr>
            <w:tcW w:w="3600" w:type="dxa"/>
            <w:noWrap/>
          </w:tcPr>
          <w:p>
            <w:pPr>
              <w:pStyle w:val="cell"/>
            </w:pPr>
            <w:r>
              <w:rPr>
                <w:sz w:val="15"/>
                <w:szCs w:val="15"/>
              </w:rPr>
              <w:t xml:space="preserve">Kerberos password change (expired passwords changed at Horizon login)</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Service overview and network port requirements for Windows</w:t>
            </w:r>
          </w:p>
        </w:tc>
      </w:tr>
      <w:tr>
        <w:trPr>
          <w:cantSplit w:val="1"/>
        </w:trPr>
        <w:tc>
          <w:tcPr>
            <w:tcW w:w="700" w:type="dxa"/>
            <w:shd w:val="clear" w:fill="F3F1EC"/>
            <w:noWrap/>
          </w:tcPr>
          <w:p>
            <w:pPr>
              <w:pStyle w:val="cell"/>
            </w:pPr>
            <w:r>
              <w:rPr>
                <w:sz w:val="15"/>
                <w:szCs w:val="15"/>
              </w:rPr>
              <w:t xml:space="preserve">FW-028</w:t>
            </w:r>
          </w:p>
        </w:tc>
        <w:tc>
          <w:tcPr>
            <w:tcW w:w="2600" w:type="dxa"/>
            <w:shd w:val="clear" w:fill="F3F1EC"/>
            <w:noWrap/>
          </w:tcPr>
          <w:p>
            <w:pPr>
              <w:pStyle w:val="cell"/>
            </w:pPr>
            <w:r>
              <w:rPr>
                <w:sz w:val="15"/>
                <w:szCs w:val="15"/>
              </w:rPr>
              <w:t xml:space="preserve">Horizon server zone: Connection Server</w:t>
            </w:r>
          </w:p>
        </w:tc>
        <w:tc>
          <w:tcPr>
            <w:tcW w:w="2600" w:type="dxa"/>
            <w:shd w:val="clear" w:fill="F3F1EC"/>
            <w:noWrap/>
          </w:tcPr>
          <w:p>
            <w:pPr>
              <w:pStyle w:val="cell"/>
            </w:pPr>
            <w:r>
              <w:rPr>
                <w:sz w:val="15"/>
                <w:szCs w:val="15"/>
              </w:rPr>
              <w:t xml:space="preserve">Horizon server zone: Connection Server (other pods)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135, 49152-65535</w:t>
            </w:r>
          </w:p>
        </w:tc>
        <w:tc>
          <w:tcPr>
            <w:tcW w:w="3600" w:type="dxa"/>
            <w:shd w:val="clear" w:fill="F3F1EC"/>
            <w:noWrap/>
          </w:tcPr>
          <w:p>
            <w:pPr>
              <w:pStyle w:val="cell"/>
            </w:pPr>
            <w:r>
              <w:rPr>
                <w:sz w:val="15"/>
                <w:szCs w:val="15"/>
              </w:rPr>
              <w:t xml:space="preserve">RPC for replication between pods</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FW-029</w:t>
            </w:r>
          </w:p>
        </w:tc>
        <w:tc>
          <w:tcPr>
            <w:tcW w:w="2600" w:type="dxa"/>
            <w:noWrap/>
          </w:tcPr>
          <w:p>
            <w:pPr>
              <w:pStyle w:val="cell"/>
            </w:pPr>
            <w:r>
              <w:rPr>
                <w:sz w:val="15"/>
                <w:szCs w:val="15"/>
              </w:rPr>
              <w:t xml:space="preserve">Horizon server zone: Connection Server</w:t>
            </w:r>
          </w:p>
        </w:tc>
        <w:tc>
          <w:tcPr>
            <w:tcW w:w="2600" w:type="dxa"/>
            <w:noWrap/>
          </w:tcPr>
          <w:p>
            <w:pPr>
              <w:pStyle w:val="cell"/>
            </w:pPr>
            <w:r>
              <w:rPr>
                <w:sz w:val="15"/>
                <w:szCs w:val="15"/>
              </w:rPr>
              <w:t xml:space="preserve">Horizon server zone: Connection Server (other pods)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8472</w:t>
            </w:r>
          </w:p>
        </w:tc>
        <w:tc>
          <w:tcPr>
            <w:tcW w:w="3600" w:type="dxa"/>
            <w:noWrap/>
          </w:tcPr>
          <w:p>
            <w:pPr>
              <w:pStyle w:val="cell"/>
            </w:pPr>
            <w:r>
              <w:rPr>
                <w:sz w:val="15"/>
                <w:szCs w:val="15"/>
              </w:rPr>
              <w:t xml:space="preserve">Cloud Pod Architecture inter-pod VIPA</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FW-030</w:t>
            </w:r>
          </w:p>
        </w:tc>
        <w:tc>
          <w:tcPr>
            <w:tcW w:w="2600" w:type="dxa"/>
            <w:shd w:val="clear" w:fill="F3F1EC"/>
            <w:noWrap/>
          </w:tcPr>
          <w:p>
            <w:pPr>
              <w:pStyle w:val="cell"/>
            </w:pPr>
            <w:r>
              <w:rPr>
                <w:sz w:val="15"/>
                <w:szCs w:val="15"/>
              </w:rPr>
              <w:t xml:space="preserve">Horizon server zone: Connection Server</w:t>
            </w:r>
          </w:p>
        </w:tc>
        <w:tc>
          <w:tcPr>
            <w:tcW w:w="2600" w:type="dxa"/>
            <w:shd w:val="clear" w:fill="F3F1EC"/>
            <w:noWrap/>
          </w:tcPr>
          <w:p>
            <w:pPr>
              <w:pStyle w:val="cell"/>
            </w:pPr>
            <w:r>
              <w:rPr>
                <w:sz w:val="15"/>
                <w:szCs w:val="15"/>
              </w:rPr>
              <w:t xml:space="preserve">Horizon server zone: Connection Server (other pods)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22389</w:t>
            </w:r>
          </w:p>
        </w:tc>
        <w:tc>
          <w:tcPr>
            <w:tcW w:w="3600" w:type="dxa"/>
            <w:shd w:val="clear" w:fill="F3F1EC"/>
            <w:noWrap/>
          </w:tcPr>
          <w:p>
            <w:pPr>
              <w:pStyle w:val="cell"/>
            </w:pPr>
            <w:r>
              <w:rPr>
                <w:sz w:val="15"/>
                <w:szCs w:val="15"/>
              </w:rPr>
              <w:t xml:space="preserve">Cloud Pod Architecture AD LDS global LDAP replication</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FW-031</w:t>
            </w:r>
          </w:p>
        </w:tc>
        <w:tc>
          <w:tcPr>
            <w:tcW w:w="2600" w:type="dxa"/>
            <w:noWrap/>
          </w:tcPr>
          <w:p>
            <w:pPr>
              <w:pStyle w:val="cell"/>
            </w:pPr>
            <w:r>
              <w:rPr>
                <w:sz w:val="15"/>
                <w:szCs w:val="15"/>
              </w:rPr>
              <w:t xml:space="preserve">Horizon server zone: Connection Server</w:t>
            </w:r>
          </w:p>
        </w:tc>
        <w:tc>
          <w:tcPr>
            <w:tcW w:w="2600" w:type="dxa"/>
            <w:noWrap/>
          </w:tcPr>
          <w:p>
            <w:pPr>
              <w:pStyle w:val="cell"/>
            </w:pPr>
            <w:r>
              <w:rPr>
                <w:sz w:val="15"/>
                <w:szCs w:val="15"/>
              </w:rPr>
              <w:t xml:space="preserve">Horizon server zone: Connection Server (other pods)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22636</w:t>
            </w:r>
          </w:p>
        </w:tc>
        <w:tc>
          <w:tcPr>
            <w:tcW w:w="3600" w:type="dxa"/>
            <w:noWrap/>
          </w:tcPr>
          <w:p>
            <w:pPr>
              <w:pStyle w:val="cell"/>
            </w:pPr>
            <w:r>
              <w:rPr>
                <w:sz w:val="15"/>
                <w:szCs w:val="15"/>
              </w:rPr>
              <w:t xml:space="preserve">Cloud Pod Architecture secure global LDAPS replication</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FW-032</w:t>
            </w:r>
          </w:p>
        </w:tc>
        <w:tc>
          <w:tcPr>
            <w:tcW w:w="2600" w:type="dxa"/>
            <w:shd w:val="clear" w:fill="F3F1EC"/>
            <w:noWrap/>
          </w:tcPr>
          <w:p>
            <w:pPr>
              <w:pStyle w:val="cell"/>
            </w:pPr>
            <w:r>
              <w:rPr>
                <w:sz w:val="15"/>
                <w:szCs w:val="15"/>
              </w:rPr>
              <w:t xml:space="preserve">Horizon server zone: Connection Server</w:t>
            </w:r>
          </w:p>
        </w:tc>
        <w:tc>
          <w:tcPr>
            <w:tcW w:w="2600" w:type="dxa"/>
            <w:shd w:val="clear" w:fill="F3F1EC"/>
            <w:noWrap/>
          </w:tcPr>
          <w:p>
            <w:pPr>
              <w:pStyle w:val="cell"/>
            </w:pPr>
            <w:r>
              <w:rPr>
                <w:sz w:val="15"/>
                <w:szCs w:val="15"/>
              </w:rPr>
              <w:t xml:space="preserve">Horizon server zone: Connection Server (replica)</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135</w:t>
            </w:r>
          </w:p>
        </w:tc>
        <w:tc>
          <w:tcPr>
            <w:tcW w:w="3600" w:type="dxa"/>
            <w:shd w:val="clear" w:fill="F3F1EC"/>
            <w:noWrap/>
          </w:tcPr>
          <w:p>
            <w:pPr>
              <w:pStyle w:val="cell"/>
            </w:pPr>
            <w:r>
              <w:rPr>
                <w:sz w:val="15"/>
                <w:szCs w:val="15"/>
              </w:rPr>
              <w:t xml:space="preserve">MS-RPC endpoint mapper — required for Connection Server replication</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FW-033</w:t>
            </w:r>
          </w:p>
        </w:tc>
        <w:tc>
          <w:tcPr>
            <w:tcW w:w="2600" w:type="dxa"/>
            <w:noWrap/>
          </w:tcPr>
          <w:p>
            <w:pPr>
              <w:pStyle w:val="cell"/>
            </w:pPr>
            <w:r>
              <w:rPr>
                <w:sz w:val="15"/>
                <w:szCs w:val="15"/>
              </w:rPr>
              <w:t xml:space="preserve">Horizon server zone: Connection Server</w:t>
            </w:r>
          </w:p>
        </w:tc>
        <w:tc>
          <w:tcPr>
            <w:tcW w:w="2600" w:type="dxa"/>
            <w:noWrap/>
          </w:tcPr>
          <w:p>
            <w:pPr>
              <w:pStyle w:val="cell"/>
            </w:pPr>
            <w:r>
              <w:rPr>
                <w:sz w:val="15"/>
                <w:szCs w:val="15"/>
              </w:rPr>
              <w:t xml:space="preserve">Horizon server zone: Connection Server (replica)</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389</w:t>
            </w:r>
          </w:p>
        </w:tc>
        <w:tc>
          <w:tcPr>
            <w:tcW w:w="3600" w:type="dxa"/>
            <w:noWrap/>
          </w:tcPr>
          <w:p>
            <w:pPr>
              <w:pStyle w:val="cell"/>
            </w:pPr>
            <w:r>
              <w:rPr>
                <w:sz w:val="15"/>
                <w:szCs w:val="15"/>
              </w:rPr>
              <w:t xml:space="preserve">Used only during installation of a replica Connection Server</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FW-034</w:t>
            </w:r>
          </w:p>
        </w:tc>
        <w:tc>
          <w:tcPr>
            <w:tcW w:w="2600" w:type="dxa"/>
            <w:shd w:val="clear" w:fill="F3F1EC"/>
            <w:noWrap/>
          </w:tcPr>
          <w:p>
            <w:pPr>
              <w:pStyle w:val="cell"/>
            </w:pPr>
            <w:r>
              <w:rPr>
                <w:sz w:val="15"/>
                <w:szCs w:val="15"/>
              </w:rPr>
              <w:t xml:space="preserve">Horizon server zone: Connection Server</w:t>
            </w:r>
          </w:p>
        </w:tc>
        <w:tc>
          <w:tcPr>
            <w:tcW w:w="2600" w:type="dxa"/>
            <w:shd w:val="clear" w:fill="F3F1EC"/>
            <w:noWrap/>
          </w:tcPr>
          <w:p>
            <w:pPr>
              <w:pStyle w:val="cell"/>
            </w:pPr>
            <w:r>
              <w:rPr>
                <w:sz w:val="15"/>
                <w:szCs w:val="15"/>
              </w:rPr>
              <w:t xml:space="preserve">Horizon server zone: Connection Server (replica)</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4100</w:t>
            </w:r>
          </w:p>
        </w:tc>
        <w:tc>
          <w:tcPr>
            <w:tcW w:w="3600" w:type="dxa"/>
            <w:shd w:val="clear" w:fill="F3F1EC"/>
            <w:noWrap/>
          </w:tcPr>
          <w:p>
            <w:pPr>
              <w:pStyle w:val="cell"/>
            </w:pPr>
            <w:r>
              <w:rPr>
                <w:sz w:val="15"/>
                <w:szCs w:val="15"/>
              </w:rPr>
              <w:t xml:space="preserve">JMS inter-router traffic between replicated Connection Servers</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FW-035</w:t>
            </w:r>
          </w:p>
        </w:tc>
        <w:tc>
          <w:tcPr>
            <w:tcW w:w="2600" w:type="dxa"/>
            <w:noWrap/>
          </w:tcPr>
          <w:p>
            <w:pPr>
              <w:pStyle w:val="cell"/>
            </w:pPr>
            <w:r>
              <w:rPr>
                <w:sz w:val="15"/>
                <w:szCs w:val="15"/>
              </w:rPr>
              <w:t xml:space="preserve">Horizon server zone: Connection Server</w:t>
            </w:r>
          </w:p>
        </w:tc>
        <w:tc>
          <w:tcPr>
            <w:tcW w:w="2600" w:type="dxa"/>
            <w:noWrap/>
          </w:tcPr>
          <w:p>
            <w:pPr>
              <w:pStyle w:val="cell"/>
            </w:pPr>
            <w:r>
              <w:rPr>
                <w:sz w:val="15"/>
                <w:szCs w:val="15"/>
              </w:rPr>
              <w:t xml:space="preserve">Horizon server zone: Connection Server (replica)</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4101</w:t>
            </w:r>
          </w:p>
        </w:tc>
        <w:tc>
          <w:tcPr>
            <w:tcW w:w="3600" w:type="dxa"/>
            <w:noWrap/>
          </w:tcPr>
          <w:p>
            <w:pPr>
              <w:pStyle w:val="cell"/>
            </w:pPr>
            <w:r>
              <w:rPr>
                <w:sz w:val="15"/>
                <w:szCs w:val="15"/>
              </w:rPr>
              <w:t xml:space="preserve">JMS SSL inter-router traffic between replicated Connection Servers</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FW-036</w:t>
            </w:r>
          </w:p>
        </w:tc>
        <w:tc>
          <w:tcPr>
            <w:tcW w:w="2600" w:type="dxa"/>
            <w:shd w:val="clear" w:fill="F3F1EC"/>
            <w:noWrap/>
          </w:tcPr>
          <w:p>
            <w:pPr>
              <w:pStyle w:val="cell"/>
            </w:pPr>
            <w:r>
              <w:rPr>
                <w:sz w:val="15"/>
                <w:szCs w:val="15"/>
              </w:rPr>
              <w:t xml:space="preserve">Horizon server zone: Connection Server</w:t>
            </w:r>
          </w:p>
        </w:tc>
        <w:tc>
          <w:tcPr>
            <w:tcW w:w="2600" w:type="dxa"/>
            <w:shd w:val="clear" w:fill="F3F1EC"/>
            <w:noWrap/>
          </w:tcPr>
          <w:p>
            <w:pPr>
              <w:pStyle w:val="cell"/>
            </w:pPr>
            <w:r>
              <w:rPr>
                <w:sz w:val="15"/>
                <w:szCs w:val="15"/>
              </w:rPr>
              <w:t xml:space="preserve">Horizon server zone: Connection Server (replica)</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32111</w:t>
            </w:r>
          </w:p>
        </w:tc>
        <w:tc>
          <w:tcPr>
            <w:tcW w:w="3600" w:type="dxa"/>
            <w:shd w:val="clear" w:fill="F3F1EC"/>
            <w:noWrap/>
          </w:tcPr>
          <w:p>
            <w:pPr>
              <w:pStyle w:val="cell"/>
            </w:pPr>
            <w:r>
              <w:rPr>
                <w:sz w:val="15"/>
                <w:szCs w:val="15"/>
              </w:rPr>
              <w:t xml:space="preserve">Replica installation, cluster master secret rekey, partition migration, CPA join</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FW-037</w:t>
            </w:r>
          </w:p>
        </w:tc>
        <w:tc>
          <w:tcPr>
            <w:tcW w:w="2600" w:type="dxa"/>
            <w:noWrap/>
          </w:tcPr>
          <w:p>
            <w:pPr>
              <w:pStyle w:val="cell"/>
            </w:pPr>
            <w:r>
              <w:rPr>
                <w:sz w:val="15"/>
                <w:szCs w:val="15"/>
              </w:rPr>
              <w:t xml:space="preserve">Horizon server zone: Connection Server</w:t>
            </w:r>
          </w:p>
        </w:tc>
        <w:tc>
          <w:tcPr>
            <w:tcW w:w="2600" w:type="dxa"/>
            <w:noWrap/>
          </w:tcPr>
          <w:p>
            <w:pPr>
              <w:pStyle w:val="cell"/>
            </w:pPr>
            <w:r>
              <w:rPr>
                <w:sz w:val="15"/>
                <w:szCs w:val="15"/>
              </w:rPr>
              <w:t xml:space="preserve">Horizon server zone: Connection Server (replica)</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49152-65535</w:t>
            </w:r>
          </w:p>
        </w:tc>
        <w:tc>
          <w:tcPr>
            <w:tcW w:w="3600" w:type="dxa"/>
            <w:noWrap/>
          </w:tcPr>
          <w:p>
            <w:pPr>
              <w:pStyle w:val="cell"/>
            </w:pPr>
            <w:r>
              <w:rPr>
                <w:sz w:val="15"/>
                <w:szCs w:val="15"/>
              </w:rPr>
              <w:t xml:space="preserve">MS-RPC dynamic client port range for replication</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FW-038</w:t>
            </w:r>
          </w:p>
        </w:tc>
        <w:tc>
          <w:tcPr>
            <w:tcW w:w="2600" w:type="dxa"/>
            <w:shd w:val="clear" w:fill="F3F1EC"/>
            <w:noWrap/>
          </w:tcPr>
          <w:p>
            <w:pPr>
              <w:pStyle w:val="cell"/>
            </w:pPr>
            <w:r>
              <w:rPr>
                <w:sz w:val="15"/>
                <w:szCs w:val="15"/>
              </w:rPr>
              <w:t xml:space="preserve">Horizon server zone: Connection Server</w:t>
            </w:r>
          </w:p>
        </w:tc>
        <w:tc>
          <w:tcPr>
            <w:tcW w:w="2600" w:type="dxa"/>
            <w:shd w:val="clear" w:fill="F3F1EC"/>
            <w:noWrap/>
          </w:tcPr>
          <w:p>
            <w:pPr>
              <w:pStyle w:val="cell"/>
            </w:pPr>
            <w:r>
              <w:rPr>
                <w:sz w:val="15"/>
                <w:szCs w:val="15"/>
              </w:rPr>
              <w:t xml:space="preserve">Identity (AD, DNS, DHCP, PKI): DNS servers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53</w:t>
            </w:r>
          </w:p>
        </w:tc>
        <w:tc>
          <w:tcPr>
            <w:tcW w:w="3600" w:type="dxa"/>
            <w:shd w:val="clear" w:fill="F3F1EC"/>
            <w:noWrap/>
          </w:tcPr>
          <w:p>
            <w:pPr>
              <w:pStyle w:val="cell"/>
            </w:pPr>
            <w:r>
              <w:rPr>
                <w:sz w:val="15"/>
                <w:szCs w:val="15"/>
              </w:rPr>
              <w:t xml:space="preserve">DNS — locate domain controllers</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Service overview and network port requirements for Windows</w:t>
            </w:r>
          </w:p>
        </w:tc>
      </w:tr>
      <w:tr>
        <w:trPr>
          <w:cantSplit w:val="1"/>
        </w:trPr>
        <w:tc>
          <w:tcPr>
            <w:tcW w:w="700" w:type="dxa"/>
            <w:noWrap/>
          </w:tcPr>
          <w:p>
            <w:pPr>
              <w:pStyle w:val="cell"/>
            </w:pPr>
            <w:r>
              <w:rPr>
                <w:sz w:val="15"/>
                <w:szCs w:val="15"/>
              </w:rPr>
              <w:t xml:space="preserve">FW-039</w:t>
            </w:r>
          </w:p>
        </w:tc>
        <w:tc>
          <w:tcPr>
            <w:tcW w:w="2600" w:type="dxa"/>
            <w:noWrap/>
          </w:tcPr>
          <w:p>
            <w:pPr>
              <w:pStyle w:val="cell"/>
            </w:pPr>
            <w:r>
              <w:rPr>
                <w:sz w:val="15"/>
                <w:szCs w:val="15"/>
              </w:rPr>
              <w:t xml:space="preserve">Horizon server zone: Connection Server</w:t>
            </w:r>
          </w:p>
        </w:tc>
        <w:tc>
          <w:tcPr>
            <w:tcW w:w="2600" w:type="dxa"/>
            <w:noWrap/>
          </w:tcPr>
          <w:p>
            <w:pPr>
              <w:pStyle w:val="cell"/>
            </w:pPr>
            <w:r>
              <w:rPr>
                <w:sz w:val="15"/>
                <w:szCs w:val="15"/>
              </w:rPr>
              <w:t xml:space="preserve">Identity (AD, DNS, DHCP, PKI): DNS servers</w:t>
            </w:r>
          </w:p>
        </w:tc>
        <w:tc>
          <w:tcPr>
            <w:tcW w:w="700" w:type="dxa"/>
            <w:noWrap/>
          </w:tcPr>
          <w:p>
            <w:pPr>
              <w:pStyle w:val="cell"/>
            </w:pPr>
            <w:r>
              <w:rPr>
                <w:sz w:val="15"/>
                <w:szCs w:val="15"/>
              </w:rPr>
              <w:t xml:space="preserve">UDP</w:t>
            </w:r>
          </w:p>
        </w:tc>
        <w:tc>
          <w:tcPr>
            <w:tcW w:w="1100" w:type="dxa"/>
            <w:noWrap/>
          </w:tcPr>
          <w:p>
            <w:pPr>
              <w:pStyle w:val="cell"/>
            </w:pPr>
            <w:r>
              <w:rPr>
                <w:sz w:val="15"/>
                <w:szCs w:val="15"/>
              </w:rPr>
              <w:t xml:space="preserve">53</w:t>
            </w:r>
          </w:p>
        </w:tc>
        <w:tc>
          <w:tcPr>
            <w:tcW w:w="3600" w:type="dxa"/>
            <w:noWrap/>
          </w:tcPr>
          <w:p>
            <w:pPr>
              <w:pStyle w:val="cell"/>
            </w:pPr>
            <w:r>
              <w:rPr>
                <w:sz w:val="15"/>
                <w:szCs w:val="15"/>
              </w:rPr>
              <w:t xml:space="preserve">DNS — locate domain controllers</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Service overview and network port requirements for Windows</w:t>
            </w:r>
          </w:p>
        </w:tc>
      </w:tr>
      <w:tr>
        <w:trPr>
          <w:cantSplit w:val="1"/>
        </w:trPr>
        <w:tc>
          <w:tcPr>
            <w:tcW w:w="700" w:type="dxa"/>
            <w:shd w:val="clear" w:fill="F3F1EC"/>
            <w:noWrap/>
          </w:tcPr>
          <w:p>
            <w:pPr>
              <w:pStyle w:val="cell"/>
            </w:pPr>
            <w:r>
              <w:rPr>
                <w:sz w:val="15"/>
                <w:szCs w:val="15"/>
              </w:rPr>
              <w:t xml:space="preserve">FW-040</w:t>
            </w:r>
          </w:p>
        </w:tc>
        <w:tc>
          <w:tcPr>
            <w:tcW w:w="2600" w:type="dxa"/>
            <w:shd w:val="clear" w:fill="F3F1EC"/>
            <w:noWrap/>
          </w:tcPr>
          <w:p>
            <w:pPr>
              <w:pStyle w:val="cell"/>
            </w:pPr>
            <w:r>
              <w:rPr>
                <w:sz w:val="15"/>
                <w:szCs w:val="15"/>
              </w:rPr>
              <w:t xml:space="preserve">Horizon server zone: Connection Server</w:t>
            </w:r>
          </w:p>
        </w:tc>
        <w:tc>
          <w:tcPr>
            <w:tcW w:w="2600" w:type="dxa"/>
            <w:shd w:val="clear" w:fill="F3F1EC"/>
            <w:noWrap/>
          </w:tcPr>
          <w:p>
            <w:pPr>
              <w:pStyle w:val="cell"/>
            </w:pPr>
            <w:r>
              <w:rPr>
                <w:sz w:val="15"/>
                <w:szCs w:val="15"/>
              </w:rPr>
              <w:t xml:space="preserve">Identity (AD, DNS, DHCP, PKI): Domain controllers / time source</w:t>
            </w:r>
          </w:p>
        </w:tc>
        <w:tc>
          <w:tcPr>
            <w:tcW w:w="700" w:type="dxa"/>
            <w:shd w:val="clear" w:fill="F3F1EC"/>
            <w:noWrap/>
          </w:tcPr>
          <w:p>
            <w:pPr>
              <w:pStyle w:val="cell"/>
            </w:pPr>
            <w:r>
              <w:rPr>
                <w:sz w:val="15"/>
                <w:szCs w:val="15"/>
              </w:rPr>
              <w:t xml:space="preserve">UDP</w:t>
            </w:r>
          </w:p>
        </w:tc>
        <w:tc>
          <w:tcPr>
            <w:tcW w:w="1100" w:type="dxa"/>
            <w:shd w:val="clear" w:fill="F3F1EC"/>
            <w:noWrap/>
          </w:tcPr>
          <w:p>
            <w:pPr>
              <w:pStyle w:val="cell"/>
            </w:pPr>
            <w:r>
              <w:rPr>
                <w:sz w:val="15"/>
                <w:szCs w:val="15"/>
              </w:rPr>
              <w:t xml:space="preserve">123</w:t>
            </w:r>
          </w:p>
        </w:tc>
        <w:tc>
          <w:tcPr>
            <w:tcW w:w="3600" w:type="dxa"/>
            <w:shd w:val="clear" w:fill="F3F1EC"/>
            <w:noWrap/>
          </w:tcPr>
          <w:p>
            <w:pPr>
              <w:pStyle w:val="cell"/>
            </w:pPr>
            <w:r>
              <w:rPr>
                <w:sz w:val="15"/>
                <w:szCs w:val="15"/>
              </w:rPr>
              <w:t xml:space="preserve">Windows Time (NTP)</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Service overview and network port requirements for Windows</w:t>
            </w:r>
          </w:p>
        </w:tc>
      </w:tr>
      <w:tr>
        <w:trPr>
          <w:cantSplit w:val="1"/>
        </w:trPr>
        <w:tc>
          <w:tcPr>
            <w:tcW w:w="700" w:type="dxa"/>
            <w:noWrap/>
          </w:tcPr>
          <w:p>
            <w:pPr>
              <w:pStyle w:val="cell"/>
            </w:pPr>
            <w:r>
              <w:rPr>
                <w:sz w:val="15"/>
                <w:szCs w:val="15"/>
              </w:rPr>
              <w:t xml:space="preserve">FW-041</w:t>
            </w:r>
          </w:p>
        </w:tc>
        <w:tc>
          <w:tcPr>
            <w:tcW w:w="2600" w:type="dxa"/>
            <w:noWrap/>
          </w:tcPr>
          <w:p>
            <w:pPr>
              <w:pStyle w:val="cell"/>
            </w:pPr>
            <w:r>
              <w:rPr>
                <w:sz w:val="15"/>
                <w:szCs w:val="15"/>
              </w:rPr>
              <w:t xml:space="preserve">Horizon server zone: Connection Server</w:t>
            </w:r>
          </w:p>
        </w:tc>
        <w:tc>
          <w:tcPr>
            <w:tcW w:w="2600" w:type="dxa"/>
            <w:noWrap/>
          </w:tcPr>
          <w:p>
            <w:pPr>
              <w:pStyle w:val="cell"/>
            </w:pPr>
            <w:r>
              <w:rPr>
                <w:sz w:val="15"/>
                <w:szCs w:val="15"/>
              </w:rPr>
              <w:t xml:space="preserve">Horizon server zone: Enrollment Server (True SSO)</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32111</w:t>
            </w:r>
          </w:p>
        </w:tc>
        <w:tc>
          <w:tcPr>
            <w:tcW w:w="3600" w:type="dxa"/>
            <w:noWrap/>
          </w:tcPr>
          <w:p>
            <w:pPr>
              <w:pStyle w:val="cell"/>
            </w:pPr>
            <w:r>
              <w:rPr>
                <w:sz w:val="15"/>
                <w:szCs w:val="15"/>
              </w:rPr>
              <w:t xml:space="preserve">Framework channel to the Enrollment Server</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FW-042</w:t>
            </w:r>
          </w:p>
        </w:tc>
        <w:tc>
          <w:tcPr>
            <w:tcW w:w="2600" w:type="dxa"/>
            <w:shd w:val="clear" w:fill="F3F1EC"/>
            <w:noWrap/>
          </w:tcPr>
          <w:p>
            <w:pPr>
              <w:pStyle w:val="cell"/>
            </w:pPr>
            <w:r>
              <w:rPr>
                <w:sz w:val="15"/>
                <w:szCs w:val="15"/>
              </w:rPr>
              <w:t xml:space="preserve">Horizon server zone: Connection Server</w:t>
            </w:r>
          </w:p>
        </w:tc>
        <w:tc>
          <w:tcPr>
            <w:tcW w:w="2600" w:type="dxa"/>
            <w:shd w:val="clear" w:fill="F3F1EC"/>
            <w:noWrap/>
          </w:tcPr>
          <w:p>
            <w:pPr>
              <w:pStyle w:val="cell"/>
            </w:pPr>
            <w:r>
              <w:rPr>
                <w:sz w:val="15"/>
                <w:szCs w:val="15"/>
              </w:rPr>
              <w:t xml:space="preserve">Horizon server zone: Events database (Microsoft SQL Server)</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1433</w:t>
            </w:r>
          </w:p>
        </w:tc>
        <w:tc>
          <w:tcPr>
            <w:tcW w:w="3600" w:type="dxa"/>
            <w:shd w:val="clear" w:fill="F3F1EC"/>
            <w:noWrap/>
          </w:tcPr>
          <w:p>
            <w:pPr>
              <w:pStyle w:val="cell"/>
            </w:pPr>
            <w:r>
              <w:rPr>
                <w:sz w:val="15"/>
                <w:szCs w:val="15"/>
              </w:rPr>
              <w:t xml:space="preserve">Horizon events database</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FW-043</w:t>
            </w:r>
          </w:p>
        </w:tc>
        <w:tc>
          <w:tcPr>
            <w:tcW w:w="2600" w:type="dxa"/>
            <w:noWrap/>
          </w:tcPr>
          <w:p>
            <w:pPr>
              <w:pStyle w:val="cell"/>
            </w:pPr>
            <w:r>
              <w:rPr>
                <w:sz w:val="15"/>
                <w:szCs w:val="15"/>
              </w:rPr>
              <w:t xml:space="preserve">Horizon server zone: Connection Server</w:t>
            </w:r>
          </w:p>
        </w:tc>
        <w:tc>
          <w:tcPr>
            <w:tcW w:w="2600" w:type="dxa"/>
            <w:noWrap/>
          </w:tcPr>
          <w:p>
            <w:pPr>
              <w:pStyle w:val="cell"/>
            </w:pPr>
            <w:r>
              <w:rPr>
                <w:sz w:val="15"/>
                <w:szCs w:val="15"/>
              </w:rPr>
              <w:t xml:space="preserve">Desktop and RDS zone: Horizon Agent (desktops / RDS hosts)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32111</w:t>
            </w:r>
          </w:p>
        </w:tc>
        <w:tc>
          <w:tcPr>
            <w:tcW w:w="3600" w:type="dxa"/>
            <w:noWrap/>
          </w:tcPr>
          <w:p>
            <w:pPr>
              <w:pStyle w:val="cell"/>
            </w:pPr>
            <w:r>
              <w:rPr>
                <w:sz w:val="15"/>
                <w:szCs w:val="15"/>
              </w:rPr>
              <w:t xml:space="preserve">Framework channel (vdmadmin, e.g. Data Collection Tool bundles)</w:t>
            </w:r>
          </w:p>
        </w:tc>
        <w:tc>
          <w:tcPr>
            <w:tcW w:w="1000" w:type="dxa"/>
            <w:noWrap/>
          </w:tcPr>
          <w:p>
            <w:pPr>
              <w:pStyle w:val="cell"/>
            </w:pPr>
            <w:r>
              <w:rPr>
                <w:sz w:val="15"/>
                <w:szCs w:val="15"/>
              </w:rPr>
              <w:t xml:space="preserve">Optional</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FW-044</w:t>
            </w:r>
          </w:p>
        </w:tc>
        <w:tc>
          <w:tcPr>
            <w:tcW w:w="2600" w:type="dxa"/>
            <w:shd w:val="clear" w:fill="F3F1EC"/>
            <w:noWrap/>
          </w:tcPr>
          <w:p>
            <w:pPr>
              <w:pStyle w:val="cell"/>
            </w:pPr>
            <w:r>
              <w:rPr>
                <w:sz w:val="15"/>
                <w:szCs w:val="15"/>
              </w:rPr>
              <w:t xml:space="preserve">Horizon server zone: Connection Server</w:t>
            </w:r>
          </w:p>
        </w:tc>
        <w:tc>
          <w:tcPr>
            <w:tcW w:w="2600" w:type="dxa"/>
            <w:shd w:val="clear" w:fill="F3F1EC"/>
            <w:noWrap/>
          </w:tcPr>
          <w:p>
            <w:pPr>
              <w:pStyle w:val="cell"/>
            </w:pPr>
            <w:r>
              <w:rPr>
                <w:sz w:val="15"/>
                <w:szCs w:val="15"/>
              </w:rPr>
              <w:t xml:space="preserve">Management: VMware vCenter Server</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443</w:t>
            </w:r>
          </w:p>
        </w:tc>
        <w:tc>
          <w:tcPr>
            <w:tcW w:w="3600" w:type="dxa"/>
            <w:shd w:val="clear" w:fill="F3F1EC"/>
            <w:noWrap/>
          </w:tcPr>
          <w:p>
            <w:pPr>
              <w:pStyle w:val="cell"/>
            </w:pPr>
            <w:r>
              <w:rPr>
                <w:sz w:val="15"/>
                <w:szCs w:val="15"/>
              </w:rPr>
              <w:t xml:space="preserve">SDK and API access (provisioning, power operations)</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FW-045</w:t>
            </w:r>
          </w:p>
        </w:tc>
        <w:tc>
          <w:tcPr>
            <w:tcW w:w="2600" w:type="dxa"/>
            <w:noWrap/>
          </w:tcPr>
          <w:p>
            <w:pPr>
              <w:pStyle w:val="cell"/>
            </w:pPr>
            <w:r>
              <w:rPr>
                <w:sz w:val="15"/>
                <w:szCs w:val="15"/>
              </w:rPr>
              <w:t xml:space="preserve">Horizon server zone: Enrollment Server (True SSO)</w:t>
            </w:r>
          </w:p>
        </w:tc>
        <w:tc>
          <w:tcPr>
            <w:tcW w:w="2600" w:type="dxa"/>
            <w:noWrap/>
          </w:tcPr>
          <w:p>
            <w:pPr>
              <w:pStyle w:val="cell"/>
            </w:pPr>
            <w:r>
              <w:rPr>
                <w:sz w:val="15"/>
                <w:szCs w:val="15"/>
              </w:rPr>
              <w:t xml:space="preserve">Identity (AD, DNS, DHCP, PKI): Active Directory domain controllers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53, 88, 389, 135, 49152-65535</w:t>
            </w:r>
          </w:p>
        </w:tc>
        <w:tc>
          <w:tcPr>
            <w:tcW w:w="3600" w:type="dxa"/>
            <w:noWrap/>
          </w:tcPr>
          <w:p>
            <w:pPr>
              <w:pStyle w:val="cell"/>
            </w:pPr>
            <w:r>
              <w:rPr>
                <w:sz w:val="15"/>
                <w:szCs w:val="15"/>
              </w:rPr>
              <w:t xml:space="preserve">DC discovery, bind and query</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FW-046</w:t>
            </w:r>
          </w:p>
        </w:tc>
        <w:tc>
          <w:tcPr>
            <w:tcW w:w="2600" w:type="dxa"/>
            <w:shd w:val="clear" w:fill="F3F1EC"/>
            <w:noWrap/>
          </w:tcPr>
          <w:p>
            <w:pPr>
              <w:pStyle w:val="cell"/>
            </w:pPr>
            <w:r>
              <w:rPr>
                <w:sz w:val="15"/>
                <w:szCs w:val="15"/>
              </w:rPr>
              <w:t xml:space="preserve">Horizon server zone: Enrollment Server (True SSO)</w:t>
            </w:r>
          </w:p>
        </w:tc>
        <w:tc>
          <w:tcPr>
            <w:tcW w:w="2600" w:type="dxa"/>
            <w:shd w:val="clear" w:fill="F3F1EC"/>
            <w:noWrap/>
          </w:tcPr>
          <w:p>
            <w:pPr>
              <w:pStyle w:val="cell"/>
            </w:pPr>
            <w:r>
              <w:rPr>
                <w:sz w:val="15"/>
                <w:szCs w:val="15"/>
              </w:rPr>
              <w:t xml:space="preserve">Identity (AD, DNS, DHCP, PKI): Active Directory domain controllers</w:t>
            </w:r>
          </w:p>
        </w:tc>
        <w:tc>
          <w:tcPr>
            <w:tcW w:w="700" w:type="dxa"/>
            <w:shd w:val="clear" w:fill="F3F1EC"/>
            <w:noWrap/>
          </w:tcPr>
          <w:p>
            <w:pPr>
              <w:pStyle w:val="cell"/>
            </w:pPr>
            <w:r>
              <w:rPr>
                <w:sz w:val="15"/>
                <w:szCs w:val="15"/>
              </w:rPr>
              <w:t xml:space="preserve">UDP</w:t>
            </w:r>
          </w:p>
        </w:tc>
        <w:tc>
          <w:tcPr>
            <w:tcW w:w="1100" w:type="dxa"/>
            <w:shd w:val="clear" w:fill="F3F1EC"/>
            <w:noWrap/>
          </w:tcPr>
          <w:p>
            <w:pPr>
              <w:pStyle w:val="cell"/>
            </w:pPr>
            <w:r>
              <w:rPr>
                <w:sz w:val="15"/>
                <w:szCs w:val="15"/>
              </w:rPr>
              <w:t xml:space="preserve">53, 88, 389, 135, 49152-65535</w:t>
            </w:r>
          </w:p>
        </w:tc>
        <w:tc>
          <w:tcPr>
            <w:tcW w:w="3600" w:type="dxa"/>
            <w:shd w:val="clear" w:fill="F3F1EC"/>
            <w:noWrap/>
          </w:tcPr>
          <w:p>
            <w:pPr>
              <w:pStyle w:val="cell"/>
            </w:pPr>
            <w:r>
              <w:rPr>
                <w:sz w:val="15"/>
                <w:szCs w:val="15"/>
              </w:rPr>
              <w:t xml:space="preserve">DC discovery, bind and query</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FW-047</w:t>
            </w:r>
          </w:p>
        </w:tc>
        <w:tc>
          <w:tcPr>
            <w:tcW w:w="2600" w:type="dxa"/>
            <w:noWrap/>
          </w:tcPr>
          <w:p>
            <w:pPr>
              <w:pStyle w:val="cell"/>
            </w:pPr>
            <w:r>
              <w:rPr>
                <w:sz w:val="15"/>
                <w:szCs w:val="15"/>
              </w:rPr>
              <w:t xml:space="preserve">Horizon server zone: Enrollment Server (True SSO)</w:t>
            </w:r>
          </w:p>
        </w:tc>
        <w:tc>
          <w:tcPr>
            <w:tcW w:w="2600" w:type="dxa"/>
            <w:noWrap/>
          </w:tcPr>
          <w:p>
            <w:pPr>
              <w:pStyle w:val="cell"/>
            </w:pPr>
            <w:r>
              <w:rPr>
                <w:sz w:val="15"/>
                <w:szCs w:val="15"/>
              </w:rPr>
              <w:t xml:space="preserve">Identity (AD, DNS, DHCP, PKI): Microsoft Certificate Authority</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135</w:t>
            </w:r>
          </w:p>
        </w:tc>
        <w:tc>
          <w:tcPr>
            <w:tcW w:w="3600" w:type="dxa"/>
            <w:noWrap/>
          </w:tcPr>
          <w:p>
            <w:pPr>
              <w:pStyle w:val="cell"/>
            </w:pPr>
            <w:r>
              <w:rPr>
                <w:sz w:val="15"/>
                <w:szCs w:val="15"/>
              </w:rPr>
              <w:t xml:space="preserve">Initial RPC to the CA for short-lived logon certificates</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FW-048</w:t>
            </w:r>
          </w:p>
        </w:tc>
        <w:tc>
          <w:tcPr>
            <w:tcW w:w="2600" w:type="dxa"/>
            <w:shd w:val="clear" w:fill="F3F1EC"/>
            <w:noWrap/>
          </w:tcPr>
          <w:p>
            <w:pPr>
              <w:pStyle w:val="cell"/>
            </w:pPr>
            <w:r>
              <w:rPr>
                <w:sz w:val="15"/>
                <w:szCs w:val="15"/>
              </w:rPr>
              <w:t xml:space="preserve">Horizon server zone: Enrollment Server (True SSO)</w:t>
            </w:r>
          </w:p>
        </w:tc>
        <w:tc>
          <w:tcPr>
            <w:tcW w:w="2600" w:type="dxa"/>
            <w:shd w:val="clear" w:fill="F3F1EC"/>
            <w:noWrap/>
          </w:tcPr>
          <w:p>
            <w:pPr>
              <w:pStyle w:val="cell"/>
            </w:pPr>
            <w:r>
              <w:rPr>
                <w:sz w:val="15"/>
                <w:szCs w:val="15"/>
              </w:rPr>
              <w:t xml:space="preserve">Identity (AD, DNS, DHCP, PKI): Microsoft Certificate Authority</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1024-5000, 49152-65535</w:t>
            </w:r>
          </w:p>
        </w:tc>
        <w:tc>
          <w:tcPr>
            <w:tcW w:w="3600" w:type="dxa"/>
            <w:shd w:val="clear" w:fill="F3F1EC"/>
            <w:noWrap/>
          </w:tcPr>
          <w:p>
            <w:pPr>
              <w:pStyle w:val="cell"/>
            </w:pPr>
            <w:r>
              <w:rPr>
                <w:sz w:val="15"/>
                <w:szCs w:val="15"/>
              </w:rPr>
              <w:t xml:space="preserve">Dynamic RPC to the CA after the endpoint mapper</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FW-049</w:t>
            </w:r>
          </w:p>
        </w:tc>
        <w:tc>
          <w:tcPr>
            <w:tcW w:w="2600" w:type="dxa"/>
            <w:noWrap/>
          </w:tcPr>
          <w:p>
            <w:pPr>
              <w:pStyle w:val="cell"/>
            </w:pPr>
            <w:r>
              <w:rPr>
                <w:sz w:val="15"/>
                <w:szCs w:val="15"/>
              </w:rPr>
              <w:t xml:space="preserve">Horizon server zone: Horizon Recording Server</w:t>
            </w:r>
          </w:p>
        </w:tc>
        <w:tc>
          <w:tcPr>
            <w:tcW w:w="2600" w:type="dxa"/>
            <w:noWrap/>
          </w:tcPr>
          <w:p>
            <w:pPr>
              <w:pStyle w:val="cell"/>
            </w:pPr>
            <w:r>
              <w:rPr>
                <w:sz w:val="15"/>
                <w:szCs w:val="15"/>
              </w:rPr>
              <w:t xml:space="preserve">File services: File shares (recordings)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445</w:t>
            </w:r>
          </w:p>
        </w:tc>
        <w:tc>
          <w:tcPr>
            <w:tcW w:w="3600" w:type="dxa"/>
            <w:noWrap/>
          </w:tcPr>
          <w:p>
            <w:pPr>
              <w:pStyle w:val="cell"/>
            </w:pPr>
            <w:r>
              <w:rPr>
                <w:sz w:val="15"/>
                <w:szCs w:val="15"/>
              </w:rPr>
              <w:t xml:space="preserve">Recording storage</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FW-050</w:t>
            </w:r>
          </w:p>
        </w:tc>
        <w:tc>
          <w:tcPr>
            <w:tcW w:w="2600" w:type="dxa"/>
            <w:shd w:val="clear" w:fill="F3F1EC"/>
            <w:noWrap/>
          </w:tcPr>
          <w:p>
            <w:pPr>
              <w:pStyle w:val="cell"/>
            </w:pPr>
            <w:r>
              <w:rPr>
                <w:sz w:val="15"/>
                <w:szCs w:val="15"/>
              </w:rPr>
              <w:t xml:space="preserve">Horizon server zone: Horizon Recording Server</w:t>
            </w:r>
          </w:p>
        </w:tc>
        <w:tc>
          <w:tcPr>
            <w:tcW w:w="2600" w:type="dxa"/>
            <w:shd w:val="clear" w:fill="F3F1EC"/>
            <w:noWrap/>
          </w:tcPr>
          <w:p>
            <w:pPr>
              <w:pStyle w:val="cell"/>
            </w:pPr>
            <w:r>
              <w:rPr>
                <w:sz w:val="15"/>
                <w:szCs w:val="15"/>
              </w:rPr>
              <w:t xml:space="preserve">Horizon server zone: Horizon Recording Server (other instances)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9443</w:t>
            </w:r>
          </w:p>
        </w:tc>
        <w:tc>
          <w:tcPr>
            <w:tcW w:w="3600" w:type="dxa"/>
            <w:shd w:val="clear" w:fill="F3F1EC"/>
            <w:noWrap/>
          </w:tcPr>
          <w:p>
            <w:pPr>
              <w:pStyle w:val="cell"/>
            </w:pPr>
            <w:r>
              <w:rPr>
                <w:sz w:val="15"/>
                <w:szCs w:val="15"/>
              </w:rPr>
              <w:t xml:space="preserve">Configuration import between recording servers</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FW-051</w:t>
            </w:r>
          </w:p>
        </w:tc>
        <w:tc>
          <w:tcPr>
            <w:tcW w:w="2600" w:type="dxa"/>
            <w:noWrap/>
          </w:tcPr>
          <w:p>
            <w:pPr>
              <w:pStyle w:val="cell"/>
            </w:pPr>
            <w:r>
              <w:rPr>
                <w:sz w:val="15"/>
                <w:szCs w:val="15"/>
              </w:rPr>
              <w:t xml:space="preserve">Horizon server zone: Horizon Recording Server</w:t>
            </w:r>
          </w:p>
        </w:tc>
        <w:tc>
          <w:tcPr>
            <w:tcW w:w="2600" w:type="dxa"/>
            <w:noWrap/>
          </w:tcPr>
          <w:p>
            <w:pPr>
              <w:pStyle w:val="cell"/>
            </w:pPr>
            <w:r>
              <w:rPr>
                <w:sz w:val="15"/>
                <w:szCs w:val="15"/>
              </w:rPr>
              <w:t xml:space="preserve">Horizon server zone: Recording database (SQL Server or PostgreSQL)</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1433</w:t>
            </w:r>
          </w:p>
        </w:tc>
        <w:tc>
          <w:tcPr>
            <w:tcW w:w="3600" w:type="dxa"/>
            <w:noWrap/>
          </w:tcPr>
          <w:p>
            <w:pPr>
              <w:pStyle w:val="cell"/>
            </w:pPr>
            <w:r>
              <w:rPr>
                <w:sz w:val="15"/>
                <w:szCs w:val="15"/>
              </w:rPr>
              <w:t xml:space="preserve">Recording metadata database</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FW-052</w:t>
            </w:r>
          </w:p>
        </w:tc>
        <w:tc>
          <w:tcPr>
            <w:tcW w:w="2600" w:type="dxa"/>
            <w:shd w:val="clear" w:fill="F3F1EC"/>
            <w:noWrap/>
          </w:tcPr>
          <w:p>
            <w:pPr>
              <w:pStyle w:val="cell"/>
            </w:pPr>
            <w:r>
              <w:rPr>
                <w:sz w:val="15"/>
                <w:szCs w:val="15"/>
              </w:rPr>
              <w:t xml:space="preserve">Desktop and RDS zone: DEM FlexEngine (desktops / RDS hosts)</w:t>
            </w:r>
          </w:p>
        </w:tc>
        <w:tc>
          <w:tcPr>
            <w:tcW w:w="2600" w:type="dxa"/>
            <w:shd w:val="clear" w:fill="F3F1EC"/>
            <w:noWrap/>
          </w:tcPr>
          <w:p>
            <w:pPr>
              <w:pStyle w:val="cell"/>
            </w:pPr>
            <w:r>
              <w:rPr>
                <w:sz w:val="15"/>
                <w:szCs w:val="15"/>
              </w:rPr>
              <w:t xml:space="preserve">File services: File shares (DEM configuration and profile archives)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445</w:t>
            </w:r>
          </w:p>
        </w:tc>
        <w:tc>
          <w:tcPr>
            <w:tcW w:w="3600" w:type="dxa"/>
            <w:shd w:val="clear" w:fill="F3F1EC"/>
            <w:noWrap/>
          </w:tcPr>
          <w:p>
            <w:pPr>
              <w:pStyle w:val="cell"/>
            </w:pPr>
            <w:r>
              <w:rPr>
                <w:sz w:val="15"/>
                <w:szCs w:val="15"/>
              </w:rPr>
              <w:t xml:space="preserve">Dynamic Environment Manager access to SMB file shares</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FW-053</w:t>
            </w:r>
          </w:p>
        </w:tc>
        <w:tc>
          <w:tcPr>
            <w:tcW w:w="2600" w:type="dxa"/>
            <w:noWrap/>
          </w:tcPr>
          <w:p>
            <w:pPr>
              <w:pStyle w:val="cell"/>
            </w:pPr>
            <w:r>
              <w:rPr>
                <w:sz w:val="15"/>
                <w:szCs w:val="15"/>
              </w:rPr>
              <w:t xml:space="preserve">Desktop and RDS zone: Desktops / RDS hosts</w:t>
            </w:r>
          </w:p>
        </w:tc>
        <w:tc>
          <w:tcPr>
            <w:tcW w:w="2600" w:type="dxa"/>
            <w:noWrap/>
          </w:tcPr>
          <w:p>
            <w:pPr>
              <w:pStyle w:val="cell"/>
            </w:pPr>
            <w:r>
              <w:rPr>
                <w:sz w:val="15"/>
                <w:szCs w:val="15"/>
              </w:rPr>
              <w:t xml:space="preserve">Identity (AD, DNS, DHCP, PKI): Active Directory domain controllers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88</w:t>
            </w:r>
          </w:p>
        </w:tc>
        <w:tc>
          <w:tcPr>
            <w:tcW w:w="3600" w:type="dxa"/>
            <w:noWrap/>
          </w:tcPr>
          <w:p>
            <w:pPr>
              <w:pStyle w:val="cell"/>
            </w:pPr>
            <w:r>
              <w:rPr>
                <w:sz w:val="15"/>
                <w:szCs w:val="15"/>
              </w:rPr>
              <w:t xml:space="preserve">Kerberos authentication</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Service overview and network port requirements for Windows</w:t>
            </w:r>
          </w:p>
        </w:tc>
      </w:tr>
      <w:tr>
        <w:trPr>
          <w:cantSplit w:val="1"/>
        </w:trPr>
        <w:tc>
          <w:tcPr>
            <w:tcW w:w="700" w:type="dxa"/>
            <w:shd w:val="clear" w:fill="F3F1EC"/>
            <w:noWrap/>
          </w:tcPr>
          <w:p>
            <w:pPr>
              <w:pStyle w:val="cell"/>
            </w:pPr>
            <w:r>
              <w:rPr>
                <w:sz w:val="15"/>
                <w:szCs w:val="15"/>
              </w:rPr>
              <w:t xml:space="preserve">FW-054</w:t>
            </w:r>
          </w:p>
        </w:tc>
        <w:tc>
          <w:tcPr>
            <w:tcW w:w="2600" w:type="dxa"/>
            <w:shd w:val="clear" w:fill="F3F1EC"/>
            <w:noWrap/>
          </w:tcPr>
          <w:p>
            <w:pPr>
              <w:pStyle w:val="cell"/>
            </w:pPr>
            <w:r>
              <w:rPr>
                <w:sz w:val="15"/>
                <w:szCs w:val="15"/>
              </w:rPr>
              <w:t xml:space="preserve">Desktop and RDS zone: Desktops / RDS hosts</w:t>
            </w:r>
          </w:p>
        </w:tc>
        <w:tc>
          <w:tcPr>
            <w:tcW w:w="2600" w:type="dxa"/>
            <w:shd w:val="clear" w:fill="F3F1EC"/>
            <w:noWrap/>
          </w:tcPr>
          <w:p>
            <w:pPr>
              <w:pStyle w:val="cell"/>
            </w:pPr>
            <w:r>
              <w:rPr>
                <w:sz w:val="15"/>
                <w:szCs w:val="15"/>
              </w:rPr>
              <w:t xml:space="preserve">Identity (AD, DNS, DHCP, PKI): Active Directory domain controllers</w:t>
            </w:r>
          </w:p>
        </w:tc>
        <w:tc>
          <w:tcPr>
            <w:tcW w:w="700" w:type="dxa"/>
            <w:shd w:val="clear" w:fill="F3F1EC"/>
            <w:noWrap/>
          </w:tcPr>
          <w:p>
            <w:pPr>
              <w:pStyle w:val="cell"/>
            </w:pPr>
            <w:r>
              <w:rPr>
                <w:sz w:val="15"/>
                <w:szCs w:val="15"/>
              </w:rPr>
              <w:t xml:space="preserve">UDP</w:t>
            </w:r>
          </w:p>
        </w:tc>
        <w:tc>
          <w:tcPr>
            <w:tcW w:w="1100" w:type="dxa"/>
            <w:shd w:val="clear" w:fill="F3F1EC"/>
            <w:noWrap/>
          </w:tcPr>
          <w:p>
            <w:pPr>
              <w:pStyle w:val="cell"/>
            </w:pPr>
            <w:r>
              <w:rPr>
                <w:sz w:val="15"/>
                <w:szCs w:val="15"/>
              </w:rPr>
              <w:t xml:space="preserve">88</w:t>
            </w:r>
          </w:p>
        </w:tc>
        <w:tc>
          <w:tcPr>
            <w:tcW w:w="3600" w:type="dxa"/>
            <w:shd w:val="clear" w:fill="F3F1EC"/>
            <w:noWrap/>
          </w:tcPr>
          <w:p>
            <w:pPr>
              <w:pStyle w:val="cell"/>
            </w:pPr>
            <w:r>
              <w:rPr>
                <w:sz w:val="15"/>
                <w:szCs w:val="15"/>
              </w:rPr>
              <w:t xml:space="preserve">Kerberos authentication</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Service overview and network port requirements for Windows</w:t>
            </w:r>
          </w:p>
        </w:tc>
      </w:tr>
      <w:tr>
        <w:trPr>
          <w:cantSplit w:val="1"/>
        </w:trPr>
        <w:tc>
          <w:tcPr>
            <w:tcW w:w="700" w:type="dxa"/>
            <w:noWrap/>
          </w:tcPr>
          <w:p>
            <w:pPr>
              <w:pStyle w:val="cell"/>
            </w:pPr>
            <w:r>
              <w:rPr>
                <w:sz w:val="15"/>
                <w:szCs w:val="15"/>
              </w:rPr>
              <w:t xml:space="preserve">FW-055</w:t>
            </w:r>
          </w:p>
        </w:tc>
        <w:tc>
          <w:tcPr>
            <w:tcW w:w="2600" w:type="dxa"/>
            <w:noWrap/>
          </w:tcPr>
          <w:p>
            <w:pPr>
              <w:pStyle w:val="cell"/>
            </w:pPr>
            <w:r>
              <w:rPr>
                <w:sz w:val="15"/>
                <w:szCs w:val="15"/>
              </w:rPr>
              <w:t xml:space="preserve">Desktop and RDS zone: Desktops / RDS hosts</w:t>
            </w:r>
          </w:p>
        </w:tc>
        <w:tc>
          <w:tcPr>
            <w:tcW w:w="2600" w:type="dxa"/>
            <w:noWrap/>
          </w:tcPr>
          <w:p>
            <w:pPr>
              <w:pStyle w:val="cell"/>
            </w:pPr>
            <w:r>
              <w:rPr>
                <w:sz w:val="15"/>
                <w:szCs w:val="15"/>
              </w:rPr>
              <w:t xml:space="preserve">Identity (AD, DNS, DHCP, PKI): Active Directory domain controllers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135</w:t>
            </w:r>
          </w:p>
        </w:tc>
        <w:tc>
          <w:tcPr>
            <w:tcW w:w="3600" w:type="dxa"/>
            <w:noWrap/>
          </w:tcPr>
          <w:p>
            <w:pPr>
              <w:pStyle w:val="cell"/>
            </w:pPr>
            <w:r>
              <w:rPr>
                <w:sz w:val="15"/>
                <w:szCs w:val="15"/>
              </w:rPr>
              <w:t xml:space="preserve">RPC endpoint mapper (Net Logon, domain join)</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Service overview and network port requirements for Windows</w:t>
            </w:r>
          </w:p>
        </w:tc>
      </w:tr>
      <w:tr>
        <w:trPr>
          <w:cantSplit w:val="1"/>
        </w:trPr>
        <w:tc>
          <w:tcPr>
            <w:tcW w:w="700" w:type="dxa"/>
            <w:shd w:val="clear" w:fill="F3F1EC"/>
            <w:noWrap/>
          </w:tcPr>
          <w:p>
            <w:pPr>
              <w:pStyle w:val="cell"/>
            </w:pPr>
            <w:r>
              <w:rPr>
                <w:sz w:val="15"/>
                <w:szCs w:val="15"/>
              </w:rPr>
              <w:t xml:space="preserve">FW-056</w:t>
            </w:r>
          </w:p>
        </w:tc>
        <w:tc>
          <w:tcPr>
            <w:tcW w:w="2600" w:type="dxa"/>
            <w:shd w:val="clear" w:fill="F3F1EC"/>
            <w:noWrap/>
          </w:tcPr>
          <w:p>
            <w:pPr>
              <w:pStyle w:val="cell"/>
            </w:pPr>
            <w:r>
              <w:rPr>
                <w:sz w:val="15"/>
                <w:szCs w:val="15"/>
              </w:rPr>
              <w:t xml:space="preserve">Desktop and RDS zone: Desktops / RDS hosts</w:t>
            </w:r>
          </w:p>
        </w:tc>
        <w:tc>
          <w:tcPr>
            <w:tcW w:w="2600" w:type="dxa"/>
            <w:shd w:val="clear" w:fill="F3F1EC"/>
            <w:noWrap/>
          </w:tcPr>
          <w:p>
            <w:pPr>
              <w:pStyle w:val="cell"/>
            </w:pPr>
            <w:r>
              <w:rPr>
                <w:sz w:val="15"/>
                <w:szCs w:val="15"/>
              </w:rPr>
              <w:t xml:space="preserve">Identity (AD, DNS, DHCP, PKI): Active Directory domain controllers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389</w:t>
            </w:r>
          </w:p>
        </w:tc>
        <w:tc>
          <w:tcPr>
            <w:tcW w:w="3600" w:type="dxa"/>
            <w:shd w:val="clear" w:fill="F3F1EC"/>
            <w:noWrap/>
          </w:tcPr>
          <w:p>
            <w:pPr>
              <w:pStyle w:val="cell"/>
            </w:pPr>
            <w:r>
              <w:rPr>
                <w:sz w:val="15"/>
                <w:szCs w:val="15"/>
              </w:rPr>
              <w:t xml:space="preserve">LDAP and DC locator</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Service overview and network port requirements for Windows</w:t>
            </w:r>
          </w:p>
        </w:tc>
      </w:tr>
      <w:tr>
        <w:trPr>
          <w:cantSplit w:val="1"/>
        </w:trPr>
        <w:tc>
          <w:tcPr>
            <w:tcW w:w="700" w:type="dxa"/>
            <w:noWrap/>
          </w:tcPr>
          <w:p>
            <w:pPr>
              <w:pStyle w:val="cell"/>
            </w:pPr>
            <w:r>
              <w:rPr>
                <w:sz w:val="15"/>
                <w:szCs w:val="15"/>
              </w:rPr>
              <w:t xml:space="preserve">FW-057</w:t>
            </w:r>
          </w:p>
        </w:tc>
        <w:tc>
          <w:tcPr>
            <w:tcW w:w="2600" w:type="dxa"/>
            <w:noWrap/>
          </w:tcPr>
          <w:p>
            <w:pPr>
              <w:pStyle w:val="cell"/>
            </w:pPr>
            <w:r>
              <w:rPr>
                <w:sz w:val="15"/>
                <w:szCs w:val="15"/>
              </w:rPr>
              <w:t xml:space="preserve">Desktop and RDS zone: Desktops / RDS hosts</w:t>
            </w:r>
          </w:p>
        </w:tc>
        <w:tc>
          <w:tcPr>
            <w:tcW w:w="2600" w:type="dxa"/>
            <w:noWrap/>
          </w:tcPr>
          <w:p>
            <w:pPr>
              <w:pStyle w:val="cell"/>
            </w:pPr>
            <w:r>
              <w:rPr>
                <w:sz w:val="15"/>
                <w:szCs w:val="15"/>
              </w:rPr>
              <w:t xml:space="preserve">Identity (AD, DNS, DHCP, PKI): Active Directory domain controllers</w:t>
            </w:r>
          </w:p>
        </w:tc>
        <w:tc>
          <w:tcPr>
            <w:tcW w:w="700" w:type="dxa"/>
            <w:noWrap/>
          </w:tcPr>
          <w:p>
            <w:pPr>
              <w:pStyle w:val="cell"/>
            </w:pPr>
            <w:r>
              <w:rPr>
                <w:sz w:val="15"/>
                <w:szCs w:val="15"/>
              </w:rPr>
              <w:t xml:space="preserve">UDP</w:t>
            </w:r>
          </w:p>
        </w:tc>
        <w:tc>
          <w:tcPr>
            <w:tcW w:w="1100" w:type="dxa"/>
            <w:noWrap/>
          </w:tcPr>
          <w:p>
            <w:pPr>
              <w:pStyle w:val="cell"/>
            </w:pPr>
            <w:r>
              <w:rPr>
                <w:sz w:val="15"/>
                <w:szCs w:val="15"/>
              </w:rPr>
              <w:t xml:space="preserve">389</w:t>
            </w:r>
          </w:p>
        </w:tc>
        <w:tc>
          <w:tcPr>
            <w:tcW w:w="3600" w:type="dxa"/>
            <w:noWrap/>
          </w:tcPr>
          <w:p>
            <w:pPr>
              <w:pStyle w:val="cell"/>
            </w:pPr>
            <w:r>
              <w:rPr>
                <w:sz w:val="15"/>
                <w:szCs w:val="15"/>
              </w:rPr>
              <w:t xml:space="preserve">LDAP and DC locator</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Service overview and network port requirements for Windows</w:t>
            </w:r>
          </w:p>
        </w:tc>
      </w:tr>
      <w:tr>
        <w:trPr>
          <w:cantSplit w:val="1"/>
        </w:trPr>
        <w:tc>
          <w:tcPr>
            <w:tcW w:w="700" w:type="dxa"/>
            <w:shd w:val="clear" w:fill="F3F1EC"/>
            <w:noWrap/>
          </w:tcPr>
          <w:p>
            <w:pPr>
              <w:pStyle w:val="cell"/>
            </w:pPr>
            <w:r>
              <w:rPr>
                <w:sz w:val="15"/>
                <w:szCs w:val="15"/>
              </w:rPr>
              <w:t xml:space="preserve">FW-058</w:t>
            </w:r>
          </w:p>
        </w:tc>
        <w:tc>
          <w:tcPr>
            <w:tcW w:w="2600" w:type="dxa"/>
            <w:shd w:val="clear" w:fill="F3F1EC"/>
            <w:noWrap/>
          </w:tcPr>
          <w:p>
            <w:pPr>
              <w:pStyle w:val="cell"/>
            </w:pPr>
            <w:r>
              <w:rPr>
                <w:sz w:val="15"/>
                <w:szCs w:val="15"/>
              </w:rPr>
              <w:t xml:space="preserve">Desktop and RDS zone: Desktops / RDS hosts</w:t>
            </w:r>
          </w:p>
        </w:tc>
        <w:tc>
          <w:tcPr>
            <w:tcW w:w="2600" w:type="dxa"/>
            <w:shd w:val="clear" w:fill="F3F1EC"/>
            <w:noWrap/>
          </w:tcPr>
          <w:p>
            <w:pPr>
              <w:pStyle w:val="cell"/>
            </w:pPr>
            <w:r>
              <w:rPr>
                <w:sz w:val="15"/>
                <w:szCs w:val="15"/>
              </w:rPr>
              <w:t xml:space="preserve">Identity (AD, DNS, DHCP, PKI): Active Directory domain controllers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445</w:t>
            </w:r>
          </w:p>
        </w:tc>
        <w:tc>
          <w:tcPr>
            <w:tcW w:w="3600" w:type="dxa"/>
            <w:shd w:val="clear" w:fill="F3F1EC"/>
            <w:noWrap/>
          </w:tcPr>
          <w:p>
            <w:pPr>
              <w:pStyle w:val="cell"/>
            </w:pPr>
            <w:r>
              <w:rPr>
                <w:sz w:val="15"/>
                <w:szCs w:val="15"/>
              </w:rPr>
              <w:t xml:space="preserve">SMB (Net Logon, Group Policy / SYSVOL)</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Service overview and network port requirements for Windows</w:t>
            </w:r>
          </w:p>
        </w:tc>
      </w:tr>
      <w:tr>
        <w:trPr>
          <w:cantSplit w:val="1"/>
        </w:trPr>
        <w:tc>
          <w:tcPr>
            <w:tcW w:w="700" w:type="dxa"/>
            <w:noWrap/>
          </w:tcPr>
          <w:p>
            <w:pPr>
              <w:pStyle w:val="cell"/>
            </w:pPr>
            <w:r>
              <w:rPr>
                <w:sz w:val="15"/>
                <w:szCs w:val="15"/>
              </w:rPr>
              <w:t xml:space="preserve">FW-059</w:t>
            </w:r>
          </w:p>
        </w:tc>
        <w:tc>
          <w:tcPr>
            <w:tcW w:w="2600" w:type="dxa"/>
            <w:noWrap/>
          </w:tcPr>
          <w:p>
            <w:pPr>
              <w:pStyle w:val="cell"/>
            </w:pPr>
            <w:r>
              <w:rPr>
                <w:sz w:val="15"/>
                <w:szCs w:val="15"/>
              </w:rPr>
              <w:t xml:space="preserve">Desktop and RDS zone: Desktops / RDS hosts</w:t>
            </w:r>
          </w:p>
        </w:tc>
        <w:tc>
          <w:tcPr>
            <w:tcW w:w="2600" w:type="dxa"/>
            <w:noWrap/>
          </w:tcPr>
          <w:p>
            <w:pPr>
              <w:pStyle w:val="cell"/>
            </w:pPr>
            <w:r>
              <w:rPr>
                <w:sz w:val="15"/>
                <w:szCs w:val="15"/>
              </w:rPr>
              <w:t xml:space="preserve">Identity (AD, DNS, DHCP, PKI): Active Directory domain controllers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464</w:t>
            </w:r>
          </w:p>
        </w:tc>
        <w:tc>
          <w:tcPr>
            <w:tcW w:w="3600" w:type="dxa"/>
            <w:noWrap/>
          </w:tcPr>
          <w:p>
            <w:pPr>
              <w:pStyle w:val="cell"/>
            </w:pPr>
            <w:r>
              <w:rPr>
                <w:sz w:val="15"/>
                <w:szCs w:val="15"/>
              </w:rPr>
              <w:t xml:space="preserve">Kerberos password change</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Service overview and network port requirements for Windows</w:t>
            </w:r>
          </w:p>
        </w:tc>
      </w:tr>
      <w:tr>
        <w:trPr>
          <w:cantSplit w:val="1"/>
        </w:trPr>
        <w:tc>
          <w:tcPr>
            <w:tcW w:w="700" w:type="dxa"/>
            <w:shd w:val="clear" w:fill="F3F1EC"/>
            <w:noWrap/>
          </w:tcPr>
          <w:p>
            <w:pPr>
              <w:pStyle w:val="cell"/>
            </w:pPr>
            <w:r>
              <w:rPr>
                <w:sz w:val="15"/>
                <w:szCs w:val="15"/>
              </w:rPr>
              <w:t xml:space="preserve">FW-060</w:t>
            </w:r>
          </w:p>
        </w:tc>
        <w:tc>
          <w:tcPr>
            <w:tcW w:w="2600" w:type="dxa"/>
            <w:shd w:val="clear" w:fill="F3F1EC"/>
            <w:noWrap/>
          </w:tcPr>
          <w:p>
            <w:pPr>
              <w:pStyle w:val="cell"/>
            </w:pPr>
            <w:r>
              <w:rPr>
                <w:sz w:val="15"/>
                <w:szCs w:val="15"/>
              </w:rPr>
              <w:t xml:space="preserve">Desktop and RDS zone: Desktops / RDS hosts</w:t>
            </w:r>
          </w:p>
        </w:tc>
        <w:tc>
          <w:tcPr>
            <w:tcW w:w="2600" w:type="dxa"/>
            <w:shd w:val="clear" w:fill="F3F1EC"/>
            <w:noWrap/>
          </w:tcPr>
          <w:p>
            <w:pPr>
              <w:pStyle w:val="cell"/>
            </w:pPr>
            <w:r>
              <w:rPr>
                <w:sz w:val="15"/>
                <w:szCs w:val="15"/>
              </w:rPr>
              <w:t xml:space="preserve">Identity (AD, DNS, DHCP, PKI): Active Directory domain controllers</w:t>
            </w:r>
          </w:p>
        </w:tc>
        <w:tc>
          <w:tcPr>
            <w:tcW w:w="700" w:type="dxa"/>
            <w:shd w:val="clear" w:fill="F3F1EC"/>
            <w:noWrap/>
          </w:tcPr>
          <w:p>
            <w:pPr>
              <w:pStyle w:val="cell"/>
            </w:pPr>
            <w:r>
              <w:rPr>
                <w:sz w:val="15"/>
                <w:szCs w:val="15"/>
              </w:rPr>
              <w:t xml:space="preserve">UDP</w:t>
            </w:r>
          </w:p>
        </w:tc>
        <w:tc>
          <w:tcPr>
            <w:tcW w:w="1100" w:type="dxa"/>
            <w:shd w:val="clear" w:fill="F3F1EC"/>
            <w:noWrap/>
          </w:tcPr>
          <w:p>
            <w:pPr>
              <w:pStyle w:val="cell"/>
            </w:pPr>
            <w:r>
              <w:rPr>
                <w:sz w:val="15"/>
                <w:szCs w:val="15"/>
              </w:rPr>
              <w:t xml:space="preserve">464</w:t>
            </w:r>
          </w:p>
        </w:tc>
        <w:tc>
          <w:tcPr>
            <w:tcW w:w="3600" w:type="dxa"/>
            <w:shd w:val="clear" w:fill="F3F1EC"/>
            <w:noWrap/>
          </w:tcPr>
          <w:p>
            <w:pPr>
              <w:pStyle w:val="cell"/>
            </w:pPr>
            <w:r>
              <w:rPr>
                <w:sz w:val="15"/>
                <w:szCs w:val="15"/>
              </w:rPr>
              <w:t xml:space="preserve">Kerberos password change</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Service overview and network port requirements for Windows</w:t>
            </w:r>
          </w:p>
        </w:tc>
      </w:tr>
      <w:tr>
        <w:trPr>
          <w:cantSplit w:val="1"/>
        </w:trPr>
        <w:tc>
          <w:tcPr>
            <w:tcW w:w="700" w:type="dxa"/>
            <w:noWrap/>
          </w:tcPr>
          <w:p>
            <w:pPr>
              <w:pStyle w:val="cell"/>
            </w:pPr>
            <w:r>
              <w:rPr>
                <w:sz w:val="15"/>
                <w:szCs w:val="15"/>
              </w:rPr>
              <w:t xml:space="preserve">FW-061</w:t>
            </w:r>
          </w:p>
        </w:tc>
        <w:tc>
          <w:tcPr>
            <w:tcW w:w="2600" w:type="dxa"/>
            <w:noWrap/>
          </w:tcPr>
          <w:p>
            <w:pPr>
              <w:pStyle w:val="cell"/>
            </w:pPr>
            <w:r>
              <w:rPr>
                <w:sz w:val="15"/>
                <w:szCs w:val="15"/>
              </w:rPr>
              <w:t xml:space="preserve">Desktop and RDS zone: Desktops / RDS hosts</w:t>
            </w:r>
          </w:p>
        </w:tc>
        <w:tc>
          <w:tcPr>
            <w:tcW w:w="2600" w:type="dxa"/>
            <w:noWrap/>
          </w:tcPr>
          <w:p>
            <w:pPr>
              <w:pStyle w:val="cell"/>
            </w:pPr>
            <w:r>
              <w:rPr>
                <w:sz w:val="15"/>
                <w:szCs w:val="15"/>
              </w:rPr>
              <w:t xml:space="preserve">Identity (AD, DNS, DHCP, PKI): Active Directory domain controllers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49152-65535</w:t>
            </w:r>
          </w:p>
        </w:tc>
        <w:tc>
          <w:tcPr>
            <w:tcW w:w="3600" w:type="dxa"/>
            <w:noWrap/>
          </w:tcPr>
          <w:p>
            <w:pPr>
              <w:pStyle w:val="cell"/>
            </w:pPr>
            <w:r>
              <w:rPr>
                <w:sz w:val="15"/>
                <w:szCs w:val="15"/>
              </w:rPr>
              <w:t xml:space="preserve">RPC dynamic ports (Windows Server 2008 and later)</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Service overview and network port requirements for Windows</w:t>
            </w:r>
          </w:p>
        </w:tc>
      </w:tr>
      <w:tr>
        <w:trPr>
          <w:cantSplit w:val="1"/>
        </w:trPr>
        <w:tc>
          <w:tcPr>
            <w:tcW w:w="700" w:type="dxa"/>
            <w:shd w:val="clear" w:fill="F3F1EC"/>
            <w:noWrap/>
          </w:tcPr>
          <w:p>
            <w:pPr>
              <w:pStyle w:val="cell"/>
            </w:pPr>
            <w:r>
              <w:rPr>
                <w:sz w:val="15"/>
                <w:szCs w:val="15"/>
              </w:rPr>
              <w:t xml:space="preserve">FW-062</w:t>
            </w:r>
          </w:p>
        </w:tc>
        <w:tc>
          <w:tcPr>
            <w:tcW w:w="2600" w:type="dxa"/>
            <w:shd w:val="clear" w:fill="F3F1EC"/>
            <w:noWrap/>
          </w:tcPr>
          <w:p>
            <w:pPr>
              <w:pStyle w:val="cell"/>
            </w:pPr>
            <w:r>
              <w:rPr>
                <w:sz w:val="15"/>
                <w:szCs w:val="15"/>
              </w:rPr>
              <w:t xml:space="preserve">Desktop and RDS zone: Desktops / RDS hosts</w:t>
            </w:r>
          </w:p>
        </w:tc>
        <w:tc>
          <w:tcPr>
            <w:tcW w:w="2600" w:type="dxa"/>
            <w:shd w:val="clear" w:fill="F3F1EC"/>
            <w:noWrap/>
          </w:tcPr>
          <w:p>
            <w:pPr>
              <w:pStyle w:val="cell"/>
            </w:pPr>
            <w:r>
              <w:rPr>
                <w:sz w:val="15"/>
                <w:szCs w:val="15"/>
              </w:rPr>
              <w:t xml:space="preserve">Identity (AD, DNS, DHCP, PKI): DHCP servers (or DHCP relay)</w:t>
            </w:r>
          </w:p>
        </w:tc>
        <w:tc>
          <w:tcPr>
            <w:tcW w:w="700" w:type="dxa"/>
            <w:shd w:val="clear" w:fill="F3F1EC"/>
            <w:noWrap/>
          </w:tcPr>
          <w:p>
            <w:pPr>
              <w:pStyle w:val="cell"/>
            </w:pPr>
            <w:r>
              <w:rPr>
                <w:sz w:val="15"/>
                <w:szCs w:val="15"/>
              </w:rPr>
              <w:t xml:space="preserve">UDP</w:t>
            </w:r>
          </w:p>
        </w:tc>
        <w:tc>
          <w:tcPr>
            <w:tcW w:w="1100" w:type="dxa"/>
            <w:shd w:val="clear" w:fill="F3F1EC"/>
            <w:noWrap/>
          </w:tcPr>
          <w:p>
            <w:pPr>
              <w:pStyle w:val="cell"/>
            </w:pPr>
            <w:r>
              <w:rPr>
                <w:sz w:val="15"/>
                <w:szCs w:val="15"/>
              </w:rPr>
              <w:t xml:space="preserve">67</w:t>
            </w:r>
          </w:p>
        </w:tc>
        <w:tc>
          <w:tcPr>
            <w:tcW w:w="3600" w:type="dxa"/>
            <w:shd w:val="clear" w:fill="F3F1EC"/>
            <w:noWrap/>
          </w:tcPr>
          <w:p>
            <w:pPr>
              <w:pStyle w:val="cell"/>
            </w:pPr>
            <w:r>
              <w:rPr>
                <w:sz w:val="15"/>
                <w:szCs w:val="15"/>
              </w:rPr>
              <w:t xml:space="preserve">DHCP address assignment for desktop pools</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Service overview and network port requirements for Windows</w:t>
            </w:r>
          </w:p>
        </w:tc>
      </w:tr>
      <w:tr>
        <w:trPr>
          <w:cantSplit w:val="1"/>
        </w:trPr>
        <w:tc>
          <w:tcPr>
            <w:tcW w:w="700" w:type="dxa"/>
            <w:noWrap/>
          </w:tcPr>
          <w:p>
            <w:pPr>
              <w:pStyle w:val="cell"/>
            </w:pPr>
            <w:r>
              <w:rPr>
                <w:sz w:val="15"/>
                <w:szCs w:val="15"/>
              </w:rPr>
              <w:t xml:space="preserve">FW-063</w:t>
            </w:r>
          </w:p>
        </w:tc>
        <w:tc>
          <w:tcPr>
            <w:tcW w:w="2600" w:type="dxa"/>
            <w:noWrap/>
          </w:tcPr>
          <w:p>
            <w:pPr>
              <w:pStyle w:val="cell"/>
            </w:pPr>
            <w:r>
              <w:rPr>
                <w:sz w:val="15"/>
                <w:szCs w:val="15"/>
              </w:rPr>
              <w:t xml:space="preserve">Desktop and RDS zone: Desktops / RDS hosts</w:t>
            </w:r>
          </w:p>
        </w:tc>
        <w:tc>
          <w:tcPr>
            <w:tcW w:w="2600" w:type="dxa"/>
            <w:noWrap/>
          </w:tcPr>
          <w:p>
            <w:pPr>
              <w:pStyle w:val="cell"/>
            </w:pPr>
            <w:r>
              <w:rPr>
                <w:sz w:val="15"/>
                <w:szCs w:val="15"/>
              </w:rPr>
              <w:t xml:space="preserve">Identity (AD, DNS, DHCP, PKI): DNS servers</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53</w:t>
            </w:r>
          </w:p>
        </w:tc>
        <w:tc>
          <w:tcPr>
            <w:tcW w:w="3600" w:type="dxa"/>
            <w:noWrap/>
          </w:tcPr>
          <w:p>
            <w:pPr>
              <w:pStyle w:val="cell"/>
            </w:pPr>
            <w:r>
              <w:rPr>
                <w:sz w:val="15"/>
                <w:szCs w:val="15"/>
              </w:rPr>
              <w:t xml:space="preserve">DNS name resolution (locate domain controllers and Horizon servers)</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Service overview and network port requirements for Windows</w:t>
            </w:r>
          </w:p>
        </w:tc>
      </w:tr>
      <w:tr>
        <w:trPr>
          <w:cantSplit w:val="1"/>
        </w:trPr>
        <w:tc>
          <w:tcPr>
            <w:tcW w:w="700" w:type="dxa"/>
            <w:shd w:val="clear" w:fill="F3F1EC"/>
            <w:noWrap/>
          </w:tcPr>
          <w:p>
            <w:pPr>
              <w:pStyle w:val="cell"/>
            </w:pPr>
            <w:r>
              <w:rPr>
                <w:sz w:val="15"/>
                <w:szCs w:val="15"/>
              </w:rPr>
              <w:t xml:space="preserve">FW-064</w:t>
            </w:r>
          </w:p>
        </w:tc>
        <w:tc>
          <w:tcPr>
            <w:tcW w:w="2600" w:type="dxa"/>
            <w:shd w:val="clear" w:fill="F3F1EC"/>
            <w:noWrap/>
          </w:tcPr>
          <w:p>
            <w:pPr>
              <w:pStyle w:val="cell"/>
            </w:pPr>
            <w:r>
              <w:rPr>
                <w:sz w:val="15"/>
                <w:szCs w:val="15"/>
              </w:rPr>
              <w:t xml:space="preserve">Desktop and RDS zone: Desktops / RDS hosts</w:t>
            </w:r>
          </w:p>
        </w:tc>
        <w:tc>
          <w:tcPr>
            <w:tcW w:w="2600" w:type="dxa"/>
            <w:shd w:val="clear" w:fill="F3F1EC"/>
            <w:noWrap/>
          </w:tcPr>
          <w:p>
            <w:pPr>
              <w:pStyle w:val="cell"/>
            </w:pPr>
            <w:r>
              <w:rPr>
                <w:sz w:val="15"/>
                <w:szCs w:val="15"/>
              </w:rPr>
              <w:t xml:space="preserve">Identity (AD, DNS, DHCP, PKI): DNS servers</w:t>
            </w:r>
          </w:p>
        </w:tc>
        <w:tc>
          <w:tcPr>
            <w:tcW w:w="700" w:type="dxa"/>
            <w:shd w:val="clear" w:fill="F3F1EC"/>
            <w:noWrap/>
          </w:tcPr>
          <w:p>
            <w:pPr>
              <w:pStyle w:val="cell"/>
            </w:pPr>
            <w:r>
              <w:rPr>
                <w:sz w:val="15"/>
                <w:szCs w:val="15"/>
              </w:rPr>
              <w:t xml:space="preserve">UDP</w:t>
            </w:r>
          </w:p>
        </w:tc>
        <w:tc>
          <w:tcPr>
            <w:tcW w:w="1100" w:type="dxa"/>
            <w:shd w:val="clear" w:fill="F3F1EC"/>
            <w:noWrap/>
          </w:tcPr>
          <w:p>
            <w:pPr>
              <w:pStyle w:val="cell"/>
            </w:pPr>
            <w:r>
              <w:rPr>
                <w:sz w:val="15"/>
                <w:szCs w:val="15"/>
              </w:rPr>
              <w:t xml:space="preserve">53</w:t>
            </w:r>
          </w:p>
        </w:tc>
        <w:tc>
          <w:tcPr>
            <w:tcW w:w="3600" w:type="dxa"/>
            <w:shd w:val="clear" w:fill="F3F1EC"/>
            <w:noWrap/>
          </w:tcPr>
          <w:p>
            <w:pPr>
              <w:pStyle w:val="cell"/>
            </w:pPr>
            <w:r>
              <w:rPr>
                <w:sz w:val="15"/>
                <w:szCs w:val="15"/>
              </w:rPr>
              <w:t xml:space="preserve">DNS name resolution (locate domain controllers and Horizon servers)</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Service overview and network port requirements for Windows</w:t>
            </w:r>
          </w:p>
        </w:tc>
      </w:tr>
      <w:tr>
        <w:trPr>
          <w:cantSplit w:val="1"/>
        </w:trPr>
        <w:tc>
          <w:tcPr>
            <w:tcW w:w="700" w:type="dxa"/>
            <w:noWrap/>
          </w:tcPr>
          <w:p>
            <w:pPr>
              <w:pStyle w:val="cell"/>
            </w:pPr>
            <w:r>
              <w:rPr>
                <w:sz w:val="15"/>
                <w:szCs w:val="15"/>
              </w:rPr>
              <w:t xml:space="preserve">FW-065</w:t>
            </w:r>
          </w:p>
        </w:tc>
        <w:tc>
          <w:tcPr>
            <w:tcW w:w="2600" w:type="dxa"/>
            <w:noWrap/>
          </w:tcPr>
          <w:p>
            <w:pPr>
              <w:pStyle w:val="cell"/>
            </w:pPr>
            <w:r>
              <w:rPr>
                <w:sz w:val="15"/>
                <w:szCs w:val="15"/>
              </w:rPr>
              <w:t xml:space="preserve">Desktop and RDS zone: Desktops / RDS hosts</w:t>
            </w:r>
          </w:p>
        </w:tc>
        <w:tc>
          <w:tcPr>
            <w:tcW w:w="2600" w:type="dxa"/>
            <w:noWrap/>
          </w:tcPr>
          <w:p>
            <w:pPr>
              <w:pStyle w:val="cell"/>
            </w:pPr>
            <w:r>
              <w:rPr>
                <w:sz w:val="15"/>
                <w:szCs w:val="15"/>
              </w:rPr>
              <w:t xml:space="preserve">Identity (AD, DNS, DHCP, PKI): Domain controllers / time source</w:t>
            </w:r>
          </w:p>
        </w:tc>
        <w:tc>
          <w:tcPr>
            <w:tcW w:w="700" w:type="dxa"/>
            <w:noWrap/>
          </w:tcPr>
          <w:p>
            <w:pPr>
              <w:pStyle w:val="cell"/>
            </w:pPr>
            <w:r>
              <w:rPr>
                <w:sz w:val="15"/>
                <w:szCs w:val="15"/>
              </w:rPr>
              <w:t xml:space="preserve">UDP</w:t>
            </w:r>
          </w:p>
        </w:tc>
        <w:tc>
          <w:tcPr>
            <w:tcW w:w="1100" w:type="dxa"/>
            <w:noWrap/>
          </w:tcPr>
          <w:p>
            <w:pPr>
              <w:pStyle w:val="cell"/>
            </w:pPr>
            <w:r>
              <w:rPr>
                <w:sz w:val="15"/>
                <w:szCs w:val="15"/>
              </w:rPr>
              <w:t xml:space="preserve">123</w:t>
            </w:r>
          </w:p>
        </w:tc>
        <w:tc>
          <w:tcPr>
            <w:tcW w:w="3600" w:type="dxa"/>
            <w:noWrap/>
          </w:tcPr>
          <w:p>
            <w:pPr>
              <w:pStyle w:val="cell"/>
            </w:pPr>
            <w:r>
              <w:rPr>
                <w:sz w:val="15"/>
                <w:szCs w:val="15"/>
              </w:rPr>
              <w:t xml:space="preserve">Windows Time (NTP)</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Service overview and network port requirements for Windows</w:t>
            </w:r>
          </w:p>
        </w:tc>
      </w:tr>
      <w:tr>
        <w:trPr>
          <w:cantSplit w:val="1"/>
        </w:trPr>
        <w:tc>
          <w:tcPr>
            <w:tcW w:w="700" w:type="dxa"/>
            <w:shd w:val="clear" w:fill="F3F1EC"/>
            <w:noWrap/>
          </w:tcPr>
          <w:p>
            <w:pPr>
              <w:pStyle w:val="cell"/>
            </w:pPr>
            <w:r>
              <w:rPr>
                <w:sz w:val="15"/>
                <w:szCs w:val="15"/>
              </w:rPr>
              <w:t xml:space="preserve">FW-066</w:t>
            </w:r>
          </w:p>
        </w:tc>
        <w:tc>
          <w:tcPr>
            <w:tcW w:w="2600" w:type="dxa"/>
            <w:shd w:val="clear" w:fill="F3F1EC"/>
            <w:noWrap/>
          </w:tcPr>
          <w:p>
            <w:pPr>
              <w:pStyle w:val="cell"/>
            </w:pPr>
            <w:r>
              <w:rPr>
                <w:sz w:val="15"/>
                <w:szCs w:val="15"/>
              </w:rPr>
              <w:t xml:space="preserve">Desktop and RDS zone: Desktops / RDS hosts (user profiles)</w:t>
            </w:r>
          </w:p>
        </w:tc>
        <w:tc>
          <w:tcPr>
            <w:tcW w:w="2600" w:type="dxa"/>
            <w:shd w:val="clear" w:fill="F3F1EC"/>
            <w:noWrap/>
          </w:tcPr>
          <w:p>
            <w:pPr>
              <w:pStyle w:val="cell"/>
            </w:pPr>
            <w:r>
              <w:rPr>
                <w:sz w:val="15"/>
                <w:szCs w:val="15"/>
              </w:rPr>
              <w:t xml:space="preserve">File services: Profile and user data file servers</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445</w:t>
            </w:r>
          </w:p>
        </w:tc>
        <w:tc>
          <w:tcPr>
            <w:tcW w:w="3600" w:type="dxa"/>
            <w:shd w:val="clear" w:fill="F3F1EC"/>
            <w:noWrap/>
          </w:tcPr>
          <w:p>
            <w:pPr>
              <w:pStyle w:val="cell"/>
            </w:pPr>
            <w:r>
              <w:rPr>
                <w:sz w:val="15"/>
                <w:szCs w:val="15"/>
              </w:rPr>
              <w:t xml:space="preserve">SMB for user profiles, folder redirection and profile containers</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Service overview and network port requirements for Windows</w:t>
            </w:r>
          </w:p>
        </w:tc>
      </w:tr>
      <w:tr>
        <w:trPr>
          <w:cantSplit w:val="1"/>
        </w:trPr>
        <w:tc>
          <w:tcPr>
            <w:tcW w:w="700" w:type="dxa"/>
            <w:noWrap/>
          </w:tcPr>
          <w:p>
            <w:pPr>
              <w:pStyle w:val="cell"/>
            </w:pPr>
            <w:r>
              <w:rPr>
                <w:sz w:val="15"/>
                <w:szCs w:val="15"/>
              </w:rPr>
              <w:t xml:space="preserve">FW-067</w:t>
            </w:r>
          </w:p>
        </w:tc>
        <w:tc>
          <w:tcPr>
            <w:tcW w:w="2600" w:type="dxa"/>
            <w:noWrap/>
          </w:tcPr>
          <w:p>
            <w:pPr>
              <w:pStyle w:val="cell"/>
            </w:pPr>
            <w:r>
              <w:rPr>
                <w:sz w:val="15"/>
                <w:szCs w:val="15"/>
              </w:rPr>
              <w:t xml:space="preserve">Desktop and RDS zone: Horizon Agent (desktops / RDS hosts)</w:t>
            </w:r>
          </w:p>
        </w:tc>
        <w:tc>
          <w:tcPr>
            <w:tcW w:w="2600" w:type="dxa"/>
            <w:noWrap/>
          </w:tcPr>
          <w:p>
            <w:pPr>
              <w:pStyle w:val="cell"/>
            </w:pPr>
            <w:r>
              <w:rPr>
                <w:sz w:val="15"/>
                <w:szCs w:val="15"/>
              </w:rPr>
              <w:t xml:space="preserve">Horizon server zone: Connection Server</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4001</w:t>
            </w:r>
          </w:p>
        </w:tc>
        <w:tc>
          <w:tcPr>
            <w:tcW w:w="3600" w:type="dxa"/>
            <w:noWrap/>
          </w:tcPr>
          <w:p>
            <w:pPr>
              <w:pStyle w:val="cell"/>
            </w:pPr>
            <w:r>
              <w:rPr>
                <w:sz w:val="15"/>
                <w:szCs w:val="15"/>
              </w:rPr>
              <w:t xml:space="preserve">Java Message Service (JMS)</w:t>
            </w:r>
          </w:p>
        </w:tc>
        <w:tc>
          <w:tcPr>
            <w:tcW w:w="1000" w:type="dxa"/>
            <w:noWrap/>
          </w:tcPr>
          <w:p>
            <w:pPr>
              <w:pStyle w:val="cell"/>
            </w:pPr>
            <w:r>
              <w:rPr>
                <w:sz w:val="15"/>
                <w:szCs w:val="15"/>
              </w:rPr>
              <w:t xml:space="preserve">Mandatory</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FW-068</w:t>
            </w:r>
          </w:p>
        </w:tc>
        <w:tc>
          <w:tcPr>
            <w:tcW w:w="2600" w:type="dxa"/>
            <w:shd w:val="clear" w:fill="F3F1EC"/>
            <w:noWrap/>
          </w:tcPr>
          <w:p>
            <w:pPr>
              <w:pStyle w:val="cell"/>
            </w:pPr>
            <w:r>
              <w:rPr>
                <w:sz w:val="15"/>
                <w:szCs w:val="15"/>
              </w:rPr>
              <w:t xml:space="preserve">Desktop and RDS zone: Horizon Agent (desktops / RDS hosts)</w:t>
            </w:r>
          </w:p>
        </w:tc>
        <w:tc>
          <w:tcPr>
            <w:tcW w:w="2600" w:type="dxa"/>
            <w:shd w:val="clear" w:fill="F3F1EC"/>
            <w:noWrap/>
          </w:tcPr>
          <w:p>
            <w:pPr>
              <w:pStyle w:val="cell"/>
            </w:pPr>
            <w:r>
              <w:rPr>
                <w:sz w:val="15"/>
                <w:szCs w:val="15"/>
              </w:rPr>
              <w:t xml:space="preserve">Horizon server zone: Connection Server</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4002</w:t>
            </w:r>
          </w:p>
        </w:tc>
        <w:tc>
          <w:tcPr>
            <w:tcW w:w="3600" w:type="dxa"/>
            <w:shd w:val="clear" w:fill="F3F1EC"/>
            <w:noWrap/>
          </w:tcPr>
          <w:p>
            <w:pPr>
              <w:pStyle w:val="cell"/>
            </w:pPr>
            <w:r>
              <w:rPr>
                <w:sz w:val="15"/>
                <w:szCs w:val="15"/>
              </w:rPr>
              <w:t xml:space="preserve">Java Message Service (JMS SSL) — enhanced message security (default)</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FW-069</w:t>
            </w:r>
          </w:p>
        </w:tc>
        <w:tc>
          <w:tcPr>
            <w:tcW w:w="2600" w:type="dxa"/>
            <w:noWrap/>
          </w:tcPr>
          <w:p>
            <w:pPr>
              <w:pStyle w:val="cell"/>
            </w:pPr>
            <w:r>
              <w:rPr>
                <w:sz w:val="15"/>
                <w:szCs w:val="15"/>
              </w:rPr>
              <w:t xml:space="preserve">Desktop and RDS zone: Horizon Agent (desktops / RDS hosts)</w:t>
            </w:r>
          </w:p>
        </w:tc>
        <w:tc>
          <w:tcPr>
            <w:tcW w:w="2600" w:type="dxa"/>
            <w:noWrap/>
          </w:tcPr>
          <w:p>
            <w:pPr>
              <w:pStyle w:val="cell"/>
            </w:pPr>
            <w:r>
              <w:rPr>
                <w:sz w:val="15"/>
                <w:szCs w:val="15"/>
              </w:rPr>
              <w:t xml:space="preserve">Internal client network: Horizon Client</w:t>
            </w:r>
          </w:p>
        </w:tc>
        <w:tc>
          <w:tcPr>
            <w:tcW w:w="700" w:type="dxa"/>
            <w:noWrap/>
          </w:tcPr>
          <w:p>
            <w:pPr>
              <w:pStyle w:val="cell"/>
            </w:pPr>
            <w:r>
              <w:rPr>
                <w:sz w:val="15"/>
                <w:szCs w:val="15"/>
              </w:rPr>
              <w:t xml:space="preserve">UDP</w:t>
            </w:r>
          </w:p>
        </w:tc>
        <w:tc>
          <w:tcPr>
            <w:tcW w:w="1100" w:type="dxa"/>
            <w:noWrap/>
          </w:tcPr>
          <w:p>
            <w:pPr>
              <w:pStyle w:val="cell"/>
            </w:pPr>
            <w:r>
              <w:rPr>
                <w:sz w:val="15"/>
                <w:szCs w:val="15"/>
              </w:rPr>
              <w:t xml:space="preserve">Any (client port)</w:t>
            </w:r>
          </w:p>
        </w:tc>
        <w:tc>
          <w:tcPr>
            <w:tcW w:w="3600" w:type="dxa"/>
            <w:noWrap/>
          </w:tcPr>
          <w:p>
            <w:pPr>
              <w:pStyle w:val="cell"/>
            </w:pPr>
            <w:r>
              <w:rPr>
                <w:sz w:val="15"/>
                <w:szCs w:val="15"/>
              </w:rPr>
              <w:t xml:space="preserve">Blast Extreme UDP return traffic; PCoIP UDP return traffic</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TCP and UDP Ports for Clients and Agents</w:t>
            </w:r>
          </w:p>
        </w:tc>
      </w:tr>
      <w:tr>
        <w:trPr>
          <w:cantSplit w:val="1"/>
        </w:trPr>
        <w:tc>
          <w:tcPr>
            <w:tcW w:w="700" w:type="dxa"/>
            <w:shd w:val="clear" w:fill="F3F1EC"/>
            <w:noWrap/>
          </w:tcPr>
          <w:p>
            <w:pPr>
              <w:pStyle w:val="cell"/>
            </w:pPr>
            <w:r>
              <w:rPr>
                <w:sz w:val="15"/>
                <w:szCs w:val="15"/>
              </w:rPr>
              <w:t xml:space="preserve">FW-070</w:t>
            </w:r>
          </w:p>
        </w:tc>
        <w:tc>
          <w:tcPr>
            <w:tcW w:w="2600" w:type="dxa"/>
            <w:shd w:val="clear" w:fill="F3F1EC"/>
            <w:noWrap/>
          </w:tcPr>
          <w:p>
            <w:pPr>
              <w:pStyle w:val="cell"/>
            </w:pPr>
            <w:r>
              <w:rPr>
                <w:sz w:val="15"/>
                <w:szCs w:val="15"/>
              </w:rPr>
              <w:t xml:space="preserve">Desktop and RDS zone: Horizon Agent (desktops / RDS hosts)</w:t>
            </w:r>
          </w:p>
        </w:tc>
        <w:tc>
          <w:tcPr>
            <w:tcW w:w="2600" w:type="dxa"/>
            <w:shd w:val="clear" w:fill="F3F1EC"/>
            <w:noWrap/>
          </w:tcPr>
          <w:p>
            <w:pPr>
              <w:pStyle w:val="cell"/>
            </w:pPr>
            <w:r>
              <w:rPr>
                <w:sz w:val="15"/>
                <w:szCs w:val="15"/>
              </w:rPr>
              <w:t xml:space="preserve">DMZ: Unified Access Gateway</w:t>
            </w:r>
          </w:p>
        </w:tc>
        <w:tc>
          <w:tcPr>
            <w:tcW w:w="700" w:type="dxa"/>
            <w:shd w:val="clear" w:fill="F3F1EC"/>
            <w:noWrap/>
          </w:tcPr>
          <w:p>
            <w:pPr>
              <w:pStyle w:val="cell"/>
            </w:pPr>
            <w:r>
              <w:rPr>
                <w:sz w:val="15"/>
                <w:szCs w:val="15"/>
              </w:rPr>
              <w:t xml:space="preserve">UDP</w:t>
            </w:r>
          </w:p>
        </w:tc>
        <w:tc>
          <w:tcPr>
            <w:tcW w:w="1100" w:type="dxa"/>
            <w:shd w:val="clear" w:fill="F3F1EC"/>
            <w:noWrap/>
          </w:tcPr>
          <w:p>
            <w:pPr>
              <w:pStyle w:val="cell"/>
            </w:pPr>
            <w:r>
              <w:rPr>
                <w:sz w:val="15"/>
                <w:szCs w:val="15"/>
              </w:rPr>
              <w:t xml:space="preserve">55000</w:t>
            </w:r>
          </w:p>
        </w:tc>
        <w:tc>
          <w:tcPr>
            <w:tcW w:w="3600" w:type="dxa"/>
            <w:shd w:val="clear" w:fill="F3F1EC"/>
            <w:noWrap/>
          </w:tcPr>
          <w:p>
            <w:pPr>
              <w:pStyle w:val="cell"/>
            </w:pPr>
            <w:r>
              <w:rPr>
                <w:sz w:val="15"/>
                <w:szCs w:val="15"/>
              </w:rPr>
              <w:t xml:space="preserve">PCoIP (not SALSA20) return traffic to the PCoIP Secure Gateway</w:t>
            </w:r>
          </w:p>
        </w:tc>
        <w:tc>
          <w:tcPr>
            <w:tcW w:w="1000" w:type="dxa"/>
            <w:shd w:val="clear" w:fill="F3F1EC"/>
            <w:noWrap/>
          </w:tcPr>
          <w:p>
            <w:pPr>
              <w:pStyle w:val="cell"/>
            </w:pPr>
            <w:r>
              <w:rPr>
                <w:sz w:val="15"/>
                <w:szCs w:val="15"/>
              </w:rPr>
              <w:t xml:space="preserve">Conditional</w:t>
            </w:r>
          </w:p>
        </w:tc>
        <w:tc>
          <w:tcPr>
            <w:tcW w:w="2300" w:type="dxa"/>
            <w:shd w:val="clear" w:fill="F3F1EC"/>
            <w:noWrap/>
          </w:tcPr>
          <w:p>
            <w:pPr>
              <w:pStyle w:val="cell"/>
            </w:pPr>
            <w:r>
              <w:rPr>
                <w:sz w:val="15"/>
                <w:szCs w:val="15"/>
              </w:rPr>
              <w:t xml:space="preserve">TCP and UDP Ports for Clients and Agents</w:t>
            </w:r>
          </w:p>
        </w:tc>
      </w:tr>
      <w:tr>
        <w:trPr>
          <w:cantSplit w:val="1"/>
        </w:trPr>
        <w:tc>
          <w:tcPr>
            <w:tcW w:w="700" w:type="dxa"/>
            <w:noWrap/>
          </w:tcPr>
          <w:p>
            <w:pPr>
              <w:pStyle w:val="cell"/>
            </w:pPr>
            <w:r>
              <w:rPr>
                <w:sz w:val="15"/>
                <w:szCs w:val="15"/>
              </w:rPr>
              <w:t xml:space="preserve">FW-071</w:t>
            </w:r>
          </w:p>
        </w:tc>
        <w:tc>
          <w:tcPr>
            <w:tcW w:w="2600" w:type="dxa"/>
            <w:noWrap/>
          </w:tcPr>
          <w:p>
            <w:pPr>
              <w:pStyle w:val="cell"/>
            </w:pPr>
            <w:r>
              <w:rPr>
                <w:sz w:val="15"/>
                <w:szCs w:val="15"/>
              </w:rPr>
              <w:t xml:space="preserve">Desktop and RDS zone: Horizon Recording Agent</w:t>
            </w:r>
          </w:p>
        </w:tc>
        <w:tc>
          <w:tcPr>
            <w:tcW w:w="2600" w:type="dxa"/>
            <w:noWrap/>
          </w:tcPr>
          <w:p>
            <w:pPr>
              <w:pStyle w:val="cell"/>
            </w:pPr>
            <w:r>
              <w:rPr>
                <w:sz w:val="15"/>
                <w:szCs w:val="15"/>
              </w:rPr>
              <w:t xml:space="preserve">Horizon server zone: Horizon Recording Server</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9443</w:t>
            </w:r>
          </w:p>
        </w:tc>
        <w:tc>
          <w:tcPr>
            <w:tcW w:w="3600" w:type="dxa"/>
            <w:noWrap/>
          </w:tcPr>
          <w:p>
            <w:pPr>
              <w:pStyle w:val="cell"/>
            </w:pPr>
            <w:r>
              <w:rPr>
                <w:sz w:val="15"/>
                <w:szCs w:val="15"/>
              </w:rPr>
              <w:t xml:space="preserve">Session recording</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FW-072</w:t>
            </w:r>
          </w:p>
        </w:tc>
        <w:tc>
          <w:tcPr>
            <w:tcW w:w="2600" w:type="dxa"/>
            <w:shd w:val="clear" w:fill="F3F1EC"/>
            <w:noWrap/>
          </w:tcPr>
          <w:p>
            <w:pPr>
              <w:pStyle w:val="cell"/>
            </w:pPr>
            <w:r>
              <w:rPr>
                <w:sz w:val="15"/>
                <w:szCs w:val="15"/>
              </w:rPr>
              <w:t xml:space="preserve">Management: Administrator workstation</w:t>
            </w:r>
          </w:p>
        </w:tc>
        <w:tc>
          <w:tcPr>
            <w:tcW w:w="2600" w:type="dxa"/>
            <w:shd w:val="clear" w:fill="F3F1EC"/>
            <w:noWrap/>
          </w:tcPr>
          <w:p>
            <w:pPr>
              <w:pStyle w:val="cell"/>
            </w:pPr>
            <w:r>
              <w:rPr>
                <w:sz w:val="15"/>
                <w:szCs w:val="15"/>
              </w:rPr>
              <w:t xml:space="preserve">Horizon server zone: Connection Server</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443</w:t>
            </w:r>
          </w:p>
        </w:tc>
        <w:tc>
          <w:tcPr>
            <w:tcW w:w="3600" w:type="dxa"/>
            <w:shd w:val="clear" w:fill="F3F1EC"/>
            <w:noWrap/>
          </w:tcPr>
          <w:p>
            <w:pPr>
              <w:pStyle w:val="cell"/>
            </w:pPr>
            <w:r>
              <w:rPr>
                <w:sz w:val="15"/>
                <w:szCs w:val="15"/>
              </w:rPr>
              <w:t xml:space="preserve">Horizon Console (https://&lt;Connection Server FQDN&gt;/admin)</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Network Ports in Horizon 8 (Omnissa Tech Zone)</w:t>
            </w:r>
          </w:p>
        </w:tc>
      </w:tr>
      <w:tr>
        <w:trPr>
          <w:cantSplit w:val="1"/>
        </w:trPr>
        <w:tc>
          <w:tcPr>
            <w:tcW w:w="700" w:type="dxa"/>
            <w:noWrap/>
          </w:tcPr>
          <w:p>
            <w:pPr>
              <w:pStyle w:val="cell"/>
            </w:pPr>
            <w:r>
              <w:rPr>
                <w:sz w:val="15"/>
                <w:szCs w:val="15"/>
              </w:rPr>
              <w:t xml:space="preserve">FW-073</w:t>
            </w:r>
          </w:p>
        </w:tc>
        <w:tc>
          <w:tcPr>
            <w:tcW w:w="2600" w:type="dxa"/>
            <w:noWrap/>
          </w:tcPr>
          <w:p>
            <w:pPr>
              <w:pStyle w:val="cell"/>
            </w:pPr>
            <w:r>
              <w:rPr>
                <w:sz w:val="15"/>
                <w:szCs w:val="15"/>
              </w:rPr>
              <w:t xml:space="preserve">Management: Administrator workstation</w:t>
            </w:r>
          </w:p>
        </w:tc>
        <w:tc>
          <w:tcPr>
            <w:tcW w:w="2600" w:type="dxa"/>
            <w:noWrap/>
          </w:tcPr>
          <w:p>
            <w:pPr>
              <w:pStyle w:val="cell"/>
            </w:pPr>
            <w:r>
              <w:rPr>
                <w:sz w:val="15"/>
                <w:szCs w:val="15"/>
              </w:rPr>
              <w:t xml:space="preserve">Horizon server zone: Horizon Recording Server</w:t>
            </w:r>
          </w:p>
        </w:tc>
        <w:tc>
          <w:tcPr>
            <w:tcW w:w="700" w:type="dxa"/>
            <w:noWrap/>
          </w:tcPr>
          <w:p>
            <w:pPr>
              <w:pStyle w:val="cell"/>
            </w:pPr>
            <w:r>
              <w:rPr>
                <w:sz w:val="15"/>
                <w:szCs w:val="15"/>
              </w:rPr>
              <w:t xml:space="preserve">TCP</w:t>
            </w:r>
          </w:p>
        </w:tc>
        <w:tc>
          <w:tcPr>
            <w:tcW w:w="1100" w:type="dxa"/>
            <w:noWrap/>
          </w:tcPr>
          <w:p>
            <w:pPr>
              <w:pStyle w:val="cell"/>
            </w:pPr>
            <w:r>
              <w:rPr>
                <w:sz w:val="15"/>
                <w:szCs w:val="15"/>
              </w:rPr>
              <w:t xml:space="preserve">9443</w:t>
            </w:r>
          </w:p>
        </w:tc>
        <w:tc>
          <w:tcPr>
            <w:tcW w:w="3600" w:type="dxa"/>
            <w:noWrap/>
          </w:tcPr>
          <w:p>
            <w:pPr>
              <w:pStyle w:val="cell"/>
            </w:pPr>
            <w:r>
              <w:rPr>
                <w:sz w:val="15"/>
                <w:szCs w:val="15"/>
              </w:rPr>
              <w:t xml:space="preserve">Recording server console</w:t>
            </w:r>
          </w:p>
        </w:tc>
        <w:tc>
          <w:tcPr>
            <w:tcW w:w="1000" w:type="dxa"/>
            <w:noWrap/>
          </w:tcPr>
          <w:p>
            <w:pPr>
              <w:pStyle w:val="cell"/>
            </w:pPr>
            <w:r>
              <w:rPr>
                <w:sz w:val="15"/>
                <w:szCs w:val="15"/>
              </w:rPr>
              <w:t xml:space="preserve">Conditional</w:t>
            </w:r>
          </w:p>
        </w:tc>
        <w:tc>
          <w:tcPr>
            <w:tcW w:w="2300" w:type="dxa"/>
            <w:noWrap/>
          </w:tcPr>
          <w:p>
            <w:pPr>
              <w:pStyle w:val="cell"/>
            </w:pPr>
            <w:r>
              <w:rPr>
                <w:sz w:val="15"/>
                <w:szCs w:val="15"/>
              </w:rPr>
              <w:t xml:space="preserve">Network Ports in Horizon 8 (Omnissa Tech Zone)</w:t>
            </w:r>
          </w:p>
        </w:tc>
      </w:tr>
      <w:tr>
        <w:trPr>
          <w:cantSplit w:val="1"/>
        </w:trPr>
        <w:tc>
          <w:tcPr>
            <w:tcW w:w="700" w:type="dxa"/>
            <w:shd w:val="clear" w:fill="F3F1EC"/>
            <w:noWrap/>
          </w:tcPr>
          <w:p>
            <w:pPr>
              <w:pStyle w:val="cell"/>
            </w:pPr>
            <w:r>
              <w:rPr>
                <w:sz w:val="15"/>
                <w:szCs w:val="15"/>
              </w:rPr>
              <w:t xml:space="preserve">FW-074</w:t>
            </w:r>
          </w:p>
        </w:tc>
        <w:tc>
          <w:tcPr>
            <w:tcW w:w="2600" w:type="dxa"/>
            <w:shd w:val="clear" w:fill="F3F1EC"/>
            <w:noWrap/>
          </w:tcPr>
          <w:p>
            <w:pPr>
              <w:pStyle w:val="cell"/>
            </w:pPr>
            <w:r>
              <w:rPr>
                <w:sz w:val="15"/>
                <w:szCs w:val="15"/>
              </w:rPr>
              <w:t xml:space="preserve">Management: Administrator workstation</w:t>
            </w:r>
          </w:p>
        </w:tc>
        <w:tc>
          <w:tcPr>
            <w:tcW w:w="2600" w:type="dxa"/>
            <w:shd w:val="clear" w:fill="F3F1EC"/>
            <w:noWrap/>
          </w:tcPr>
          <w:p>
            <w:pPr>
              <w:pStyle w:val="cell"/>
            </w:pPr>
            <w:r>
              <w:rPr>
                <w:sz w:val="15"/>
                <w:szCs w:val="15"/>
              </w:rPr>
              <w:t xml:space="preserve">DMZ: Unified Access Gateway (management NIC)</w:t>
            </w:r>
          </w:p>
        </w:tc>
        <w:tc>
          <w:tcPr>
            <w:tcW w:w="700" w:type="dxa"/>
            <w:shd w:val="clear" w:fill="F3F1EC"/>
            <w:noWrap/>
          </w:tcPr>
          <w:p>
            <w:pPr>
              <w:pStyle w:val="cell"/>
            </w:pPr>
            <w:r>
              <w:rPr>
                <w:sz w:val="15"/>
                <w:szCs w:val="15"/>
              </w:rPr>
              <w:t xml:space="preserve">TCP</w:t>
            </w:r>
          </w:p>
        </w:tc>
        <w:tc>
          <w:tcPr>
            <w:tcW w:w="1100" w:type="dxa"/>
            <w:shd w:val="clear" w:fill="F3F1EC"/>
            <w:noWrap/>
          </w:tcPr>
          <w:p>
            <w:pPr>
              <w:pStyle w:val="cell"/>
            </w:pPr>
            <w:r>
              <w:rPr>
                <w:sz w:val="15"/>
                <w:szCs w:val="15"/>
              </w:rPr>
              <w:t xml:space="preserve">9443</w:t>
            </w:r>
          </w:p>
        </w:tc>
        <w:tc>
          <w:tcPr>
            <w:tcW w:w="3600" w:type="dxa"/>
            <w:shd w:val="clear" w:fill="F3F1EC"/>
            <w:noWrap/>
          </w:tcPr>
          <w:p>
            <w:pPr>
              <w:pStyle w:val="cell"/>
            </w:pPr>
            <w:r>
              <w:rPr>
                <w:sz w:val="15"/>
                <w:szCs w:val="15"/>
              </w:rPr>
              <w:t xml:space="preserve">UAG admin console and REST API (https://&lt;UAG&gt;:9443/admin/)</w:t>
            </w:r>
          </w:p>
        </w:tc>
        <w:tc>
          <w:tcPr>
            <w:tcW w:w="1000" w:type="dxa"/>
            <w:shd w:val="clear" w:fill="F3F1EC"/>
            <w:noWrap/>
          </w:tcPr>
          <w:p>
            <w:pPr>
              <w:pStyle w:val="cell"/>
            </w:pPr>
            <w:r>
              <w:rPr>
                <w:sz w:val="15"/>
                <w:szCs w:val="15"/>
              </w:rPr>
              <w:t xml:space="preserve">Mandatory</w:t>
            </w:r>
          </w:p>
        </w:tc>
        <w:tc>
          <w:tcPr>
            <w:tcW w:w="2300" w:type="dxa"/>
            <w:shd w:val="clear" w:fill="F3F1EC"/>
            <w:noWrap/>
          </w:tcPr>
          <w:p>
            <w:pPr>
              <w:pStyle w:val="cell"/>
            </w:pPr>
            <w:r>
              <w:rPr>
                <w:sz w:val="15"/>
                <w:szCs w:val="15"/>
              </w:rPr>
              <w:t xml:space="preserve">Network Ports in Horizon 8 (Omnissa Tech Zone)</w:t>
            </w:r>
          </w:p>
        </w:tc>
      </w:tr>
    </w:tbl>
    <w:p>
      <w:pPr>
        <w:rPr>
          <w:sz w:val="8"/>
          <w:szCs w:val="8"/>
        </w:rPr>
      </w:pPr>
    </w:p>
    <w:p>
      <w:pPr>
        <w:pStyle w:val="Heading1"/>
      </w:pPr>
      <w:bookmarkStart w:id="20" w:name="_Toc20"/>
      <w:r>
        <w:t>Firewall connectivity (zone to zone)</w:t>
      </w:r>
      <w:bookmarkEnd w:id="20"/>
    </w:p>
    <w:p>
      <w:pPr/>
      <w:r>
        <w:rPr>
          <w:sz w:val="20"/>
          <w:szCs w:val="20"/>
          <w:b w:val="1"/>
          <w:bCs w:val="1"/>
        </w:rPr>
        <w:t xml:space="preserve">Firewall connectivity</w:t>
      </w:r>
    </w:p>
    <w:p>
      <w:pPr>
        <w:jc w:val="center"/>
      </w:pPr>
      <w:r>
        <w:pict>
          <v:shape type="#_x0000_t75" stroked="f" style="width:363pt; height:390pt; margin-left:0pt; margin-top:0pt; mso-position-horizontal:left; mso-position-vertical:top; mso-position-horizontal-relative:char; mso-position-vertical-relative:line;">
            <w10:wrap type="inline"/>
            <v:imagedata r:id="rId11" o:title=""/>
          </v:shape>
        </w:pict>
      </w:r>
    </w:p>
    <w:p>
      <w:pPr/>
      <w:r>
        <w:rPr>
          <w:color w:val="6B6B66"/>
          <w:sz w:val="17"/>
          <w:szCs w:val="17"/>
          <w:i w:val="1"/>
          <w:iCs w:val="1"/>
        </w:rPr>
        <w:t xml:space="preserve">Direction is the direction in which flows are initiated; UDP display flows are bidirectional and stateful firewalls must accept the replies.</w:t>
      </w:r>
    </w:p>
    <w:p>
      <w:r>
        <w:br w:type="page"/>
      </w:r>
    </w:p>
    <w:p>
      <w:pPr>
        <w:sectPr>
          <w:footerReference w:type="default" r:id="rId37"/>
          <w:pgSz w:orient="landscape" w:w="16837.79527559055" w:h="11905.511811023622"/>
          <w:pgMar w:top="900" w:right="900" w:bottom="900" w:left="900" w:header="720" w:footer="720" w:gutter="0"/>
          <w:cols w:num="1" w:space="720"/>
        </w:sectPr>
      </w:pPr>
    </w:p>
    <w:p>
      <w:pPr>
        <w:pStyle w:val="Heading1"/>
      </w:pPr>
      <w:bookmarkStart w:id="21" w:name="_Toc21"/>
      <w:r>
        <w:t>12. High availability and failure scenarios</w:t>
      </w:r>
      <w:bookmarkEnd w:id="21"/>
    </w:p>
    <w:tbl>
      <w:tblGrid>
        <w:gridCol w:w="2400" w:type="dxa"/>
        <w:gridCol w:w="900" w:type="dxa"/>
        <w:gridCol w:w="900" w:type="dxa"/>
        <w:gridCol w:w="1100" w:type="dxa"/>
        <w:gridCol w:w="1100" w:type="dxa"/>
        <w:gridCol w:w="1100" w:type="dxa"/>
        <w:gridCol w:w="2000" w:type="dxa"/>
      </w:tblGrid>
      <w:tblPr>
        <w:tblStyle w:val="grid"/>
      </w:tblPr>
      <w:tr>
        <w:trPr>
          <w:tblHeader w:val="1"/>
          <w:cantSplit w:val="1"/>
        </w:trPr>
        <w:tc>
          <w:tcPr>
            <w:tcW w:w="2400" w:type="dxa"/>
            <w:shd w:val="clear" w:fill="0B0B0B"/>
            <w:noWrap/>
          </w:tcPr>
          <w:p>
            <w:pPr>
              <w:pStyle w:val="cell"/>
            </w:pPr>
            <w:r>
              <w:rPr>
                <w:color w:val="FFFFFF"/>
                <w:sz w:val="17"/>
                <w:szCs w:val="17"/>
                <w:b w:val="1"/>
                <w:bCs w:val="1"/>
              </w:rPr>
              <w:t xml:space="preserve">Cluster</w:t>
            </w:r>
          </w:p>
        </w:tc>
        <w:tc>
          <w:tcPr>
            <w:tcW w:w="900" w:type="dxa"/>
            <w:shd w:val="clear" w:fill="0B0B0B"/>
            <w:noWrap/>
          </w:tcPr>
          <w:p>
            <w:pPr>
              <w:pStyle w:val="cell"/>
            </w:pPr>
            <w:r>
              <w:rPr>
                <w:color w:val="FFFFFF"/>
                <w:sz w:val="17"/>
                <w:szCs w:val="17"/>
                <w:b w:val="1"/>
                <w:bCs w:val="1"/>
              </w:rPr>
              <w:t xml:space="preserve">Hosts</w:t>
            </w:r>
          </w:p>
        </w:tc>
        <w:tc>
          <w:tcPr>
            <w:tcW w:w="900" w:type="dxa"/>
            <w:shd w:val="clear" w:fill="0B0B0B"/>
            <w:noWrap/>
          </w:tcPr>
          <w:p>
            <w:pPr>
              <w:pStyle w:val="cell"/>
            </w:pPr>
            <w:r>
              <w:rPr>
                <w:color w:val="FFFFFF"/>
                <w:sz w:val="17"/>
                <w:szCs w:val="17"/>
                <w:b w:val="1"/>
                <w:bCs w:val="1"/>
              </w:rPr>
              <w:t xml:space="preserve">Failed</w:t>
            </w:r>
          </w:p>
        </w:tc>
        <w:tc>
          <w:tcPr>
            <w:tcW w:w="1100" w:type="dxa"/>
            <w:shd w:val="clear" w:fill="0B0B0B"/>
            <w:noWrap/>
          </w:tcPr>
          <w:p>
            <w:pPr>
              <w:pStyle w:val="cell"/>
            </w:pPr>
            <w:r>
              <w:rPr>
                <w:color w:val="FFFFFF"/>
                <w:sz w:val="17"/>
                <w:szCs w:val="17"/>
                <w:b w:val="1"/>
                <w:bCs w:val="1"/>
              </w:rPr>
              <w:t xml:space="preserve">CPU used</w:t>
            </w:r>
          </w:p>
        </w:tc>
        <w:tc>
          <w:tcPr>
            <w:tcW w:w="1100" w:type="dxa"/>
            <w:shd w:val="clear" w:fill="0B0B0B"/>
            <w:noWrap/>
          </w:tcPr>
          <w:p>
            <w:pPr>
              <w:pStyle w:val="cell"/>
            </w:pPr>
            <w:r>
              <w:rPr>
                <w:color w:val="FFFFFF"/>
                <w:sz w:val="17"/>
                <w:szCs w:val="17"/>
                <w:b w:val="1"/>
                <w:bCs w:val="1"/>
              </w:rPr>
              <w:t xml:space="preserve">RAM used</w:t>
            </w:r>
          </w:p>
        </w:tc>
        <w:tc>
          <w:tcPr>
            <w:tcW w:w="1100" w:type="dxa"/>
            <w:shd w:val="clear" w:fill="0B0B0B"/>
            <w:noWrap/>
          </w:tcPr>
          <w:p>
            <w:pPr>
              <w:pStyle w:val="cell"/>
            </w:pPr>
            <w:r>
              <w:rPr>
                <w:color w:val="FFFFFF"/>
                <w:sz w:val="17"/>
                <w:szCs w:val="17"/>
                <w:b w:val="1"/>
                <w:bCs w:val="1"/>
              </w:rPr>
              <w:t xml:space="preserve">vCPU:core</w:t>
            </w:r>
          </w:p>
        </w:tc>
        <w:tc>
          <w:tcPr>
            <w:tcW w:w="2000" w:type="dxa"/>
            <w:shd w:val="clear" w:fill="0B0B0B"/>
            <w:noWrap/>
          </w:tcPr>
          <w:p>
            <w:pPr>
              <w:pStyle w:val="cell"/>
            </w:pPr>
            <w:r>
              <w:rPr>
                <w:color w:val="FFFFFF"/>
                <w:sz w:val="17"/>
                <w:szCs w:val="17"/>
                <w:b w:val="1"/>
                <w:bCs w:val="1"/>
              </w:rPr>
              <w:t xml:space="preserve">Result</w:t>
            </w:r>
          </w:p>
        </w:tc>
      </w:tr>
      <w:tr>
        <w:trPr>
          <w:cantSplit w:val="1"/>
        </w:trPr>
        <w:tc>
          <w:tcPr>
            <w:tcW w:w="2400" w:type="dxa"/>
            <w:noWrap/>
          </w:tcPr>
          <w:p>
            <w:pPr>
              <w:pStyle w:val="cell"/>
            </w:pPr>
            <w:r>
              <w:rPr>
                <w:sz w:val="17"/>
                <w:szCs w:val="17"/>
              </w:rPr>
              <w:t xml:space="preserve">Desktop cluster</w:t>
            </w:r>
          </w:p>
        </w:tc>
        <w:tc>
          <w:tcPr>
            <w:tcW w:w="900" w:type="dxa"/>
            <w:noWrap/>
          </w:tcPr>
          <w:p>
            <w:pPr>
              <w:pStyle w:val="cell"/>
            </w:pPr>
            <w:r>
              <w:rPr>
                <w:sz w:val="17"/>
                <w:szCs w:val="17"/>
              </w:rPr>
              <w:t xml:space="preserve">22</w:t>
            </w:r>
          </w:p>
        </w:tc>
        <w:tc>
          <w:tcPr>
            <w:tcW w:w="900" w:type="dxa"/>
            <w:noWrap/>
          </w:tcPr>
          <w:p>
            <w:pPr>
              <w:pStyle w:val="cell"/>
            </w:pPr>
            <w:r>
              <w:rPr>
                <w:sz w:val="17"/>
                <w:szCs w:val="17"/>
              </w:rPr>
              <w:t xml:space="preserve">1</w:t>
            </w:r>
          </w:p>
        </w:tc>
        <w:tc>
          <w:tcPr>
            <w:tcW w:w="1100" w:type="dxa"/>
            <w:noWrap/>
          </w:tcPr>
          <w:p>
            <w:pPr>
              <w:pStyle w:val="cell"/>
            </w:pPr>
            <w:r>
              <w:rPr>
                <w:sz w:val="17"/>
                <w:szCs w:val="17"/>
              </w:rPr>
              <w:t xml:space="preserve">91.8%</w:t>
            </w:r>
          </w:p>
        </w:tc>
        <w:tc>
          <w:tcPr>
            <w:tcW w:w="1100" w:type="dxa"/>
            <w:noWrap/>
          </w:tcPr>
          <w:p>
            <w:pPr>
              <w:pStyle w:val="cell"/>
            </w:pPr>
            <w:r>
              <w:rPr>
                <w:sz w:val="17"/>
                <w:szCs w:val="17"/>
              </w:rPr>
              <w:t xml:space="preserve">95.6%</w:t>
            </w:r>
          </w:p>
        </w:tc>
        <w:tc>
          <w:tcPr>
            <w:tcW w:w="1100" w:type="dxa"/>
            <w:noWrap/>
          </w:tcPr>
          <w:p>
            <w:pPr>
              <w:pStyle w:val="cell"/>
            </w:pPr>
            <w:r>
              <w:rPr>
                <w:sz w:val="17"/>
                <w:szCs w:val="17"/>
              </w:rPr>
              <w:t xml:space="preserve">4.91:1</w:t>
            </w:r>
          </w:p>
        </w:tc>
        <w:tc>
          <w:tcPr>
            <w:tcW w:w="2000" w:type="dxa"/>
            <w:noWrap/>
          </w:tcPr>
          <w:p>
            <w:pPr>
              <w:pStyle w:val="cell"/>
            </w:pPr>
            <w:r>
              <w:rPr>
                <w:sz w:val="17"/>
                <w:szCs w:val="17"/>
              </w:rPr>
              <w:t xml:space="preserve">Capacity maintained</w:t>
            </w:r>
          </w:p>
        </w:tc>
      </w:tr>
      <w:tr>
        <w:trPr>
          <w:cantSplit w:val="1"/>
        </w:trPr>
        <w:tc>
          <w:tcPr>
            <w:tcW w:w="2400" w:type="dxa"/>
            <w:shd w:val="clear" w:fill="F3F1EC"/>
            <w:noWrap/>
          </w:tcPr>
          <w:p>
            <w:pPr>
              <w:pStyle w:val="cell"/>
            </w:pPr>
            <w:r>
              <w:rPr>
                <w:sz w:val="17"/>
                <w:szCs w:val="17"/>
              </w:rPr>
              <w:t xml:space="preserve">GPU cluster</w:t>
            </w:r>
          </w:p>
        </w:tc>
        <w:tc>
          <w:tcPr>
            <w:tcW w:w="900" w:type="dxa"/>
            <w:shd w:val="clear" w:fill="F3F1EC"/>
            <w:noWrap/>
          </w:tcPr>
          <w:p>
            <w:pPr>
              <w:pStyle w:val="cell"/>
            </w:pPr>
            <w:r>
              <w:rPr>
                <w:sz w:val="17"/>
                <w:szCs w:val="17"/>
              </w:rPr>
              <w:t xml:space="preserve">11</w:t>
            </w:r>
          </w:p>
        </w:tc>
        <w:tc>
          <w:tcPr>
            <w:tcW w:w="900" w:type="dxa"/>
            <w:shd w:val="clear" w:fill="F3F1EC"/>
            <w:noWrap/>
          </w:tcPr>
          <w:p>
            <w:pPr>
              <w:pStyle w:val="cell"/>
            </w:pPr>
            <w:r>
              <w:rPr>
                <w:sz w:val="17"/>
                <w:szCs w:val="17"/>
              </w:rPr>
              <w:t xml:space="preserve">1</w:t>
            </w:r>
          </w:p>
        </w:tc>
        <w:tc>
          <w:tcPr>
            <w:tcW w:w="1100" w:type="dxa"/>
            <w:shd w:val="clear" w:fill="F3F1EC"/>
            <w:noWrap/>
          </w:tcPr>
          <w:p>
            <w:pPr>
              <w:pStyle w:val="cell"/>
            </w:pPr>
            <w:r>
              <w:rPr>
                <w:sz w:val="17"/>
                <w:szCs w:val="17"/>
              </w:rPr>
              <w:t xml:space="preserve">93.8%</w:t>
            </w:r>
          </w:p>
        </w:tc>
        <w:tc>
          <w:tcPr>
            <w:tcW w:w="1100" w:type="dxa"/>
            <w:shd w:val="clear" w:fill="F3F1EC"/>
            <w:noWrap/>
          </w:tcPr>
          <w:p>
            <w:pPr>
              <w:pStyle w:val="cell"/>
            </w:pPr>
            <w:r>
              <w:rPr>
                <w:sz w:val="17"/>
                <w:szCs w:val="17"/>
              </w:rPr>
              <w:t xml:space="preserve">33.9%</w:t>
            </w:r>
          </w:p>
        </w:tc>
        <w:tc>
          <w:tcPr>
            <w:tcW w:w="1100" w:type="dxa"/>
            <w:shd w:val="clear" w:fill="F3F1EC"/>
            <w:noWrap/>
          </w:tcPr>
          <w:p>
            <w:pPr>
              <w:pStyle w:val="cell"/>
            </w:pPr>
            <w:r>
              <w:rPr>
                <w:sz w:val="17"/>
                <w:szCs w:val="17"/>
              </w:rPr>
              <w:t xml:space="preserve">1.88:1</w:t>
            </w:r>
          </w:p>
        </w:tc>
        <w:tc>
          <w:tcPr>
            <w:tcW w:w="2000" w:type="dxa"/>
            <w:shd w:val="clear" w:fill="F3F1EC"/>
            <w:noWrap/>
          </w:tcPr>
          <w:p>
            <w:pPr>
              <w:pStyle w:val="cell"/>
            </w:pPr>
            <w:r>
              <w:rPr>
                <w:sz w:val="17"/>
                <w:szCs w:val="17"/>
              </w:rPr>
              <w:t xml:space="preserve">Capacity maintained</w:t>
            </w:r>
          </w:p>
        </w:tc>
      </w:tr>
      <w:tr>
        <w:trPr>
          <w:cantSplit w:val="1"/>
        </w:trPr>
        <w:tc>
          <w:tcPr>
            <w:tcW w:w="2400" w:type="dxa"/>
            <w:noWrap/>
          </w:tcPr>
          <w:p>
            <w:pPr>
              <w:pStyle w:val="cell"/>
            </w:pPr>
            <w:r>
              <w:rPr>
                <w:sz w:val="17"/>
                <w:szCs w:val="17"/>
              </w:rPr>
              <w:t xml:space="preserve">Management cluster</w:t>
            </w:r>
          </w:p>
        </w:tc>
        <w:tc>
          <w:tcPr>
            <w:tcW w:w="900" w:type="dxa"/>
            <w:noWrap/>
          </w:tcPr>
          <w:p>
            <w:pPr>
              <w:pStyle w:val="cell"/>
            </w:pPr>
            <w:r>
              <w:rPr>
                <w:sz w:val="17"/>
                <w:szCs w:val="17"/>
              </w:rPr>
              <w:t xml:space="preserve">2</w:t>
            </w:r>
          </w:p>
        </w:tc>
        <w:tc>
          <w:tcPr>
            <w:tcW w:w="900" w:type="dxa"/>
            <w:noWrap/>
          </w:tcPr>
          <w:p>
            <w:pPr>
              <w:pStyle w:val="cell"/>
            </w:pPr>
            <w:r>
              <w:rPr>
                <w:sz w:val="17"/>
                <w:szCs w:val="17"/>
              </w:rPr>
              <w:t xml:space="preserve">1</w:t>
            </w:r>
          </w:p>
        </w:tc>
        <w:tc>
          <w:tcPr>
            <w:tcW w:w="1100" w:type="dxa"/>
            <w:noWrap/>
          </w:tcPr>
          <w:p>
            <w:pPr>
              <w:pStyle w:val="cell"/>
            </w:pPr>
            <w:r>
              <w:rPr>
                <w:sz w:val="17"/>
                <w:szCs w:val="17"/>
              </w:rPr>
              <w:t xml:space="preserve">68.8%</w:t>
            </w:r>
          </w:p>
        </w:tc>
        <w:tc>
          <w:tcPr>
            <w:tcW w:w="1100" w:type="dxa"/>
            <w:noWrap/>
          </w:tcPr>
          <w:p>
            <w:pPr>
              <w:pStyle w:val="cell"/>
            </w:pPr>
            <w:r>
              <w:rPr>
                <w:sz w:val="17"/>
                <w:szCs w:val="17"/>
              </w:rPr>
              <w:t xml:space="preserve">25.3%</w:t>
            </w:r>
          </w:p>
        </w:tc>
        <w:tc>
          <w:tcPr>
            <w:tcW w:w="1100" w:type="dxa"/>
            <w:noWrap/>
          </w:tcPr>
          <w:p>
            <w:pPr>
              <w:pStyle w:val="cell"/>
            </w:pPr>
            <w:r>
              <w:rPr>
                <w:sz w:val="17"/>
                <w:szCs w:val="17"/>
              </w:rPr>
              <w:t xml:space="preserve">1.38:1</w:t>
            </w:r>
          </w:p>
        </w:tc>
        <w:tc>
          <w:tcPr>
            <w:tcW w:w="2000" w:type="dxa"/>
            <w:noWrap/>
          </w:tcPr>
          <w:p>
            <w:pPr>
              <w:pStyle w:val="cell"/>
            </w:pPr>
            <w:r>
              <w:rPr>
                <w:sz w:val="17"/>
                <w:szCs w:val="17"/>
              </w:rPr>
              <w:t xml:space="preserve">Capacity maintained</w:t>
            </w:r>
          </w:p>
        </w:tc>
      </w:tr>
    </w:tbl>
    <w:p>
      <w:pPr>
        <w:rPr>
          <w:sz w:val="8"/>
          <w:szCs w:val="8"/>
        </w:rPr>
      </w:pPr>
    </w:p>
    <w:p>
      <w:pPr>
        <w:numPr>
          <w:ilvl w:val="0"/>
          <w:numId w:val="6"/>
        </w:numPr>
      </w:pPr>
      <w:r>
        <w:rPr>
          <w:sz w:val="19"/>
          <w:szCs w:val="19"/>
        </w:rPr>
        <w:t xml:space="preserve">Connection Servers: 2 per pod (N+1, Omnissa configmax "6+1" model), behind a load-balancer HA pair.</w:t>
      </w:r>
    </w:p>
    <w:p>
      <w:pPr>
        <w:numPr>
          <w:ilvl w:val="0"/>
          <w:numId w:val="6"/>
        </w:numPr>
      </w:pPr>
      <w:r>
        <w:rPr>
          <w:sz w:val="19"/>
          <w:szCs w:val="19"/>
        </w:rPr>
        <w:t xml:space="preserve">Unified Access Gateway: 2 appliances (1 active + n+1), load balanced.</w:t>
      </w:r>
    </w:p>
    <w:p>
      <w:pPr>
        <w:numPr>
          <w:ilvl w:val="0"/>
          <w:numId w:val="6"/>
        </w:numPr>
      </w:pPr>
      <w:r>
        <w:rPr>
          <w:sz w:val="19"/>
          <w:szCs w:val="19"/>
        </w:rPr>
        <w:t xml:space="preserve">Desktops: non-persistent desktops are re-provisioned from the golden image; persistent desktops depend on storage protection and backup.</w:t>
      </w:r>
    </w:p>
    <w:p>
      <w:pPr>
        <w:numPr>
          <w:ilvl w:val="0"/>
          <w:numId w:val="6"/>
        </w:numPr>
      </w:pPr>
      <w:r>
        <w:rPr>
          <w:sz w:val="19"/>
          <w:szCs w:val="19"/>
        </w:rPr>
        <w:t xml:space="preserve">Disaster recovery: secondary site with 19 hosts (50% capacity), federated with Cloud Pod Architecture.</w:t>
      </w:r>
    </w:p>
    <w:p>
      <w:pPr>
        <w:pStyle w:val="Heading1"/>
      </w:pPr>
      <w:bookmarkStart w:id="22" w:name="_Toc22"/>
      <w:r>
        <w:t>13. Risks and dependencies</w:t>
      </w:r>
      <w:bookmarkEnd w:id="22"/>
    </w:p>
    <w:p>
      <w:pPr>
        <w:pStyle w:val="Heading3"/>
      </w:pPr>
      <w:bookmarkStart w:id="23" w:name="_Toc23"/>
      <w:r>
        <w:t>Warnings</w:t>
      </w:r>
      <w:bookmarkEnd w:id="23"/>
    </w:p>
    <w:p>
      <w:pPr>
        <w:numPr>
          <w:ilvl w:val="0"/>
          <w:numId w:val="6"/>
        </w:numPr>
      </w:pPr>
      <w:r>
        <w:rPr>
          <w:sz w:val="18"/>
          <w:szCs w:val="18"/>
        </w:rPr>
        <w:t xml:space="preserve">Engineering office users: the vCPU:core ratio is a profile assumption. Omnissa recommends determining consolidation ratios in a pilot.</w:t>
      </w:r>
    </w:p>
    <w:p>
      <w:pPr>
        <w:numPr>
          <w:ilvl w:val="0"/>
          <w:numId w:val="6"/>
        </w:numPr>
      </w:pPr>
      <w:r>
        <w:rPr>
          <w:sz w:val="18"/>
          <w:szCs w:val="18"/>
        </w:rPr>
        <w:t xml:space="preserve">CAD workstations (vGPU): the vCPU:core ratio is a profile assumption. Omnissa recommends determining consolidation ratios in a pilot.</w:t>
      </w:r>
    </w:p>
    <w:p>
      <w:pPr>
        <w:numPr>
          <w:ilvl w:val="0"/>
          <w:numId w:val="6"/>
        </w:numPr>
      </w:pPr>
      <w:r>
        <w:rPr>
          <w:sz w:val="18"/>
          <w:szCs w:val="18"/>
        </w:rPr>
        <w:t xml:space="preserve">Software developers: the vCPU:core ratio is a profile assumption. Omnissa recommends determining consolidation ratios in a pilot.</w:t>
      </w:r>
    </w:p>
    <w:p>
      <w:pPr>
        <w:numPr>
          <w:ilvl w:val="0"/>
          <w:numId w:val="6"/>
        </w:numPr>
      </w:pPr>
      <w:r>
        <w:rPr>
          <w:sz w:val="18"/>
          <w:szCs w:val="18"/>
        </w:rPr>
        <w:t xml:space="preserve">Engineering office users: per-session IOPS is an engineering assumption; Omnissa publishes no per-user IOPS figure. Replace it with assessment data.</w:t>
      </w:r>
    </w:p>
    <w:p>
      <w:pPr>
        <w:numPr>
          <w:ilvl w:val="0"/>
          <w:numId w:val="6"/>
        </w:numPr>
      </w:pPr>
      <w:r>
        <w:rPr>
          <w:sz w:val="18"/>
          <w:szCs w:val="18"/>
        </w:rPr>
        <w:t xml:space="preserve">CAD workstations (vGPU): per-session IOPS is an engineering assumption; Omnissa publishes no per-user IOPS figure. Replace it with assessment data.</w:t>
      </w:r>
    </w:p>
    <w:p>
      <w:pPr>
        <w:numPr>
          <w:ilvl w:val="0"/>
          <w:numId w:val="6"/>
        </w:numPr>
      </w:pPr>
      <w:r>
        <w:rPr>
          <w:sz w:val="18"/>
          <w:szCs w:val="18"/>
        </w:rPr>
        <w:t xml:space="preserve">Software developers: per-session IOPS is an engineering assumption; Omnissa publishes no per-user IOPS figure. Replace it with assessment data.</w:t>
      </w:r>
    </w:p>
    <w:p>
      <w:pPr>
        <w:numPr>
          <w:ilvl w:val="0"/>
          <w:numId w:val="6"/>
        </w:numPr>
      </w:pPr>
      <w:r>
        <w:rPr>
          <w:sz w:val="18"/>
          <w:szCs w:val="18"/>
        </w:rPr>
        <w:t xml:space="preserve">Engineering office users: session bandwidth is not measured. Omnissa's 150–200 Kbps figure is only a pilot starting point for knowledge workers; protocol, resolution, monitors and multimedia change it.</w:t>
      </w:r>
    </w:p>
    <w:p>
      <w:pPr>
        <w:numPr>
          <w:ilvl w:val="0"/>
          <w:numId w:val="6"/>
        </w:numPr>
      </w:pPr>
      <w:r>
        <w:rPr>
          <w:sz w:val="18"/>
          <w:szCs w:val="18"/>
        </w:rPr>
        <w:t xml:space="preserve">CAD workstations (vGPU): session bandwidth is not measured. Omnissa's 150–200 Kbps figure is only a pilot starting point for knowledge workers; protocol, resolution, monitors and multimedia change it.</w:t>
      </w:r>
    </w:p>
    <w:p>
      <w:pPr>
        <w:numPr>
          <w:ilvl w:val="0"/>
          <w:numId w:val="6"/>
        </w:numPr>
      </w:pPr>
      <w:r>
        <w:rPr>
          <w:sz w:val="18"/>
          <w:szCs w:val="18"/>
        </w:rPr>
        <w:t xml:space="preserve">Software developers: session bandwidth is not measured. Omnissa's 150–200 Kbps figure is only a pilot starting point for knowledge workers; protocol, resolution, monitors and multimedia change it.</w:t>
      </w:r>
    </w:p>
    <w:p>
      <w:pPr>
        <w:pStyle w:val="Heading3"/>
      </w:pPr>
      <w:bookmarkStart w:id="24" w:name="_Toc24"/>
      <w:r>
        <w:t>Requires vendor validation</w:t>
      </w:r>
      <w:bookmarkEnd w:id="24"/>
    </w:p>
    <w:p>
      <w:pPr>
        <w:numPr>
          <w:ilvl w:val="0"/>
          <w:numId w:val="6"/>
        </w:numPr>
      </w:pPr>
      <w:r>
        <w:rPr>
          <w:sz w:val="18"/>
          <w:szCs w:val="18"/>
        </w:rPr>
        <w:t xml:space="preserve">Storage array RAID layout, usable capacity and performance must be confirmed by the array vendor.</w:t>
      </w:r>
    </w:p>
    <w:p>
      <w:pPr>
        <w:numPr>
          <w:ilvl w:val="0"/>
          <w:numId w:val="6"/>
        </w:numPr>
      </w:pPr>
      <w:r>
        <w:rPr>
          <w:sz w:val="18"/>
          <w:szCs w:val="18"/>
        </w:rPr>
        <w:t xml:space="preserve">Backup capacity uses assumed retention and change rates; confirm with the backup vendor's sizing tools.</w:t>
      </w:r>
    </w:p>
    <w:p>
      <w:pPr>
        <w:numPr>
          <w:ilvl w:val="0"/>
          <w:numId w:val="6"/>
        </w:numPr>
      </w:pPr>
      <w:r>
        <w:rPr>
          <w:sz w:val="18"/>
          <w:szCs w:val="18"/>
        </w:rPr>
        <w:t xml:space="preserve">CAD workstations (vGPU): validate GPU, server, hypervisor, NVIDIA driver/vGPU software, Horizon and application compatibility with each vendor before ordering.</w:t>
      </w:r>
    </w:p>
    <w:p>
      <w:pPr>
        <w:numPr>
          <w:ilvl w:val="0"/>
          <w:numId w:val="6"/>
        </w:numPr>
      </w:pPr>
      <w:r>
        <w:rPr>
          <w:sz w:val="18"/>
          <w:szCs w:val="18"/>
        </w:rPr>
        <w:t xml:space="preserve">Engineering office users: confirm that Windows 11 Enterprise is supported by the Horizon Agent version in scope.</w:t>
      </w:r>
    </w:p>
    <w:p>
      <w:pPr>
        <w:numPr>
          <w:ilvl w:val="0"/>
          <w:numId w:val="6"/>
        </w:numPr>
      </w:pPr>
      <w:r>
        <w:rPr>
          <w:sz w:val="18"/>
          <w:szCs w:val="18"/>
        </w:rPr>
        <w:t xml:space="preserve">CAD workstations (vGPU): confirm that Windows 11 Enterprise is supported by the Horizon Agent version in scope.</w:t>
      </w:r>
    </w:p>
    <w:p>
      <w:pPr>
        <w:numPr>
          <w:ilvl w:val="0"/>
          <w:numId w:val="6"/>
        </w:numPr>
      </w:pPr>
      <w:r>
        <w:rPr>
          <w:sz w:val="18"/>
          <w:szCs w:val="18"/>
        </w:rPr>
        <w:t xml:space="preserve">Software developers: confirm that Windows 11 Enterprise is supported by the Horizon Agent version in scope.</w:t>
      </w:r>
    </w:p>
    <w:p>
      <w:pPr>
        <w:numPr>
          <w:ilvl w:val="0"/>
          <w:numId w:val="6"/>
        </w:numPr>
      </w:pPr>
      <w:r>
        <w:rPr>
          <w:sz w:val="18"/>
          <w:szCs w:val="18"/>
        </w:rPr>
        <w:t xml:space="preserve">Load balancers: confirm health monitors, persistence and Horizon/UAG support with the load-balancer vendor.</w:t>
      </w:r>
    </w:p>
    <w:p>
      <w:pPr>
        <w:pStyle w:val="Heading3"/>
      </w:pPr>
      <w:bookmarkStart w:id="25" w:name="_Toc25"/>
      <w:r>
        <w:t>Dependencies</w:t>
      </w:r>
      <w:bookmarkEnd w:id="25"/>
    </w:p>
    <w:p>
      <w:pPr>
        <w:numPr>
          <w:ilvl w:val="0"/>
          <w:numId w:val="6"/>
        </w:numPr>
      </w:pPr>
      <w:r>
        <w:rPr>
          <w:sz w:val="18"/>
          <w:szCs w:val="18"/>
        </w:rPr>
        <w:t xml:space="preserve">Active Directory and DNS (existing domain controllers) reachable from Connection Servers and desktops.</w:t>
      </w:r>
    </w:p>
    <w:p>
      <w:pPr>
        <w:numPr>
          <w:ilvl w:val="0"/>
          <w:numId w:val="6"/>
        </w:numPr>
      </w:pPr>
      <w:r>
        <w:rPr>
          <w:sz w:val="18"/>
          <w:szCs w:val="18"/>
        </w:rPr>
        <w:t xml:space="preserve">Certificates: public CA for external names, internal PKI for internal names; replace default self-signed certificates on Connection Servers and UAG.</w:t>
      </w:r>
    </w:p>
    <w:p>
      <w:pPr>
        <w:numPr>
          <w:ilvl w:val="0"/>
          <w:numId w:val="6"/>
        </w:numPr>
      </w:pPr>
      <w:r>
        <w:rPr>
          <w:sz w:val="18"/>
          <w:szCs w:val="18"/>
        </w:rPr>
        <w:t xml:space="preserve">Horizon licensing: named users.</w:t>
      </w:r>
    </w:p>
    <w:p>
      <w:pPr>
        <w:numPr>
          <w:ilvl w:val="0"/>
          <w:numId w:val="6"/>
        </w:numPr>
      </w:pPr>
      <w:r>
        <w:rPr>
          <w:sz w:val="18"/>
          <w:szCs w:val="18"/>
        </w:rPr>
        <w:t xml:space="preserve">Profile management: Dynamic Environment Manager on SMB file services (NAS).</w:t>
      </w:r>
    </w:p>
    <w:p>
      <w:pPr>
        <w:numPr>
          <w:ilvl w:val="0"/>
          <w:numId w:val="6"/>
        </w:numPr>
      </w:pPr>
      <w:r>
        <w:rPr>
          <w:sz w:val="18"/>
          <w:szCs w:val="18"/>
        </w:rPr>
        <w:t xml:space="preserve">Guest operating systems must be supported by the Horizon Agent version in scope (Omnissa KB 78714 / 78715).</w:t>
      </w:r>
    </w:p>
    <w:p>
      <w:pPr>
        <w:numPr>
          <w:ilvl w:val="0"/>
          <w:numId w:val="6"/>
        </w:numPr>
      </w:pPr>
      <w:r>
        <w:rPr>
          <w:sz w:val="18"/>
          <w:szCs w:val="18"/>
        </w:rPr>
        <w:t xml:space="preserve">DHCP scopes or relays for 8 desktop subnet(s).</w:t>
      </w:r>
    </w:p>
    <w:p>
      <w:pPr>
        <w:numPr>
          <w:ilvl w:val="0"/>
          <w:numId w:val="6"/>
        </w:numPr>
      </w:pPr>
      <w:r>
        <w:rPr>
          <w:sz w:val="18"/>
          <w:szCs w:val="18"/>
        </w:rPr>
        <w:t xml:space="preserve">Backup platform (Existing enterprise backup) for persistent desktops, profiles, user data and infrastructure.</w:t>
      </w:r>
    </w:p>
    <w:p>
      <w:pPr>
        <w:pStyle w:val="Heading3"/>
      </w:pPr>
      <w:bookmarkStart w:id="26" w:name="_Toc26"/>
      <w:r>
        <w:t>Next steps</w:t>
      </w:r>
      <w:bookmarkEnd w:id="26"/>
    </w:p>
    <w:p>
      <w:pPr>
        <w:numPr>
          <w:ilvl w:val="0"/>
          <w:numId w:val="6"/>
        </w:numPr>
      </w:pPr>
      <w:r>
        <w:rPr>
          <w:sz w:val="18"/>
          <w:szCs w:val="18"/>
        </w:rPr>
        <w:t xml:space="preserve">Run a pilot with representative users to validate vCPU:core ratios, RDS session density, IOPS and bandwidth (Omnissa recommends pilots for consolidation ratios).</w:t>
      </w:r>
    </w:p>
    <w:p>
      <w:pPr>
        <w:numPr>
          <w:ilvl w:val="0"/>
          <w:numId w:val="6"/>
        </w:numPr>
      </w:pPr>
      <w:r>
        <w:rPr>
          <w:sz w:val="18"/>
          <w:szCs w:val="18"/>
        </w:rPr>
        <w:t xml:space="preserve">Replace assumption-based inputs with assessment data and recalculate.</w:t>
      </w:r>
    </w:p>
    <w:p>
      <w:pPr>
        <w:numPr>
          <w:ilvl w:val="0"/>
          <w:numId w:val="6"/>
        </w:numPr>
      </w:pPr>
      <w:r>
        <w:rPr>
          <w:sz w:val="18"/>
          <w:szCs w:val="18"/>
        </w:rPr>
        <w:t xml:space="preserve">Validate the hardware selection with the server, storage, network and GPU vendors (compatibility lists, firmware, licensing).</w:t>
      </w:r>
    </w:p>
    <w:p>
      <w:pPr>
        <w:numPr>
          <w:ilvl w:val="0"/>
          <w:numId w:val="6"/>
        </w:numPr>
      </w:pPr>
      <w:r>
        <w:rPr>
          <w:sz w:val="18"/>
          <w:szCs w:val="18"/>
        </w:rPr>
        <w:t xml:space="preserve">Review the generated firewall matrix with the security team against the actual deployment and policy.</w:t>
      </w:r>
    </w:p>
    <w:p>
      <w:pPr>
        <w:numPr>
          <w:ilvl w:val="0"/>
          <w:numId w:val="6"/>
        </w:numPr>
      </w:pPr>
      <w:r>
        <w:rPr>
          <w:sz w:val="18"/>
          <w:szCs w:val="18"/>
        </w:rPr>
        <w:t xml:space="preserve">Confirm licensing quantities and editions with Omnissa and the platform vendors.</w:t>
      </w:r>
    </w:p>
    <w:p>
      <w:pPr>
        <w:pStyle w:val="Heading1"/>
      </w:pPr>
      <w:bookmarkStart w:id="27" w:name="_Toc27"/>
      <w:r>
        <w:t>14. Official references</w:t>
      </w:r>
      <w:bookmarkEnd w:id="27"/>
    </w:p>
    <w:tbl>
      <w:tblGrid>
        <w:gridCol/>
        <w:gridCol/>
        <w:gridCol/>
        <w:gridCol/>
      </w:tblGrid>
      <w:tblPr>
        <w:tblStyle w:val="grid"/>
      </w:tblPr>
      <w:tr>
        <w:trPr>
          <w:tblHeader w:val="1"/>
        </w:trPr>
        <w:tc>
          <w:tcPr>
            <w:shd w:val="clear" w:fill="0B0B0B"/>
            <w:noWrap/>
          </w:tcPr>
          <w:p>
            <w:pPr>
              <w:pStyle w:val="cell"/>
            </w:pPr>
            <w:r>
              <w:rPr>
                <w:color w:val="FFFFFF"/>
                <w:sz w:val="17"/>
                <w:szCs w:val="17"/>
                <w:b w:val="1"/>
                <w:bCs w:val="1"/>
              </w:rPr>
              <w:t xml:space="preserve">Source</w:t>
            </w:r>
          </w:p>
        </w:tc>
        <w:tc>
          <w:tcPr>
            <w:shd w:val="clear" w:fill="0B0B0B"/>
            <w:noWrap/>
          </w:tcPr>
          <w:p>
            <w:pPr>
              <w:pStyle w:val="cell"/>
            </w:pPr>
            <w:r>
              <w:rPr>
                <w:color w:val="FFFFFF"/>
                <w:sz w:val="17"/>
                <w:szCs w:val="17"/>
                <w:b w:val="1"/>
                <w:bCs w:val="1"/>
              </w:rPr>
              <w:t xml:space="preserve">Section</w:t>
            </w:r>
          </w:p>
        </w:tc>
        <w:tc>
          <w:tcPr>
            <w:shd w:val="clear" w:fill="0B0B0B"/>
            <w:noWrap/>
          </w:tcPr>
          <w:p>
            <w:pPr>
              <w:pStyle w:val="cell"/>
            </w:pPr>
            <w:r>
              <w:rPr>
                <w:color w:val="FFFFFF"/>
                <w:sz w:val="17"/>
                <w:szCs w:val="17"/>
                <w:b w:val="1"/>
                <w:bCs w:val="1"/>
              </w:rPr>
              <w:t xml:space="preserve">Version</w:t>
            </w:r>
          </w:p>
        </w:tc>
        <w:tc>
          <w:tcPr>
            <w:shd w:val="clear" w:fill="0B0B0B"/>
            <w:noWrap/>
          </w:tcPr>
          <w:p>
            <w:pPr>
              <w:pStyle w:val="cell"/>
            </w:pPr>
            <w:r>
              <w:rPr>
                <w:color w:val="FFFFFF"/>
                <w:sz w:val="17"/>
                <w:szCs w:val="17"/>
                <w:b w:val="1"/>
                <w:bCs w:val="1"/>
              </w:rPr>
              <w:t xml:space="preserve">Verified</w:t>
            </w:r>
          </w:p>
        </w:tc>
      </w:tr>
      <w:tr>
        <w:trPr/>
        <w:tc>
          <w:tcPr>
            <w:tcW w:w="4200" w:type="dxa"/>
            <w:noWrap/>
          </w:tcPr>
          <w:p>
            <w:pPr>
              <w:pStyle w:val="cell"/>
            </w:pPr>
            <w:r>
              <w:rPr>
                <w:sz w:val="17"/>
                <w:szCs w:val="17"/>
                <w:b w:val="1"/>
                <w:bCs w:val="1"/>
              </w:rPr>
              <w:t xml:space="preserve">Microsoft — Service overview and network port requirements for Windows</w:t>
            </w:r>
          </w:p>
          <w:p>
            <w:pPr>
              <w:pStyle w:val="cell"/>
            </w:pPr>
            <w:hyperlink r:id="rId12" w:history="1">
              <w:r>
                <w:rPr>
                  <w:color w:val="2B579A"/>
                  <w:sz w:val="15"/>
                  <w:szCs w:val="15"/>
                  <w:u w:val="single"/>
                </w:rPr>
                <w:t xml:space="preserve">https://learn.microsoft.com/en-us/troubleshoot/windows-server/networking/service-overview-and-network-port-requirements</w:t>
              </w:r>
            </w:hyperlink>
          </w:p>
        </w:tc>
        <w:tc>
          <w:tcPr>
            <w:tcW w:w="2800" w:type="dxa"/>
            <w:noWrap/>
          </w:tcPr>
          <w:p>
            <w:pPr>
              <w:pStyle w:val="cell"/>
            </w:pPr>
            <w:r>
              <w:rPr>
                <w:sz w:val="16"/>
                <w:szCs w:val="16"/>
              </w:rPr>
              <w:t xml:space="preserve">Active Directory (LSA); Kerberos Key Distribution Center; Net Logon; DNS Server; DHCP Server; Windows Time; Certificate Services; Remote Desktop Services; Offline Files/User Profile/Folder Redirection</w:t>
            </w:r>
          </w:p>
        </w:tc>
        <w:tc>
          <w:tcPr>
            <w:tcW w:w="1600" w:type="dxa"/>
            <w:noWrap/>
          </w:tcPr>
          <w:p>
            <w:pPr>
              <w:pStyle w:val="cell"/>
            </w:pPr>
            <w:r>
              <w:rPr>
                <w:sz w:val="16"/>
                <w:szCs w:val="16"/>
              </w:rPr>
              <w:t xml:space="preserve">Article dated 2026-02-12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NVIDIA — Virtual GPU Types Reference — NVIDIA Virtual GPU Software Documentation</w:t>
            </w:r>
          </w:p>
          <w:p>
            <w:pPr>
              <w:pStyle w:val="cell"/>
            </w:pPr>
            <w:hyperlink r:id="rId13" w:history="1">
              <w:r>
                <w:rPr>
                  <w:color w:val="2B579A"/>
                  <w:sz w:val="15"/>
                  <w:szCs w:val="15"/>
                  <w:u w:val="single"/>
                </w:rPr>
                <w:t xml:space="preserve">https://docs.nvidia.com/vgpu/latest/grid-vgpu-user-guide/virtual-gpu-types-grid-reference.html</w:t>
              </w:r>
            </w:hyperlink>
          </w:p>
        </w:tc>
        <w:tc>
          <w:tcPr>
            <w:tcW w:w="2800" w:type="dxa"/>
            <w:noWrap/>
          </w:tcPr>
          <w:p>
            <w:pPr>
              <w:pStyle w:val="cell"/>
            </w:pPr>
            <w:r>
              <w:rPr>
                <w:sz w:val="16"/>
                <w:szCs w:val="16"/>
              </w:rPr>
              <w:t xml:space="preserve">Q-series virtual GPU types for A16, A10, A40, L4, L40, L40S</w:t>
            </w:r>
          </w:p>
        </w:tc>
        <w:tc>
          <w:tcPr>
            <w:tcW w:w="1600" w:type="dxa"/>
            <w:noWrap/>
          </w:tcPr>
          <w:p>
            <w:pPr>
              <w:pStyle w:val="cell"/>
            </w:pPr>
            <w:r>
              <w:rPr>
                <w:sz w:val="16"/>
                <w:szCs w:val="16"/>
              </w:rPr>
              <w:t xml:space="preserve">Release 20.x</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Using 3D Graphics Applications</w:t>
            </w:r>
          </w:p>
          <w:p>
            <w:pPr>
              <w:pStyle w:val="cell"/>
            </w:pPr>
            <w:hyperlink r:id="rId14" w:history="1">
              <w:r>
                <w:rPr>
                  <w:color w:val="2B579A"/>
                  <w:sz w:val="15"/>
                  <w:szCs w:val="15"/>
                  <w:u w:val="single"/>
                </w:rPr>
                <w:t xml:space="preserve">https://docs.omnissa.com/HorizonOverviewDeployment/Using3DGraphicsApplications</w:t>
              </w:r>
            </w:hyperlink>
          </w:p>
        </w:tc>
        <w:tc>
          <w:tcPr>
            <w:tcW w:w="2800" w:type="dxa"/>
            <w:noWrap/>
          </w:tcPr>
          <w:p>
            <w:pPr>
              <w:pStyle w:val="cell"/>
            </w:pPr>
            <w:r>
              <w:rPr>
                <w:sz w:val="16"/>
                <w:szCs w:val="16"/>
              </w:rPr>
              <w:t xml:space="preserve">NVIDIA vGPU (vSphere and Nutanix AHV); AMD MxGPU, vDGA, vSGA, Soft 3D (vSphere)</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Omnissa Horizon Blast Extreme</w:t>
            </w:r>
          </w:p>
          <w:p>
            <w:pPr>
              <w:pStyle w:val="cell"/>
            </w:pPr>
            <w:hyperlink r:id="rId15" w:history="1">
              <w:r>
                <w:rPr>
                  <w:color w:val="2B579A"/>
                  <w:sz w:val="15"/>
                  <w:szCs w:val="15"/>
                  <w:u w:val="single"/>
                </w:rPr>
                <w:t xml:space="preserve">https://docs.omnissa.com/HorizonOverviewDeployment/BlastExtreme</w:t>
              </w:r>
            </w:hyperlink>
          </w:p>
        </w:tc>
        <w:tc>
          <w:tcPr>
            <w:tcW w:w="2800" w:type="dxa"/>
            <w:noWrap/>
          </w:tcPr>
          <w:p>
            <w:pPr>
              <w:pStyle w:val="cell"/>
            </w:pPr>
            <w:r>
              <w:rPr>
                <w:sz w:val="16"/>
                <w:szCs w:val="16"/>
              </w:rPr>
              <w:t xml:space="preserve">Bandwidth-related (MaxBandwidthCap = Offset + Slope × ScreenArea); Recommended Guest Operating System Settings</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TCP and UDP Ports for Clients and Agents</w:t>
            </w:r>
          </w:p>
          <w:p>
            <w:pPr>
              <w:pStyle w:val="cell"/>
            </w:pPr>
            <w:hyperlink r:id="rId16" w:history="1">
              <w:r>
                <w:rPr>
                  <w:color w:val="2B579A"/>
                  <w:sz w:val="15"/>
                  <w:szCs w:val="15"/>
                  <w:u w:val="single"/>
                </w:rPr>
                <w:t xml:space="preserve">https://docs.omnissa.com/Horizon-Security/TCPandUDPPortsforClientsandAgents</w:t>
              </w:r>
            </w:hyperlink>
          </w:p>
        </w:tc>
        <w:tc>
          <w:tcPr>
            <w:tcW w:w="2800" w:type="dxa"/>
            <w:noWrap/>
          </w:tcPr>
          <w:p>
            <w:pPr>
              <w:pStyle w:val="cell"/>
            </w:pPr>
            <w:r>
              <w:rPr>
                <w:sz w:val="16"/>
                <w:szCs w:val="16"/>
              </w:rPr>
              <w:t xml:space="preserve">TCP and UDP Ports That Horizon Agent Uses; TCP and UDP Ports That Horizon Client Uses</w:t>
            </w:r>
          </w:p>
        </w:tc>
        <w:tc>
          <w:tcPr>
            <w:tcW w:w="1600" w:type="dxa"/>
            <w:noWrap/>
          </w:tcPr>
          <w:p>
            <w:pPr>
              <w:pStyle w:val="cell"/>
            </w:pPr>
            <w:r>
              <w:rPr>
                <w:sz w:val="16"/>
                <w:szCs w:val="16"/>
              </w:rPr>
              <w:t xml:space="preserve">Horizon 8 (page dated 2026-05-28); Web Client naming 2412+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Omnissa Configuration Maximums — Horizon 2606 Configuration Limits</w:t>
            </w:r>
          </w:p>
          <w:p>
            <w:pPr>
              <w:pStyle w:val="cell"/>
            </w:pPr>
            <w:hyperlink r:id="rId17" w:history="1">
              <w:r>
                <w:rPr>
                  <w:color w:val="2B579A"/>
                  <w:sz w:val="15"/>
                  <w:szCs w:val="15"/>
                  <w:u w:val="single"/>
                </w:rPr>
                <w:t xml:space="preserve">https://configmax.omnissa.com/guest?vmwareproduct=Horizon&amp;release=Horizon%202606</w:t>
              </w:r>
            </w:hyperlink>
          </w:p>
        </w:tc>
        <w:tc>
          <w:tcPr>
            <w:tcW w:w="2800" w:type="dxa"/>
            <w:noWrap/>
          </w:tcPr>
          <w:p>
            <w:pPr>
              <w:pStyle w:val="cell"/>
            </w:pPr>
            <w:r>
              <w:rPr>
                <w:sz w:val="16"/>
                <w:szCs w:val="16"/>
              </w:rPr>
              <w:t xml:space="preserve">POD Maximums; Connection Server Maximums; RDS Host Maximums; vCenter Maximums; Datastore Maximums; ESXi Host Maximums; UAG</w:t>
            </w:r>
          </w:p>
        </w:tc>
        <w:tc>
          <w:tcPr>
            <w:tcW w:w="1600" w:type="dxa"/>
            <w:noWrap/>
          </w:tcPr>
          <w:p>
            <w:pPr>
              <w:pStyle w:val="cell"/>
            </w:pPr>
            <w:r>
              <w:rPr>
                <w:sz w:val="16"/>
                <w:szCs w:val="16"/>
              </w:rPr>
              <w:t xml:space="preserve">Horizon 2606</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Omnissa Horizon Connection Server</w:t>
            </w:r>
          </w:p>
          <w:p>
            <w:pPr>
              <w:pStyle w:val="cell"/>
            </w:pPr>
            <w:hyperlink r:id="rId18" w:history="1">
              <w:r>
                <w:rPr>
                  <w:color w:val="2B579A"/>
                  <w:sz w:val="15"/>
                  <w:szCs w:val="15"/>
                  <w:u w:val="single"/>
                </w:rPr>
                <w:t xml:space="preserve">https://docs.omnissa.com/HorizonOverviewDeployment/HorizonConnectionServer</w:t>
              </w:r>
            </w:hyperlink>
          </w:p>
        </w:tc>
        <w:tc>
          <w:tcPr>
            <w:tcW w:w="2800" w:type="dxa"/>
            <w:noWrap/>
          </w:tcPr>
          <w:p>
            <w:pPr>
              <w:pStyle w:val="cell"/>
            </w:pPr>
            <w:r>
              <w:rPr>
                <w:sz w:val="16"/>
                <w:szCs w:val="16"/>
              </w:rPr>
              <w:t xml:space="preserve">Group of two or more Connection Server instances; UAG in the DMZ</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Cloud Pod Architecture Overview</w:t>
            </w:r>
          </w:p>
          <w:p>
            <w:pPr>
              <w:pStyle w:val="cell"/>
            </w:pPr>
            <w:hyperlink r:id="rId19" w:history="1">
              <w:r>
                <w:rPr>
                  <w:color w:val="2B579A"/>
                  <w:sz w:val="15"/>
                  <w:szCs w:val="15"/>
                  <w:u w:val="single"/>
                </w:rPr>
                <w:t xml:space="preserve">https://docs.omnissa.com/HorizonOverviewDeployment/CloudPodArchitectureOverview</w:t>
              </w:r>
            </w:hyperlink>
          </w:p>
        </w:tc>
        <w:tc>
          <w:tcPr>
            <w:tcW w:w="2800" w:type="dxa"/>
            <w:noWrap/>
          </w:tcPr>
          <w:p>
            <w:pPr>
              <w:pStyle w:val="cell"/>
            </w:pPr>
            <w:r>
              <w:rPr>
                <w:sz w:val="16"/>
                <w:szCs w:val="16"/>
              </w:rPr>
              <w:t xml:space="preserve">CPA required to span data centers (WAN/MAN)</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Estimating CPU Requirements for Virtual Machine Desktops</w:t>
            </w:r>
          </w:p>
          <w:p>
            <w:pPr>
              <w:pStyle w:val="cell"/>
            </w:pPr>
            <w:hyperlink r:id="rId20" w:history="1">
              <w:r>
                <w:rPr>
                  <w:color w:val="2B579A"/>
                  <w:sz w:val="15"/>
                  <w:szCs w:val="15"/>
                  <w:u w:val="single"/>
                </w:rPr>
                <w:t xml:space="preserve">https://docs.omnissa.com/HorizonOverviewDeployment/EstimatingCPURequirementsforVirtualMachineDesktops</w:t>
              </w:r>
            </w:hyperlink>
          </w:p>
        </w:tc>
        <w:tc>
          <w:tcPr>
            <w:tcW w:w="2800" w:type="dxa"/>
            <w:noWrap/>
          </w:tcPr>
          <w:p>
            <w:pPr>
              <w:pStyle w:val="cell"/>
            </w:pPr>
            <w:r>
              <w:rPr>
                <w:sz w:val="16"/>
                <w:szCs w:val="16"/>
              </w:rPr>
              <w:t xml:space="preserve">Anticipating Performance Needs; Guidelines for Initial Sizing</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Omnissa Horizon Connection Server Maximums and Configuration</w:t>
            </w:r>
          </w:p>
          <w:p>
            <w:pPr>
              <w:pStyle w:val="cell"/>
            </w:pPr>
            <w:hyperlink r:id="rId21" w:history="1">
              <w:r>
                <w:rPr>
                  <w:color w:val="2B579A"/>
                  <w:sz w:val="15"/>
                  <w:szCs w:val="15"/>
                  <w:u w:val="single"/>
                </w:rPr>
                <w:t xml:space="preserve">https://docs.omnissa.com/HorizonOverviewDeployment/HorizonConnectionServerMaximumsandConfiguration</w:t>
              </w:r>
            </w:hyperlink>
          </w:p>
        </w:tc>
        <w:tc>
          <w:tcPr>
            <w:tcW w:w="2800" w:type="dxa"/>
            <w:noWrap/>
          </w:tcPr>
          <w:p>
            <w:pPr>
              <w:pStyle w:val="cell"/>
            </w:pPr>
            <w:r>
              <w:rPr>
                <w:sz w:val="16"/>
                <w:szCs w:val="16"/>
              </w:rPr>
              <w:t xml:space="preserve">Connection Server VM example (4 vCPU, 10 GB, 70 GB); cluster design; UAG hardware (2 vCPU, 4 GB, 20 GB); 20,000-user example</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Desktop Types</w:t>
            </w:r>
          </w:p>
          <w:p>
            <w:pPr>
              <w:pStyle w:val="cell"/>
            </w:pPr>
            <w:hyperlink r:id="rId22" w:history="1">
              <w:r>
                <w:rPr>
                  <w:color w:val="2B579A"/>
                  <w:sz w:val="15"/>
                  <w:szCs w:val="15"/>
                  <w:u w:val="single"/>
                </w:rPr>
                <w:t xml:space="preserve">https://docs.omnissa.com/HorizonOverviewDeployment/DesktopTypes</w:t>
              </w:r>
            </w:hyperlink>
          </w:p>
        </w:tc>
        <w:tc>
          <w:tcPr>
            <w:tcW w:w="2800" w:type="dxa"/>
            <w:noWrap/>
          </w:tcPr>
          <w:p>
            <w:pPr>
              <w:pStyle w:val="cell"/>
            </w:pPr>
            <w:r>
              <w:rPr>
                <w:sz w:val="16"/>
                <w:szCs w:val="16"/>
              </w:rPr>
              <w:t xml:space="preserve">Persistent / non-persistent; dedicated-assignment (1:1) and floating-assignment pools</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ESXi Node</w:t>
            </w:r>
          </w:p>
          <w:p>
            <w:pPr>
              <w:pStyle w:val="cell"/>
            </w:pPr>
            <w:hyperlink r:id="rId23" w:history="1">
              <w:r>
                <w:rPr>
                  <w:color w:val="2B579A"/>
                  <w:sz w:val="15"/>
                  <w:szCs w:val="15"/>
                  <w:u w:val="single"/>
                </w:rPr>
                <w:t xml:space="preserve">https://docs.omnissa.com/HorizonOverviewDeployment/ESXiNode</w:t>
              </w:r>
            </w:hyperlink>
          </w:p>
        </w:tc>
        <w:tc>
          <w:tcPr>
            <w:tcW w:w="2800" w:type="dxa"/>
            <w:noWrap/>
          </w:tcPr>
          <w:p>
            <w:pPr>
              <w:pStyle w:val="cell"/>
            </w:pPr>
            <w:r>
              <w:rPr>
                <w:sz w:val="16"/>
                <w:szCs w:val="16"/>
              </w:rPr>
              <w:t xml:space="preserve">8 to 10 virtual desktops per CPU core (general framework); View Storage Accelerator up to 32 GB RAM per host; pilot to determine consolidation ratio</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Omnissa KB 78714 — Supported Windows 10 guest operating systems for Horizon Agent</w:t>
            </w:r>
          </w:p>
          <w:p>
            <w:pPr>
              <w:pStyle w:val="cell"/>
            </w:pPr>
            <w:hyperlink r:id="rId24" w:history="1">
              <w:r>
                <w:rPr>
                  <w:color w:val="2B579A"/>
                  <w:sz w:val="15"/>
                  <w:szCs w:val="15"/>
                  <w:u w:val="single"/>
                </w:rPr>
                <w:t xml:space="preserve">https://kb.omnissa.com/s/article/78714</w:t>
              </w:r>
            </w:hyperlink>
          </w:p>
        </w:tc>
        <w:tc>
          <w:tcPr>
            <w:tcW w:w="2800" w:type="dxa"/>
            <w:noWrap/>
          </w:tcPr>
          <w:p>
            <w:pPr>
              <w:pStyle w:val="cell"/>
            </w:pPr>
            <w:r>
              <w:rPr>
                <w:sz w:val="16"/>
                <w:szCs w:val="16"/>
              </w:rPr>
              <w:t xml:space="preserve">Supported Windows 10 versions</w:t>
            </w:r>
          </w:p>
        </w:tc>
        <w:tc>
          <w:tcPr>
            <w:tcW w:w="1600" w:type="dxa"/>
            <w:noWrap/>
          </w:tcPr>
          <w:p>
            <w:pPr>
              <w:pStyle w:val="cell"/>
            </w:pPr>
            <w:r>
              <w:rPr>
                <w:sz w:val="16"/>
                <w:szCs w:val="16"/>
              </w:rPr>
              <w:t xml:space="preserve">Living KB article</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Omnissa KB 78715 — Supported Windows operating systems other than Windows 10 for Horizon Agent</w:t>
            </w:r>
          </w:p>
          <w:p>
            <w:pPr>
              <w:pStyle w:val="cell"/>
            </w:pPr>
            <w:hyperlink r:id="rId25" w:history="1">
              <w:r>
                <w:rPr>
                  <w:color w:val="2B579A"/>
                  <w:sz w:val="15"/>
                  <w:szCs w:val="15"/>
                  <w:u w:val="single"/>
                </w:rPr>
                <w:t xml:space="preserve">https://kb.omnissa.com/s/article/78715</w:t>
              </w:r>
            </w:hyperlink>
          </w:p>
        </w:tc>
        <w:tc>
          <w:tcPr>
            <w:tcW w:w="2800" w:type="dxa"/>
            <w:noWrap/>
          </w:tcPr>
          <w:p>
            <w:pPr>
              <w:pStyle w:val="cell"/>
            </w:pPr>
            <w:r>
              <w:rPr>
                <w:sz w:val="16"/>
                <w:szCs w:val="16"/>
              </w:rPr>
              <w:t xml:space="preserve">Supported Windows versions (other than Windows 10)</w:t>
            </w:r>
          </w:p>
        </w:tc>
        <w:tc>
          <w:tcPr>
            <w:tcW w:w="1600" w:type="dxa"/>
            <w:noWrap/>
          </w:tcPr>
          <w:p>
            <w:pPr>
              <w:pStyle w:val="cell"/>
            </w:pPr>
            <w:r>
              <w:rPr>
                <w:sz w:val="16"/>
                <w:szCs w:val="16"/>
              </w:rPr>
              <w:t xml:space="preserve">Living KB article</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Estimating Memory Requirements for Virtual Machine Desktops</w:t>
            </w:r>
          </w:p>
          <w:p>
            <w:pPr>
              <w:pStyle w:val="cell"/>
            </w:pPr>
            <w:hyperlink r:id="rId26" w:history="1">
              <w:r>
                <w:rPr>
                  <w:color w:val="2B579A"/>
                  <w:sz w:val="15"/>
                  <w:szCs w:val="15"/>
                  <w:u w:val="single"/>
                </w:rPr>
                <w:t xml:space="preserve">https://docs.omnissa.com/HorizonOverviewDeployment/EstimatingMemoryRequirementsforVirtualMachineDesktops</w:t>
              </w:r>
            </w:hyperlink>
          </w:p>
        </w:tc>
        <w:tc>
          <w:tcPr>
            <w:tcW w:w="2800" w:type="dxa"/>
            <w:noWrap/>
          </w:tcPr>
          <w:p>
            <w:pPr>
              <w:pStyle w:val="cell"/>
            </w:pPr>
            <w:r>
              <w:rPr>
                <w:sz w:val="16"/>
                <w:szCs w:val="16"/>
              </w:rPr>
              <w:t xml:space="preserve">RAM Sizing Impact on Performance; RAM Sizing Impact on Storage; RAM Sizing for Specific Monitor Configurations; RAM Sizing for Specific Workloads</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Monitors and Screen Resolution</w:t>
            </w:r>
          </w:p>
          <w:p>
            <w:pPr>
              <w:pStyle w:val="cell"/>
            </w:pPr>
            <w:hyperlink r:id="rId27" w:history="1">
              <w:r>
                <w:rPr>
                  <w:color w:val="2B579A"/>
                  <w:sz w:val="15"/>
                  <w:szCs w:val="15"/>
                  <w:u w:val="single"/>
                </w:rPr>
                <w:t xml:space="preserve">https://docs.omnissa.com/HorizonOverviewDeployment/MonitorsandScreenResolution</w:t>
              </w:r>
            </w:hyperlink>
          </w:p>
        </w:tc>
        <w:tc>
          <w:tcPr>
            <w:tcW w:w="2800" w:type="dxa"/>
            <w:noWrap/>
          </w:tcPr>
          <w:p>
            <w:pPr>
              <w:pStyle w:val="cell"/>
            </w:pPr>
            <w:r>
              <w:rPr>
                <w:sz w:val="16"/>
                <w:szCs w:val="16"/>
              </w:rPr>
              <w:t xml:space="preserve">Monitor configurations; 3D rendering limits; 4K/8K support; vGPU &lt; 1 GB uses software encoding</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Network Bandwidth Considerations</w:t>
            </w:r>
          </w:p>
          <w:p>
            <w:pPr>
              <w:pStyle w:val="cell"/>
            </w:pPr>
            <w:hyperlink r:id="rId28" w:history="1">
              <w:r>
                <w:rPr>
                  <w:color w:val="2B579A"/>
                  <w:sz w:val="15"/>
                  <w:szCs w:val="15"/>
                  <w:u w:val="single"/>
                </w:rPr>
                <w:t xml:space="preserve">https://docs.omnissa.com/HorizonOverviewDeployment/NetworkBandwidthConsiderations</w:t>
              </w:r>
            </w:hyperlink>
          </w:p>
        </w:tc>
        <w:tc>
          <w:tcPr>
            <w:tcW w:w="2800" w:type="dxa"/>
            <w:noWrap/>
          </w:tcPr>
          <w:p>
            <w:pPr>
              <w:pStyle w:val="cell"/>
            </w:pPr>
            <w:r>
              <w:rPr>
                <w:sz w:val="16"/>
                <w:szCs w:val="16"/>
              </w:rPr>
              <w:t xml:space="preserve">150 to 200 Kbps per typical knowledge worker as a pilot starting point; optimisation controls</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Network Ports in Horizon 8 (Omnissa Tech Zone)</w:t>
            </w:r>
          </w:p>
          <w:p>
            <w:pPr>
              <w:pStyle w:val="cell"/>
            </w:pPr>
            <w:hyperlink r:id="rId29" w:history="1">
              <w:r>
                <w:rPr>
                  <w:color w:val="2B579A"/>
                  <w:sz w:val="15"/>
                  <w:szCs w:val="15"/>
                  <w:u w:val="single"/>
                </w:rPr>
                <w:t xml:space="preserve">https://techzone.omnissa.com/resource/network-ports-horizon-8</w:t>
              </w:r>
            </w:hyperlink>
          </w:p>
        </w:tc>
        <w:tc>
          <w:tcPr>
            <w:tcW w:w="2800" w:type="dxa"/>
            <w:noWrap/>
          </w:tcPr>
          <w:p>
            <w:pPr>
              <w:pStyle w:val="cell"/>
            </w:pPr>
            <w:r>
              <w:rPr>
                <w:sz w:val="16"/>
                <w:szCs w:val="16"/>
              </w:rPr>
              <w:t xml:space="preserve">Client connections (internal, external, tunneled); Virtual desktop or RDS host; Connection Server; UAG; Enrollment Server; Horizon Edge Gateway; Recording Server; App Volumes Manager; Omnissa Access; Management</w:t>
            </w:r>
          </w:p>
        </w:tc>
        <w:tc>
          <w:tcPr>
            <w:tcW w:w="1600" w:type="dxa"/>
            <w:noWrap/>
          </w:tcPr>
          <w:p>
            <w:pPr>
              <w:pStyle w:val="cell"/>
            </w:pPr>
            <w:r>
              <w:rPr>
                <w:sz w:val="16"/>
                <w:szCs w:val="16"/>
              </w:rPr>
              <w:t xml:space="preserve">All Horizon 8 versions from 2006 (changelog 2026-08-25)</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Omnissa Horizon 8 Pods</w:t>
            </w:r>
          </w:p>
          <w:p>
            <w:pPr>
              <w:pStyle w:val="cell"/>
            </w:pPr>
            <w:hyperlink r:id="rId30" w:history="1">
              <w:r>
                <w:rPr>
                  <w:color w:val="2B579A"/>
                  <w:sz w:val="15"/>
                  <w:szCs w:val="15"/>
                  <w:u w:val="single"/>
                </w:rPr>
                <w:t xml:space="preserve">https://docs.omnissa.com/HorizonOverviewDeployment/Horizon8Pods</w:t>
              </w:r>
            </w:hyperlink>
          </w:p>
        </w:tc>
        <w:tc>
          <w:tcPr>
            <w:tcW w:w="2800" w:type="dxa"/>
            <w:noWrap/>
          </w:tcPr>
          <w:p>
            <w:pPr>
              <w:pStyle w:val="cell"/>
            </w:pPr>
            <w:r>
              <w:rPr>
                <w:sz w:val="16"/>
                <w:szCs w:val="16"/>
              </w:rPr>
              <w:t xml:space="preserve">Pod examples (two building blocks; one vCenter Server, 10,000 users)</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Shared Storage Considerations</w:t>
            </w:r>
          </w:p>
          <w:p>
            <w:pPr>
              <w:pStyle w:val="cell"/>
            </w:pPr>
            <w:hyperlink r:id="rId31" w:history="1">
              <w:r>
                <w:rPr>
                  <w:color w:val="2B579A"/>
                  <w:sz w:val="15"/>
                  <w:szCs w:val="15"/>
                  <w:u w:val="single"/>
                </w:rPr>
                <w:t xml:space="preserve">https://docs.omnissa.com/HorizonOverviewDeployment/SharedStorageConsiderations</w:t>
              </w:r>
            </w:hyperlink>
          </w:p>
        </w:tc>
        <w:tc>
          <w:tcPr>
            <w:tcW w:w="2800" w:type="dxa"/>
            <w:noWrap/>
          </w:tcPr>
          <w:p>
            <w:pPr>
              <w:pStyle w:val="cell"/>
            </w:pPr>
            <w:r>
              <w:rPr>
                <w:sz w:val="16"/>
                <w:szCs w:val="16"/>
              </w:rPr>
              <w:t xml:space="preserve">FC SAN, iSCSI SAN, NAS and vSAN</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Storage Bandwidth Considerations</w:t>
            </w:r>
          </w:p>
          <w:p>
            <w:pPr>
              <w:pStyle w:val="cell"/>
            </w:pPr>
            <w:hyperlink r:id="rId32" w:history="1">
              <w:r>
                <w:rPr>
                  <w:color w:val="2B579A"/>
                  <w:sz w:val="15"/>
                  <w:szCs w:val="15"/>
                  <w:u w:val="single"/>
                </w:rPr>
                <w:t xml:space="preserve">https://docs.omnissa.com/HorizonOverviewDeployment/StorageBandwidthConsiderations</w:t>
              </w:r>
            </w:hyperlink>
          </w:p>
        </w:tc>
        <w:tc>
          <w:tcPr>
            <w:tcW w:w="2800" w:type="dxa"/>
            <w:noWrap/>
          </w:tcPr>
          <w:p>
            <w:pPr>
              <w:pStyle w:val="cell"/>
            </w:pPr>
            <w:r>
              <w:rPr>
                <w:sz w:val="16"/>
                <w:szCs w:val="16"/>
              </w:rPr>
              <w:t xml:space="preserve">1 Gbps per 100 virtual machines; logon storms</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Choosing the Appropriate System Disk Size</w:t>
            </w:r>
          </w:p>
          <w:p>
            <w:pPr>
              <w:pStyle w:val="cell"/>
            </w:pPr>
            <w:hyperlink r:id="rId33" w:history="1">
              <w:r>
                <w:rPr>
                  <w:color w:val="2B579A"/>
                  <w:sz w:val="15"/>
                  <w:szCs w:val="15"/>
                  <w:u w:val="single"/>
                </w:rPr>
                <w:t xml:space="preserve">https://docs.omnissa.com/HorizonOverviewDeployment/ChoosingtheAppropriateSystemDiskSize</w:t>
              </w:r>
            </w:hyperlink>
          </w:p>
        </w:tc>
        <w:tc>
          <w:tcPr>
            <w:tcW w:w="2800" w:type="dxa"/>
            <w:noWrap/>
          </w:tcPr>
          <w:p>
            <w:pPr>
              <w:pStyle w:val="cell"/>
            </w:pPr>
            <w:r>
              <w:rPr>
                <w:sz w:val="16"/>
                <w:szCs w:val="16"/>
              </w:rPr>
              <w:t xml:space="preserve">Storage space per virtual desktop (suspend file, page file, log files, +15 %)</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Unified Access Gateway architecture (Omnissa Tech Zone)</w:t>
            </w:r>
          </w:p>
          <w:p>
            <w:pPr>
              <w:pStyle w:val="cell"/>
            </w:pPr>
            <w:hyperlink r:id="rId34" w:history="1">
              <w:r>
                <w:rPr>
                  <w:color w:val="2B579A"/>
                  <w:sz w:val="15"/>
                  <w:szCs w:val="15"/>
                  <w:u w:val="single"/>
                </w:rPr>
                <w:t xml:space="preserve">https://techzone.omnissa.com/resource/unified-access-gateway-architecture</w:t>
              </w:r>
            </w:hyperlink>
          </w:p>
        </w:tc>
        <w:tc>
          <w:tcPr>
            <w:tcW w:w="2800" w:type="dxa"/>
            <w:noWrap/>
          </w:tcPr>
          <w:p>
            <w:pPr>
              <w:pStyle w:val="cell"/>
            </w:pPr>
            <w:r>
              <w:rPr>
                <w:sz w:val="16"/>
                <w:szCs w:val="16"/>
              </w:rPr>
              <w:t xml:space="preserve">Scalability (sizing options; Horizon sessions per appliance); Network segments (one, two, three NICs); High availability</w:t>
            </w:r>
          </w:p>
        </w:tc>
        <w:tc>
          <w:tcPr>
            <w:tcW w:w="1600" w:type="dxa"/>
            <w:noWrap/>
          </w:tcPr>
          <w:p>
            <w:pPr>
              <w:pStyle w:val="cell"/>
            </w:pPr>
            <w:r>
              <w:rPr>
                <w:sz w:val="16"/>
                <w:szCs w:val="16"/>
              </w:rPr>
              <w:t xml:space="preserve">Changelog 2026-03-06 (extra-large size from 2512)</w:t>
            </w:r>
          </w:p>
        </w:tc>
        <w:tc>
          <w:tcPr>
            <w:tcW w:w="1000" w:type="dxa"/>
            <w:noWrap/>
          </w:tcPr>
          <w:p>
            <w:pPr>
              <w:pStyle w:val="cell"/>
            </w:pPr>
            <w:r>
              <w:rPr>
                <w:sz w:val="16"/>
                <w:szCs w:val="16"/>
              </w:rPr>
              <w:t xml:space="preserve">2026-10-02</w:t>
            </w:r>
          </w:p>
        </w:tc>
      </w:tr>
      <w:tr>
        <w:trPr/>
        <w:tc>
          <w:tcPr>
            <w:tcW w:w="4200" w:type="dxa"/>
            <w:noWrap/>
          </w:tcPr>
          <w:p>
            <w:pPr>
              <w:pStyle w:val="cell"/>
            </w:pPr>
            <w:r>
              <w:rPr>
                <w:sz w:val="17"/>
                <w:szCs w:val="17"/>
                <w:b w:val="1"/>
                <w:bCs w:val="1"/>
              </w:rPr>
              <w:t xml:space="preserve">Omnissa — vSphere Clusters</w:t>
            </w:r>
          </w:p>
          <w:p>
            <w:pPr>
              <w:pStyle w:val="cell"/>
            </w:pPr>
            <w:hyperlink r:id="rId35" w:history="1">
              <w:r>
                <w:rPr>
                  <w:color w:val="2B579A"/>
                  <w:sz w:val="15"/>
                  <w:szCs w:val="15"/>
                  <w:u w:val="single"/>
                </w:rPr>
                <w:t xml:space="preserve">https://docs.omnissa.com/HorizonOverviewDeployment/vSphereClusters</w:t>
              </w:r>
            </w:hyperlink>
          </w:p>
        </w:tc>
        <w:tc>
          <w:tcPr>
            <w:tcW w:w="2800" w:type="dxa"/>
            <w:noWrap/>
          </w:tcPr>
          <w:p>
            <w:pPr>
              <w:pStyle w:val="cell"/>
            </w:pPr>
            <w:r>
              <w:rPr>
                <w:sz w:val="16"/>
                <w:szCs w:val="16"/>
              </w:rPr>
              <w:t xml:space="preserve">Determining Requirements for High Availability (128 × (8 − 1) = 896 example)</w:t>
            </w:r>
          </w:p>
        </w:tc>
        <w:tc>
          <w:tcPr>
            <w:tcW w:w="1600" w:type="dxa"/>
            <w:noWrap/>
          </w:tcPr>
          <w:p>
            <w:pPr>
              <w:pStyle w:val="cell"/>
            </w:pPr>
            <w:r>
              <w:rPr>
                <w:sz w:val="16"/>
                <w:szCs w:val="16"/>
              </w:rPr>
              <w:t xml:space="preserve">Horizon 8 (page dated 2026-07-02)</w:t>
            </w:r>
          </w:p>
        </w:tc>
        <w:tc>
          <w:tcPr>
            <w:tcW w:w="1000" w:type="dxa"/>
            <w:noWrap/>
          </w:tcPr>
          <w:p>
            <w:pPr>
              <w:pStyle w:val="cell"/>
            </w:pPr>
            <w:r>
              <w:rPr>
                <w:sz w:val="16"/>
                <w:szCs w:val="16"/>
              </w:rPr>
              <w:t xml:space="preserve">2026-10-02</w:t>
            </w:r>
          </w:p>
        </w:tc>
      </w:tr>
    </w:tbl>
    <w:p>
      <w:pPr>
        <w:sectPr>
          <w:footerReference w:type="default" r:id="rId38"/>
          <w:pgSz w:orient="portrait" w:w="11905.511811023622" w:h="16837.79527559055"/>
          <w:pgMar w:top="900" w:right="900" w:bottom="900" w:left="900" w:header="720" w:footer="720" w:gutter="0"/>
          <w:cols w:num="1" w:space="720"/>
        </w:sectPr>
      </w:pPr>
    </w:p>
    <w:p>
      <w:pPr>
        <w:pStyle w:val="Heading1"/>
      </w:pPr>
      <w:bookmarkStart w:id="28" w:name="_Toc28"/>
      <w:r>
        <w:t>15. Detailed calculation appendix</w:t>
      </w:r>
      <w:bookmarkEnd w:id="28"/>
    </w:p>
    <w:p>
      <w:pPr/>
      <w:r>
        <w:rPr>
          <w:color w:val="6B6B66"/>
          <w:sz w:val="18"/>
          <w:szCs w:val="18"/>
        </w:rPr>
        <w:t xml:space="preserve">Every calculation step of the recommended design: formula, inputs (with classification), result and rounding.</w:t>
      </w:r>
    </w:p>
    <w:p>
      <w:pPr>
        <w:pStyle w:val="Heading3"/>
      </w:pPr>
      <w:bookmarkStart w:id="29" w:name="_Toc29"/>
      <w:r>
        <w:t>VDI pool: Engineering office users</w:t>
      </w:r>
      <w:bookmarkEnd w:id="29"/>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Users</w:t>
            </w:r>
          </w:p>
        </w:tc>
        <w:tc>
          <w:tcPr>
            <w:tcW w:w="3300" w:type="dxa"/>
            <w:noWrap/>
          </w:tcPr>
          <w:p>
            <w:pPr>
              <w:pStyle w:val="cell"/>
            </w:pPr>
            <w:r>
              <w:rPr>
                <w:sz w:val="15"/>
                <w:szCs w:val="15"/>
              </w:rPr>
              <w:t xml:space="preserve">customer requirement</w:t>
            </w:r>
          </w:p>
        </w:tc>
        <w:tc>
          <w:tcPr>
            <w:tcW w:w="5000" w:type="dxa"/>
            <w:noWrap/>
          </w:tcPr>
          <w:p>
            <w:pPr>
              <w:pStyle w:val="cell"/>
            </w:pPr>
            <w:r>
              <w:rPr>
                <w:sz w:val="15"/>
                <w:szCs w:val="15"/>
              </w:rPr>
              <w:t xml:space="preserve">Users = 2,500 users [Customer]</w:t>
            </w:r>
          </w:p>
        </w:tc>
        <w:tc>
          <w:tcPr>
            <w:tcW w:w="1600" w:type="dxa"/>
            <w:noWrap/>
          </w:tcPr>
          <w:p>
            <w:pPr>
              <w:pStyle w:val="cell"/>
            </w:pPr>
            <w:r>
              <w:rPr>
                <w:sz w:val="15"/>
                <w:szCs w:val="15"/>
              </w:rPr>
              <w:t xml:space="preserve">2,500 users</w:t>
            </w:r>
          </w:p>
        </w:tc>
        <w:tc>
          <w:tcPr>
            <w:tcW w:w="1200" w:type="dxa"/>
            <w:noWrap/>
          </w:tcPr>
          <w:p>
            <w:pPr>
              <w:pStyle w:val="cell"/>
            </w:pPr>
            <w:r>
              <w:rPr>
                <w:sz w:val="15"/>
                <w:szCs w:val="15"/>
              </w:rPr>
              <w:t xml:space="preserve">Customer</w:t>
            </w:r>
          </w:p>
        </w:tc>
      </w:tr>
      <w:tr>
        <w:trPr>
          <w:cantSplit w:val="1"/>
        </w:trPr>
        <w:tc>
          <w:tcPr>
            <w:tcW w:w="2600" w:type="dxa"/>
            <w:shd w:val="clear" w:fill="F3F1EC"/>
            <w:noWrap/>
          </w:tcPr>
          <w:p>
            <w:pPr>
              <w:pStyle w:val="cell"/>
            </w:pPr>
            <w:r>
              <w:rPr>
                <w:sz w:val="15"/>
                <w:szCs w:val="15"/>
              </w:rPr>
              <w:t xml:space="preserve">Peak concurrent sessions</w:t>
            </w:r>
          </w:p>
        </w:tc>
        <w:tc>
          <w:tcPr>
            <w:tcW w:w="3300" w:type="dxa"/>
            <w:shd w:val="clear" w:fill="F3F1EC"/>
            <w:noWrap/>
          </w:tcPr>
          <w:p>
            <w:pPr>
              <w:pStyle w:val="cell"/>
            </w:pPr>
            <w:r>
              <w:rPr>
                <w:sz w:val="15"/>
                <w:szCs w:val="15"/>
              </w:rPr>
              <w:t xml:space="preserve">ceil(users × concurrency% / 100)</w:t>
            </w:r>
          </w:p>
        </w:tc>
        <w:tc>
          <w:tcPr>
            <w:tcW w:w="5000" w:type="dxa"/>
            <w:shd w:val="clear" w:fill="F3F1EC"/>
            <w:noWrap/>
          </w:tcPr>
          <w:p>
            <w:pPr>
              <w:pStyle w:val="cell"/>
            </w:pPr>
            <w:r>
              <w:rPr>
                <w:sz w:val="15"/>
                <w:szCs w:val="15"/>
              </w:rPr>
              <w:t xml:space="preserve">Users = 2,500 users [Calculated]; Peak concurrency = 80 % [Customer]</w:t>
            </w:r>
          </w:p>
        </w:tc>
        <w:tc>
          <w:tcPr>
            <w:tcW w:w="1600" w:type="dxa"/>
            <w:shd w:val="clear" w:fill="F3F1EC"/>
            <w:noWrap/>
          </w:tcPr>
          <w:p>
            <w:pPr>
              <w:pStyle w:val="cell"/>
            </w:pPr>
            <w:r>
              <w:rPr>
                <w:sz w:val="15"/>
                <w:szCs w:val="15"/>
              </w:rPr>
              <w:t xml:space="preserve">2,000 sessions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Provisioned desktops</w:t>
            </w:r>
          </w:p>
        </w:tc>
        <w:tc>
          <w:tcPr>
            <w:tcW w:w="3300" w:type="dxa"/>
            <w:noWrap/>
          </w:tcPr>
          <w:p>
            <w:pPr>
              <w:pStyle w:val="cell"/>
            </w:pPr>
            <w:r>
              <w:rPr>
                <w:sz w:val="15"/>
                <w:szCs w:val="15"/>
              </w:rPr>
              <w:t xml:space="preserve">users (dedicated assignment is 1:1)</w:t>
            </w:r>
          </w:p>
        </w:tc>
        <w:tc>
          <w:tcPr>
            <w:tcW w:w="5000" w:type="dxa"/>
            <w:noWrap/>
          </w:tcPr>
          <w:p>
            <w:pPr>
              <w:pStyle w:val="cell"/>
            </w:pPr>
            <w:r>
              <w:rPr>
                <w:sz w:val="15"/>
                <w:szCs w:val="15"/>
              </w:rPr>
              <w:t xml:space="preserve">Users = 2,500 users [Calculated]</w:t>
            </w:r>
          </w:p>
        </w:tc>
        <w:tc>
          <w:tcPr>
            <w:tcW w:w="1600" w:type="dxa"/>
            <w:noWrap/>
          </w:tcPr>
          <w:p>
            <w:pPr>
              <w:pStyle w:val="cell"/>
            </w:pPr>
            <w:r>
              <w:rPr>
                <w:sz w:val="15"/>
                <w:szCs w:val="15"/>
              </w:rPr>
              <w:t xml:space="preserve">2,500 desktops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Powered-on desktops at peak</w:t>
            </w:r>
          </w:p>
        </w:tc>
        <w:tc>
          <w:tcPr>
            <w:tcW w:w="3300" w:type="dxa"/>
            <w:shd w:val="clear" w:fill="F3F1EC"/>
            <w:noWrap/>
          </w:tcPr>
          <w:p>
            <w:pPr>
              <w:pStyle w:val="cell"/>
            </w:pPr>
            <w:r>
              <w:rPr>
                <w:sz w:val="15"/>
                <w:szCs w:val="15"/>
              </w:rPr>
              <w:t xml:space="preserve">ceil(desktops × powered-on% / 100)</w:t>
            </w:r>
          </w:p>
        </w:tc>
        <w:tc>
          <w:tcPr>
            <w:tcW w:w="5000" w:type="dxa"/>
            <w:shd w:val="clear" w:fill="F3F1EC"/>
            <w:noWrap/>
          </w:tcPr>
          <w:p>
            <w:pPr>
              <w:pStyle w:val="cell"/>
            </w:pPr>
            <w:r>
              <w:rPr>
                <w:sz w:val="15"/>
                <w:szCs w:val="15"/>
              </w:rPr>
              <w:t xml:space="preserve">Provisioned desktops = 2,500 desktops [Calculated]; Dedicated desktops powered on = 100 % [Assumption]</w:t>
            </w:r>
          </w:p>
        </w:tc>
        <w:tc>
          <w:tcPr>
            <w:tcW w:w="1600" w:type="dxa"/>
            <w:shd w:val="clear" w:fill="F3F1EC"/>
            <w:noWrap/>
          </w:tcPr>
          <w:p>
            <w:pPr>
              <w:pStyle w:val="cell"/>
            </w:pPr>
            <w:r>
              <w:rPr>
                <w:sz w:val="15"/>
                <w:szCs w:val="15"/>
              </w:rPr>
              <w:t xml:space="preserve">2,500 VMs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Desktop pools</w:t>
            </w:r>
          </w:p>
        </w:tc>
        <w:tc>
          <w:tcPr>
            <w:tcW w:w="3300" w:type="dxa"/>
            <w:noWrap/>
          </w:tcPr>
          <w:p>
            <w:pPr>
              <w:pStyle w:val="cell"/>
            </w:pPr>
            <w:r>
              <w:rPr>
                <w:sz w:val="15"/>
                <w:szCs w:val="15"/>
              </w:rPr>
              <w:t xml:space="preserve">ceil(desktops / desktops per pool)</w:t>
            </w:r>
          </w:p>
        </w:tc>
        <w:tc>
          <w:tcPr>
            <w:tcW w:w="5000" w:type="dxa"/>
            <w:noWrap/>
          </w:tcPr>
          <w:p>
            <w:pPr>
              <w:pStyle w:val="cell"/>
            </w:pPr>
            <w:r>
              <w:rPr>
                <w:sz w:val="15"/>
                <w:szCs w:val="15"/>
              </w:rPr>
              <w:t xml:space="preserve">Provisioned desktops = 2,500 desktops [Calculated]; Desktops per full-clone pool (recommended) = 2,000 desktops [Official]</w:t>
            </w:r>
          </w:p>
        </w:tc>
        <w:tc>
          <w:tcPr>
            <w:tcW w:w="1600" w:type="dxa"/>
            <w:noWrap/>
          </w:tcPr>
          <w:p>
            <w:pPr>
              <w:pStyle w:val="cell"/>
            </w:pPr>
            <w:r>
              <w:rPr>
                <w:sz w:val="15"/>
                <w:szCs w:val="15"/>
              </w:rPr>
              <w:t xml:space="preserve">2 pools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Total desktop vCPU</w:t>
            </w:r>
          </w:p>
        </w:tc>
        <w:tc>
          <w:tcPr>
            <w:tcW w:w="3300" w:type="dxa"/>
            <w:shd w:val="clear" w:fill="F3F1EC"/>
            <w:noWrap/>
          </w:tcPr>
          <w:p>
            <w:pPr>
              <w:pStyle w:val="cell"/>
            </w:pPr>
            <w:r>
              <w:rPr>
                <w:sz w:val="15"/>
                <w:szCs w:val="15"/>
              </w:rPr>
              <w:t xml:space="preserve">powered-on desktops × vCPU per desktop</w:t>
            </w:r>
          </w:p>
        </w:tc>
        <w:tc>
          <w:tcPr>
            <w:tcW w:w="5000" w:type="dxa"/>
            <w:shd w:val="clear" w:fill="F3F1EC"/>
            <w:noWrap/>
          </w:tcPr>
          <w:p>
            <w:pPr>
              <w:pStyle w:val="cell"/>
            </w:pPr>
            <w:r>
              <w:rPr>
                <w:sz w:val="15"/>
                <w:szCs w:val="15"/>
              </w:rPr>
              <w:t xml:space="preserve">Powered-on desktops = 2,500 VMs [Calculated]; vCPU per desktop = 2 vCPU [Customer]</w:t>
            </w:r>
          </w:p>
        </w:tc>
        <w:tc>
          <w:tcPr>
            <w:tcW w:w="1600" w:type="dxa"/>
            <w:shd w:val="clear" w:fill="F3F1EC"/>
            <w:noWrap/>
          </w:tcPr>
          <w:p>
            <w:pPr>
              <w:pStyle w:val="cell"/>
            </w:pPr>
            <w:r>
              <w:rPr>
                <w:sz w:val="15"/>
                <w:szCs w:val="15"/>
              </w:rPr>
              <w:t xml:space="preserve">5,000 vCPU</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Physical cores (consolidation-ratio method)</w:t>
            </w:r>
          </w:p>
        </w:tc>
        <w:tc>
          <w:tcPr>
            <w:tcW w:w="3300" w:type="dxa"/>
            <w:noWrap/>
          </w:tcPr>
          <w:p>
            <w:pPr>
              <w:pStyle w:val="cell"/>
            </w:pPr>
            <w:r>
              <w:rPr>
                <w:sz w:val="15"/>
                <w:szCs w:val="15"/>
              </w:rPr>
              <w:t xml:space="preserve">vCPU / (vCPU:core ratio)</w:t>
            </w:r>
          </w:p>
        </w:tc>
        <w:tc>
          <w:tcPr>
            <w:tcW w:w="5000" w:type="dxa"/>
            <w:noWrap/>
          </w:tcPr>
          <w:p>
            <w:pPr>
              <w:pStyle w:val="cell"/>
            </w:pPr>
            <w:r>
              <w:rPr>
                <w:sz w:val="15"/>
                <w:szCs w:val="15"/>
              </w:rPr>
              <w:t xml:space="preserve">Total desktop vCPU = 5,000 vCPU [Calculated]; vCPU:core ratio for this workload = 6 vCPU/core [Assumption]</w:t>
            </w:r>
          </w:p>
        </w:tc>
        <w:tc>
          <w:tcPr>
            <w:tcW w:w="1600" w:type="dxa"/>
            <w:noWrap/>
          </w:tcPr>
          <w:p>
            <w:pPr>
              <w:pStyle w:val="cell"/>
            </w:pPr>
            <w:r>
              <w:rPr>
                <w:sz w:val="15"/>
                <w:szCs w:val="15"/>
              </w:rPr>
              <w:t xml:space="preserve">833.33 cores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Physical cores required</w:t>
            </w:r>
          </w:p>
        </w:tc>
        <w:tc>
          <w:tcPr>
            <w:tcW w:w="3300" w:type="dxa"/>
            <w:shd w:val="clear" w:fill="F3F1EC"/>
            <w:noWrap/>
          </w:tcPr>
          <w:p>
            <w:pPr>
              <w:pStyle w:val="cell"/>
            </w:pPr>
            <w:r>
              <w:rPr>
                <w:sz w:val="15"/>
                <w:szCs w:val="15"/>
              </w:rPr>
              <w:t xml:space="preserve">consolidation-ratio method</w:t>
            </w:r>
          </w:p>
        </w:tc>
        <w:tc>
          <w:tcPr>
            <w:tcW w:w="5000" w:type="dxa"/>
            <w:shd w:val="clear" w:fill="F3F1EC"/>
            <w:noWrap/>
          </w:tcPr>
          <w:p>
            <w:pPr>
              <w:pStyle w:val="cell"/>
            </w:pPr>
            <w:r>
              <w:rPr>
                <w:sz w:val="15"/>
                <w:szCs w:val="15"/>
              </w:rPr>
              <w:t xml:space="preserve">Ratio method = 833.33 cores [Calculated]</w:t>
            </w:r>
          </w:p>
        </w:tc>
        <w:tc>
          <w:tcPr>
            <w:tcW w:w="1600" w:type="dxa"/>
            <w:shd w:val="clear" w:fill="F3F1EC"/>
            <w:noWrap/>
          </w:tcPr>
          <w:p>
            <w:pPr>
              <w:pStyle w:val="cell"/>
            </w:pPr>
            <w:r>
              <w:rPr>
                <w:sz w:val="15"/>
                <w:szCs w:val="15"/>
              </w:rPr>
              <w:t xml:space="preserve">833.33 cores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Video RAM overhead per VM</w:t>
            </w:r>
          </w:p>
        </w:tc>
        <w:tc>
          <w:tcPr>
            <w:tcW w:w="3300" w:type="dxa"/>
            <w:noWrap/>
          </w:tcPr>
          <w:p>
            <w:pPr>
              <w:pStyle w:val="cell"/>
            </w:pPr>
            <w:r>
              <w:rPr>
                <w:sz w:val="15"/>
                <w:szCs w:val="15"/>
              </w:rPr>
              <w:t xml:space="preserve">official table: resolution × monitors</w:t>
            </w:r>
          </w:p>
        </w:tc>
        <w:tc>
          <w:tcPr>
            <w:tcW w:w="5000" w:type="dxa"/>
            <w:noWrap/>
          </w:tcPr>
          <w:p>
            <w:pPr>
              <w:pStyle w:val="cell"/>
            </w:pPr>
            <w:r>
              <w:rPr>
                <w:sz w:val="15"/>
                <w:szCs w:val="15"/>
              </w:rPr>
              <w:t xml:space="preserve">Resolution = 1080p 1920×1080 [Customer]; Monitors = 2 monitors [Customer]</w:t>
            </w:r>
          </w:p>
        </w:tc>
        <w:tc>
          <w:tcPr>
            <w:tcW w:w="1600" w:type="dxa"/>
            <w:noWrap/>
          </w:tcPr>
          <w:p>
            <w:pPr>
              <w:pStyle w:val="cell"/>
            </w:pPr>
            <w:r>
              <w:rPr>
                <w:sz w:val="15"/>
                <w:szCs w:val="15"/>
              </w:rPr>
              <w:t xml:space="preserve">25.4 MB</w:t>
            </w:r>
          </w:p>
        </w:tc>
        <w:tc>
          <w:tcPr>
            <w:tcW w:w="1200" w:type="dxa"/>
            <w:noWrap/>
          </w:tcPr>
          <w:p>
            <w:pPr>
              <w:pStyle w:val="cell"/>
            </w:pPr>
            <w:r>
              <w:rPr>
                <w:sz w:val="15"/>
                <w:szCs w:val="15"/>
              </w:rPr>
              <w:t xml:space="preserve">Official</w:t>
            </w:r>
          </w:p>
        </w:tc>
      </w:tr>
      <w:tr>
        <w:trPr>
          <w:cantSplit w:val="1"/>
        </w:trPr>
        <w:tc>
          <w:tcPr>
            <w:tcW w:w="2600" w:type="dxa"/>
            <w:shd w:val="clear" w:fill="F3F1EC"/>
            <w:noWrap/>
          </w:tcPr>
          <w:p>
            <w:pPr>
              <w:pStyle w:val="cell"/>
            </w:pPr>
            <w:r>
              <w:rPr>
                <w:sz w:val="15"/>
                <w:szCs w:val="15"/>
              </w:rPr>
              <w:t xml:space="preserve">Memory per desktop VM</w:t>
            </w:r>
          </w:p>
        </w:tc>
        <w:tc>
          <w:tcPr>
            <w:tcW w:w="3300" w:type="dxa"/>
            <w:shd w:val="clear" w:fill="F3F1EC"/>
            <w:noWrap/>
          </w:tcPr>
          <w:p>
            <w:pPr>
              <w:pStyle w:val="cell"/>
            </w:pPr>
            <w:r>
              <w:rPr>
                <w:sz w:val="15"/>
                <w:szCs w:val="15"/>
              </w:rPr>
              <w:t xml:space="preserve">RAM + VRAM overhead / 1024 + hypervisor overhead / 1024</w:t>
            </w:r>
          </w:p>
        </w:tc>
        <w:tc>
          <w:tcPr>
            <w:tcW w:w="5000" w:type="dxa"/>
            <w:shd w:val="clear" w:fill="F3F1EC"/>
            <w:noWrap/>
          </w:tcPr>
          <w:p>
            <w:pPr>
              <w:pStyle w:val="cell"/>
            </w:pPr>
            <w:r>
              <w:rPr>
                <w:sz w:val="15"/>
                <w:szCs w:val="15"/>
              </w:rPr>
              <w:t xml:space="preserve">Configured RAM = 6 GB [Customer]; VRAM overhead = 25.4 MB [Official]; Hypervisor overhead per VM = 200 MB [Validate]</w:t>
            </w:r>
          </w:p>
        </w:tc>
        <w:tc>
          <w:tcPr>
            <w:tcW w:w="1600" w:type="dxa"/>
            <w:shd w:val="clear" w:fill="F3F1EC"/>
            <w:noWrap/>
          </w:tcPr>
          <w:p>
            <w:pPr>
              <w:pStyle w:val="cell"/>
            </w:pPr>
            <w:r>
              <w:rPr>
                <w:sz w:val="15"/>
                <w:szCs w:val="15"/>
              </w:rPr>
              <w:t xml:space="preserve">6.22 GB</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Desktop memory demand</w:t>
            </w:r>
          </w:p>
        </w:tc>
        <w:tc>
          <w:tcPr>
            <w:tcW w:w="3300" w:type="dxa"/>
            <w:noWrap/>
          </w:tcPr>
          <w:p>
            <w:pPr>
              <w:pStyle w:val="cell"/>
            </w:pPr>
            <w:r>
              <w:rPr>
                <w:sz w:val="15"/>
                <w:szCs w:val="15"/>
              </w:rPr>
              <w:t xml:space="preserve">powered-on desktops × memory per VM / overcommit</w:t>
            </w:r>
          </w:p>
        </w:tc>
        <w:tc>
          <w:tcPr>
            <w:tcW w:w="5000" w:type="dxa"/>
            <w:noWrap/>
          </w:tcPr>
          <w:p>
            <w:pPr>
              <w:pStyle w:val="cell"/>
            </w:pPr>
            <w:r>
              <w:rPr>
                <w:sz w:val="15"/>
                <w:szCs w:val="15"/>
              </w:rPr>
              <w:t xml:space="preserve">Powered-on desktops = 2,500 VMs [Calculated]; Memory per VM = 6.22 GB [Calculated]; Memory reservation = 100 % [Official]; Overcommit ratio = 1 :1 [Official]</w:t>
            </w:r>
          </w:p>
        </w:tc>
        <w:tc>
          <w:tcPr>
            <w:tcW w:w="1600" w:type="dxa"/>
            <w:noWrap/>
          </w:tcPr>
          <w:p>
            <w:pPr>
              <w:pStyle w:val="cell"/>
            </w:pPr>
            <w:r>
              <w:rPr>
                <w:sz w:val="15"/>
                <w:szCs w:val="15"/>
              </w:rPr>
              <w:t xml:space="preserve">15,550 GB</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Steady-state IOPS</w:t>
            </w:r>
          </w:p>
        </w:tc>
        <w:tc>
          <w:tcPr>
            <w:tcW w:w="3300" w:type="dxa"/>
            <w:shd w:val="clear" w:fill="F3F1EC"/>
            <w:noWrap/>
          </w:tcPr>
          <w:p>
            <w:pPr>
              <w:pStyle w:val="cell"/>
            </w:pPr>
            <w:r>
              <w:rPr>
                <w:sz w:val="15"/>
                <w:szCs w:val="15"/>
              </w:rPr>
              <w:t xml:space="preserve">sessions × IOPS per session</w:t>
            </w:r>
          </w:p>
        </w:tc>
        <w:tc>
          <w:tcPr>
            <w:tcW w:w="5000" w:type="dxa"/>
            <w:shd w:val="clear" w:fill="F3F1EC"/>
            <w:noWrap/>
          </w:tcPr>
          <w:p>
            <w:pPr>
              <w:pStyle w:val="cell"/>
            </w:pPr>
            <w:r>
              <w:rPr>
                <w:sz w:val="15"/>
                <w:szCs w:val="15"/>
              </w:rPr>
              <w:t xml:space="preserve">Peak concurrent sessions = 2,000 sessions [Calculated]; IOPS per session = 15 IOPS [Assumption]</w:t>
            </w:r>
          </w:p>
        </w:tc>
        <w:tc>
          <w:tcPr>
            <w:tcW w:w="1600" w:type="dxa"/>
            <w:shd w:val="clear" w:fill="F3F1EC"/>
            <w:noWrap/>
          </w:tcPr>
          <w:p>
            <w:pPr>
              <w:pStyle w:val="cell"/>
            </w:pPr>
            <w:r>
              <w:rPr>
                <w:sz w:val="15"/>
                <w:szCs w:val="15"/>
              </w:rPr>
              <w:t xml:space="preserve">30,000 IOPS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Peak logon rate</w:t>
            </w:r>
          </w:p>
        </w:tc>
        <w:tc>
          <w:tcPr>
            <w:tcW w:w="3300" w:type="dxa"/>
            <w:noWrap/>
          </w:tcPr>
          <w:p>
            <w:pPr>
              <w:pStyle w:val="cell"/>
            </w:pPr>
            <w:r>
              <w:rPr>
                <w:sz w:val="15"/>
                <w:szCs w:val="15"/>
              </w:rPr>
              <w:t xml:space="preserve">sessions × logon% / (logon window minutes × 60)</w:t>
            </w:r>
          </w:p>
        </w:tc>
        <w:tc>
          <w:tcPr>
            <w:tcW w:w="5000" w:type="dxa"/>
            <w:noWrap/>
          </w:tcPr>
          <w:p>
            <w:pPr>
              <w:pStyle w:val="cell"/>
            </w:pPr>
            <w:r>
              <w:rPr>
                <w:sz w:val="15"/>
                <w:szCs w:val="15"/>
              </w:rPr>
              <w:t xml:space="preserve">Peak concurrent sessions = 2,000 sessions [Calculated]; Users logging on in the window = 80 % [Customer]; Logon window = 30 min [Customer]</w:t>
            </w:r>
          </w:p>
        </w:tc>
        <w:tc>
          <w:tcPr>
            <w:tcW w:w="1600" w:type="dxa"/>
            <w:noWrap/>
          </w:tcPr>
          <w:p>
            <w:pPr>
              <w:pStyle w:val="cell"/>
            </w:pPr>
            <w:r>
              <w:rPr>
                <w:sz w:val="15"/>
                <w:szCs w:val="15"/>
              </w:rPr>
              <w:t xml:space="preserve">0.89 logons/s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Concurrent logons</w:t>
            </w:r>
          </w:p>
        </w:tc>
        <w:tc>
          <w:tcPr>
            <w:tcW w:w="3300" w:type="dxa"/>
            <w:shd w:val="clear" w:fill="F3F1EC"/>
            <w:noWrap/>
          </w:tcPr>
          <w:p>
            <w:pPr>
              <w:pStyle w:val="cell"/>
            </w:pPr>
            <w:r>
              <w:rPr>
                <w:sz w:val="15"/>
                <w:szCs w:val="15"/>
              </w:rPr>
              <w:t xml:space="preserve">logon rate × logon duration</w:t>
            </w:r>
          </w:p>
        </w:tc>
        <w:tc>
          <w:tcPr>
            <w:tcW w:w="5000" w:type="dxa"/>
            <w:shd w:val="clear" w:fill="F3F1EC"/>
            <w:noWrap/>
          </w:tcPr>
          <w:p>
            <w:pPr>
              <w:pStyle w:val="cell"/>
            </w:pPr>
            <w:r>
              <w:rPr>
                <w:sz w:val="15"/>
                <w:szCs w:val="15"/>
              </w:rPr>
              <w:t xml:space="preserve">Peak logon rate = 0.89 logons/s [Calculated]; Logon duration = 30 s [Assumption]</w:t>
            </w:r>
          </w:p>
        </w:tc>
        <w:tc>
          <w:tcPr>
            <w:tcW w:w="1600" w:type="dxa"/>
            <w:shd w:val="clear" w:fill="F3F1EC"/>
            <w:noWrap/>
          </w:tcPr>
          <w:p>
            <w:pPr>
              <w:pStyle w:val="cell"/>
            </w:pPr>
            <w:r>
              <w:rPr>
                <w:sz w:val="15"/>
                <w:szCs w:val="15"/>
              </w:rPr>
              <w:t xml:space="preserve">27 logons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Logon storm IOPS (additional)</w:t>
            </w:r>
          </w:p>
        </w:tc>
        <w:tc>
          <w:tcPr>
            <w:tcW w:w="3300" w:type="dxa"/>
            <w:noWrap/>
          </w:tcPr>
          <w:p>
            <w:pPr>
              <w:pStyle w:val="cell"/>
            </w:pPr>
            <w:r>
              <w:rPr>
                <w:sz w:val="15"/>
                <w:szCs w:val="15"/>
              </w:rPr>
              <w:t xml:space="preserve">concurrent logons × logon IOPS per user</w:t>
            </w:r>
          </w:p>
        </w:tc>
        <w:tc>
          <w:tcPr>
            <w:tcW w:w="5000" w:type="dxa"/>
            <w:noWrap/>
          </w:tcPr>
          <w:p>
            <w:pPr>
              <w:pStyle w:val="cell"/>
            </w:pPr>
            <w:r>
              <w:rPr>
                <w:sz w:val="15"/>
                <w:szCs w:val="15"/>
              </w:rPr>
              <w:t xml:space="preserve">Concurrent logons = 27 logons [Calculated]; Additional IOPS per logon = 50 IOPS [Assumption]</w:t>
            </w:r>
          </w:p>
        </w:tc>
        <w:tc>
          <w:tcPr>
            <w:tcW w:w="1600" w:type="dxa"/>
            <w:noWrap/>
          </w:tcPr>
          <w:p>
            <w:pPr>
              <w:pStyle w:val="cell"/>
            </w:pPr>
            <w:r>
              <w:rPr>
                <w:sz w:val="15"/>
                <w:szCs w:val="15"/>
              </w:rPr>
              <w:t xml:space="preserve">1,350 IOPS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Boot / provisioning storm IOPS</w:t>
            </w:r>
          </w:p>
        </w:tc>
        <w:tc>
          <w:tcPr>
            <w:tcW w:w="3300" w:type="dxa"/>
            <w:shd w:val="clear" w:fill="F3F1EC"/>
            <w:noWrap/>
          </w:tcPr>
          <w:p>
            <w:pPr>
              <w:pStyle w:val="cell"/>
            </w:pPr>
            <w:r>
              <w:rPr>
                <w:sz w:val="15"/>
                <w:szCs w:val="15"/>
              </w:rPr>
              <w:t xml:space="preserve">VMs × booting% / 100 × IOPS per booting VM</w:t>
            </w:r>
          </w:p>
        </w:tc>
        <w:tc>
          <w:tcPr>
            <w:tcW w:w="5000" w:type="dxa"/>
            <w:shd w:val="clear" w:fill="F3F1EC"/>
            <w:noWrap/>
          </w:tcPr>
          <w:p>
            <w:pPr>
              <w:pStyle w:val="cell"/>
            </w:pPr>
            <w:r>
              <w:rPr>
                <w:sz w:val="15"/>
                <w:szCs w:val="15"/>
              </w:rPr>
              <w:t xml:space="preserve">Powered-on VMs = 2,500 VMs [Calculated]; VMs booting simultaneously = 10 % [Assumption]; IOPS per booting VM = 100 IOPS [Assumption]</w:t>
            </w:r>
          </w:p>
        </w:tc>
        <w:tc>
          <w:tcPr>
            <w:tcW w:w="1600" w:type="dxa"/>
            <w:shd w:val="clear" w:fill="F3F1EC"/>
            <w:noWrap/>
          </w:tcPr>
          <w:p>
            <w:pPr>
              <w:pStyle w:val="cell"/>
            </w:pPr>
            <w:r>
              <w:rPr>
                <w:sz w:val="15"/>
                <w:szCs w:val="15"/>
              </w:rPr>
              <w:t xml:space="preserve">25,000 IOPS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Aggregate session bandwidth</w:t>
            </w:r>
          </w:p>
        </w:tc>
        <w:tc>
          <w:tcPr>
            <w:tcW w:w="3300" w:type="dxa"/>
            <w:noWrap/>
          </w:tcPr>
          <w:p>
            <w:pPr>
              <w:pStyle w:val="cell"/>
            </w:pPr>
            <w:r>
              <w:rPr>
                <w:sz w:val="15"/>
                <w:szCs w:val="15"/>
              </w:rPr>
              <w:t xml:space="preserve">sessions × Kbps per session × (1 + headroom% / 100) / 1000</w:t>
            </w:r>
          </w:p>
        </w:tc>
        <w:tc>
          <w:tcPr>
            <w:tcW w:w="5000" w:type="dxa"/>
            <w:noWrap/>
          </w:tcPr>
          <w:p>
            <w:pPr>
              <w:pStyle w:val="cell"/>
            </w:pPr>
            <w:r>
              <w:rPr>
                <w:sz w:val="15"/>
                <w:szCs w:val="15"/>
              </w:rPr>
              <w:t xml:space="preserve">Peak concurrent sessions = 2,000 sessions [Calculated]; Bandwidth per session = 200 Kbps [Assumption]; Burst headroom = 25 % [Assumption]</w:t>
            </w:r>
          </w:p>
        </w:tc>
        <w:tc>
          <w:tcPr>
            <w:tcW w:w="1600" w:type="dxa"/>
            <w:noWrap/>
          </w:tcPr>
          <w:p>
            <w:pPr>
              <w:pStyle w:val="cell"/>
            </w:pPr>
            <w:r>
              <w:rPr>
                <w:sz w:val="15"/>
                <w:szCs w:val="15"/>
              </w:rPr>
              <w:t xml:space="preserve">500 Mbps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External (Internet) session bandwidth</w:t>
            </w:r>
          </w:p>
        </w:tc>
        <w:tc>
          <w:tcPr>
            <w:tcW w:w="3300" w:type="dxa"/>
            <w:shd w:val="clear" w:fill="F3F1EC"/>
            <w:noWrap/>
          </w:tcPr>
          <w:p>
            <w:pPr>
              <w:pStyle w:val="cell"/>
            </w:pPr>
            <w:r>
              <w:rPr>
                <w:sz w:val="15"/>
                <w:szCs w:val="15"/>
              </w:rPr>
              <w:t xml:space="preserve">aggregate × external% / 100</w:t>
            </w:r>
          </w:p>
        </w:tc>
        <w:tc>
          <w:tcPr>
            <w:tcW w:w="5000" w:type="dxa"/>
            <w:shd w:val="clear" w:fill="F3F1EC"/>
            <w:noWrap/>
          </w:tcPr>
          <w:p>
            <w:pPr>
              <w:pStyle w:val="cell"/>
            </w:pPr>
            <w:r>
              <w:rPr>
                <w:sz w:val="15"/>
                <w:szCs w:val="15"/>
              </w:rPr>
              <w:t xml:space="preserve">Aggregate session bandwidth = 500 Mbps [Calculated]; External sessions = 20 % [Customer]</w:t>
            </w:r>
          </w:p>
        </w:tc>
        <w:tc>
          <w:tcPr>
            <w:tcW w:w="1600" w:type="dxa"/>
            <w:shd w:val="clear" w:fill="F3F1EC"/>
            <w:noWrap/>
          </w:tcPr>
          <w:p>
            <w:pPr>
              <w:pStyle w:val="cell"/>
            </w:pPr>
            <w:r>
              <w:rPr>
                <w:sz w:val="15"/>
                <w:szCs w:val="15"/>
              </w:rPr>
              <w:t xml:space="preserve">100 Mbps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Blast maximum bandwidth cap per session (informational)</w:t>
            </w:r>
          </w:p>
        </w:tc>
        <w:tc>
          <w:tcPr>
            <w:tcW w:w="3300" w:type="dxa"/>
            <w:noWrap/>
          </w:tcPr>
          <w:p>
            <w:pPr>
              <w:pStyle w:val="cell"/>
            </w:pPr>
            <w:r>
              <w:rPr>
                <w:sz w:val="15"/>
                <w:szCs w:val="15"/>
              </w:rPr>
              <w:t xml:space="preserve">offset + slope × screen area (MP)</w:t>
            </w:r>
          </w:p>
        </w:tc>
        <w:tc>
          <w:tcPr>
            <w:tcW w:w="5000" w:type="dxa"/>
            <w:noWrap/>
          </w:tcPr>
          <w:p>
            <w:pPr>
              <w:pStyle w:val="cell"/>
            </w:pPr>
            <w:r>
              <w:rPr>
                <w:sz w:val="15"/>
                <w:szCs w:val="15"/>
              </w:rPr>
              <w:t xml:space="preserve">Offset = 0 Kbps [Official]; Slope = 6,200 Kbps/MP [Official]; Screen area = 4.14 MP [Calculated]</w:t>
            </w:r>
          </w:p>
        </w:tc>
        <w:tc>
          <w:tcPr>
            <w:tcW w:w="1600" w:type="dxa"/>
            <w:noWrap/>
          </w:tcPr>
          <w:p>
            <w:pPr>
              <w:pStyle w:val="cell"/>
            </w:pPr>
            <w:r>
              <w:rPr>
                <w:sz w:val="15"/>
                <w:szCs w:val="15"/>
              </w:rPr>
              <w:t xml:space="preserve">25,668 Kbps</w:t>
            </w:r>
          </w:p>
        </w:tc>
        <w:tc>
          <w:tcPr>
            <w:tcW w:w="1200" w:type="dxa"/>
            <w:noWrap/>
          </w:tcPr>
          <w:p>
            <w:pPr>
              <w:pStyle w:val="cell"/>
            </w:pPr>
            <w:r>
              <w:rPr>
                <w:sz w:val="15"/>
                <w:szCs w:val="15"/>
              </w:rPr>
              <w:t xml:space="preserve">Official</w:t>
            </w:r>
          </w:p>
        </w:tc>
      </w:tr>
    </w:tbl>
    <w:p>
      <w:pPr>
        <w:rPr>
          <w:sz w:val="8"/>
          <w:szCs w:val="8"/>
        </w:rPr>
      </w:pPr>
    </w:p>
    <w:p>
      <w:pPr>
        <w:pStyle w:val="Heading3"/>
      </w:pPr>
      <w:bookmarkStart w:id="30" w:name="_Toc30"/>
      <w:r>
        <w:t>VDI pool: CAD workstations (vGPU)</w:t>
      </w:r>
      <w:bookmarkEnd w:id="30"/>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Users</w:t>
            </w:r>
          </w:p>
        </w:tc>
        <w:tc>
          <w:tcPr>
            <w:tcW w:w="3300" w:type="dxa"/>
            <w:noWrap/>
          </w:tcPr>
          <w:p>
            <w:pPr>
              <w:pStyle w:val="cell"/>
            </w:pPr>
            <w:r>
              <w:rPr>
                <w:sz w:val="15"/>
                <w:szCs w:val="15"/>
              </w:rPr>
              <w:t xml:space="preserve">customer requirement</w:t>
            </w:r>
          </w:p>
        </w:tc>
        <w:tc>
          <w:tcPr>
            <w:tcW w:w="5000" w:type="dxa"/>
            <w:noWrap/>
          </w:tcPr>
          <w:p>
            <w:pPr>
              <w:pStyle w:val="cell"/>
            </w:pPr>
            <w:r>
              <w:rPr>
                <w:sz w:val="15"/>
                <w:szCs w:val="15"/>
              </w:rPr>
              <w:t xml:space="preserve">Users = 150 users [Customer]</w:t>
            </w:r>
          </w:p>
        </w:tc>
        <w:tc>
          <w:tcPr>
            <w:tcW w:w="1600" w:type="dxa"/>
            <w:noWrap/>
          </w:tcPr>
          <w:p>
            <w:pPr>
              <w:pStyle w:val="cell"/>
            </w:pPr>
            <w:r>
              <w:rPr>
                <w:sz w:val="15"/>
                <w:szCs w:val="15"/>
              </w:rPr>
              <w:t xml:space="preserve">150 users</w:t>
            </w:r>
          </w:p>
        </w:tc>
        <w:tc>
          <w:tcPr>
            <w:tcW w:w="1200" w:type="dxa"/>
            <w:noWrap/>
          </w:tcPr>
          <w:p>
            <w:pPr>
              <w:pStyle w:val="cell"/>
            </w:pPr>
            <w:r>
              <w:rPr>
                <w:sz w:val="15"/>
                <w:szCs w:val="15"/>
              </w:rPr>
              <w:t xml:space="preserve">Customer</w:t>
            </w:r>
          </w:p>
        </w:tc>
      </w:tr>
      <w:tr>
        <w:trPr>
          <w:cantSplit w:val="1"/>
        </w:trPr>
        <w:tc>
          <w:tcPr>
            <w:tcW w:w="2600" w:type="dxa"/>
            <w:shd w:val="clear" w:fill="F3F1EC"/>
            <w:noWrap/>
          </w:tcPr>
          <w:p>
            <w:pPr>
              <w:pStyle w:val="cell"/>
            </w:pPr>
            <w:r>
              <w:rPr>
                <w:sz w:val="15"/>
                <w:szCs w:val="15"/>
              </w:rPr>
              <w:t xml:space="preserve">Peak concurrent sessions</w:t>
            </w:r>
          </w:p>
        </w:tc>
        <w:tc>
          <w:tcPr>
            <w:tcW w:w="3300" w:type="dxa"/>
            <w:shd w:val="clear" w:fill="F3F1EC"/>
            <w:noWrap/>
          </w:tcPr>
          <w:p>
            <w:pPr>
              <w:pStyle w:val="cell"/>
            </w:pPr>
            <w:r>
              <w:rPr>
                <w:sz w:val="15"/>
                <w:szCs w:val="15"/>
              </w:rPr>
              <w:t xml:space="preserve">ceil(users × concurrency% / 100)</w:t>
            </w:r>
          </w:p>
        </w:tc>
        <w:tc>
          <w:tcPr>
            <w:tcW w:w="5000" w:type="dxa"/>
            <w:shd w:val="clear" w:fill="F3F1EC"/>
            <w:noWrap/>
          </w:tcPr>
          <w:p>
            <w:pPr>
              <w:pStyle w:val="cell"/>
            </w:pPr>
            <w:r>
              <w:rPr>
                <w:sz w:val="15"/>
                <w:szCs w:val="15"/>
              </w:rPr>
              <w:t xml:space="preserve">Users = 150 users [Calculated]; Peak concurrency = 100 % [Customer]</w:t>
            </w:r>
          </w:p>
        </w:tc>
        <w:tc>
          <w:tcPr>
            <w:tcW w:w="1600" w:type="dxa"/>
            <w:shd w:val="clear" w:fill="F3F1EC"/>
            <w:noWrap/>
          </w:tcPr>
          <w:p>
            <w:pPr>
              <w:pStyle w:val="cell"/>
            </w:pPr>
            <w:r>
              <w:rPr>
                <w:sz w:val="15"/>
                <w:szCs w:val="15"/>
              </w:rPr>
              <w:t xml:space="preserve">150 sessions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Provisioned desktops</w:t>
            </w:r>
          </w:p>
        </w:tc>
        <w:tc>
          <w:tcPr>
            <w:tcW w:w="3300" w:type="dxa"/>
            <w:noWrap/>
          </w:tcPr>
          <w:p>
            <w:pPr>
              <w:pStyle w:val="cell"/>
            </w:pPr>
            <w:r>
              <w:rPr>
                <w:sz w:val="15"/>
                <w:szCs w:val="15"/>
              </w:rPr>
              <w:t xml:space="preserve">users (dedicated assignment is 1:1)</w:t>
            </w:r>
          </w:p>
        </w:tc>
        <w:tc>
          <w:tcPr>
            <w:tcW w:w="5000" w:type="dxa"/>
            <w:noWrap/>
          </w:tcPr>
          <w:p>
            <w:pPr>
              <w:pStyle w:val="cell"/>
            </w:pPr>
            <w:r>
              <w:rPr>
                <w:sz w:val="15"/>
                <w:szCs w:val="15"/>
              </w:rPr>
              <w:t xml:space="preserve">Users = 150 users [Calculated]</w:t>
            </w:r>
          </w:p>
        </w:tc>
        <w:tc>
          <w:tcPr>
            <w:tcW w:w="1600" w:type="dxa"/>
            <w:noWrap/>
          </w:tcPr>
          <w:p>
            <w:pPr>
              <w:pStyle w:val="cell"/>
            </w:pPr>
            <w:r>
              <w:rPr>
                <w:sz w:val="15"/>
                <w:szCs w:val="15"/>
              </w:rPr>
              <w:t xml:space="preserve">150 desktops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Powered-on desktops at peak</w:t>
            </w:r>
          </w:p>
        </w:tc>
        <w:tc>
          <w:tcPr>
            <w:tcW w:w="3300" w:type="dxa"/>
            <w:shd w:val="clear" w:fill="F3F1EC"/>
            <w:noWrap/>
          </w:tcPr>
          <w:p>
            <w:pPr>
              <w:pStyle w:val="cell"/>
            </w:pPr>
            <w:r>
              <w:rPr>
                <w:sz w:val="15"/>
                <w:szCs w:val="15"/>
              </w:rPr>
              <w:t xml:space="preserve">ceil(desktops × powered-on% / 100)</w:t>
            </w:r>
          </w:p>
        </w:tc>
        <w:tc>
          <w:tcPr>
            <w:tcW w:w="5000" w:type="dxa"/>
            <w:shd w:val="clear" w:fill="F3F1EC"/>
            <w:noWrap/>
          </w:tcPr>
          <w:p>
            <w:pPr>
              <w:pStyle w:val="cell"/>
            </w:pPr>
            <w:r>
              <w:rPr>
                <w:sz w:val="15"/>
                <w:szCs w:val="15"/>
              </w:rPr>
              <w:t xml:space="preserve">Provisioned desktops = 150 desktops [Calculated]; Dedicated desktops powered on = 100 % [Assumption]</w:t>
            </w:r>
          </w:p>
        </w:tc>
        <w:tc>
          <w:tcPr>
            <w:tcW w:w="1600" w:type="dxa"/>
            <w:shd w:val="clear" w:fill="F3F1EC"/>
            <w:noWrap/>
          </w:tcPr>
          <w:p>
            <w:pPr>
              <w:pStyle w:val="cell"/>
            </w:pPr>
            <w:r>
              <w:rPr>
                <w:sz w:val="15"/>
                <w:szCs w:val="15"/>
              </w:rPr>
              <w:t xml:space="preserve">150 VMs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Desktop pools</w:t>
            </w:r>
          </w:p>
        </w:tc>
        <w:tc>
          <w:tcPr>
            <w:tcW w:w="3300" w:type="dxa"/>
            <w:noWrap/>
          </w:tcPr>
          <w:p>
            <w:pPr>
              <w:pStyle w:val="cell"/>
            </w:pPr>
            <w:r>
              <w:rPr>
                <w:sz w:val="15"/>
                <w:szCs w:val="15"/>
              </w:rPr>
              <w:t xml:space="preserve">ceil(desktops / desktops per pool)</w:t>
            </w:r>
          </w:p>
        </w:tc>
        <w:tc>
          <w:tcPr>
            <w:tcW w:w="5000" w:type="dxa"/>
            <w:noWrap/>
          </w:tcPr>
          <w:p>
            <w:pPr>
              <w:pStyle w:val="cell"/>
            </w:pPr>
            <w:r>
              <w:rPr>
                <w:sz w:val="15"/>
                <w:szCs w:val="15"/>
              </w:rPr>
              <w:t xml:space="preserve">Provisioned desktops = 150 desktops [Calculated]; Desktops per full-clone pool (recommended) = 2,000 desktops [Official]</w:t>
            </w:r>
          </w:p>
        </w:tc>
        <w:tc>
          <w:tcPr>
            <w:tcW w:w="1600" w:type="dxa"/>
            <w:noWrap/>
          </w:tcPr>
          <w:p>
            <w:pPr>
              <w:pStyle w:val="cell"/>
            </w:pPr>
            <w:r>
              <w:rPr>
                <w:sz w:val="15"/>
                <w:szCs w:val="15"/>
              </w:rPr>
              <w:t xml:space="preserve">1 pools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Total desktop vCPU</w:t>
            </w:r>
          </w:p>
        </w:tc>
        <w:tc>
          <w:tcPr>
            <w:tcW w:w="3300" w:type="dxa"/>
            <w:shd w:val="clear" w:fill="F3F1EC"/>
            <w:noWrap/>
          </w:tcPr>
          <w:p>
            <w:pPr>
              <w:pStyle w:val="cell"/>
            </w:pPr>
            <w:r>
              <w:rPr>
                <w:sz w:val="15"/>
                <w:szCs w:val="15"/>
              </w:rPr>
              <w:t xml:space="preserve">powered-on desktops × vCPU per desktop</w:t>
            </w:r>
          </w:p>
        </w:tc>
        <w:tc>
          <w:tcPr>
            <w:tcW w:w="5000" w:type="dxa"/>
            <w:shd w:val="clear" w:fill="F3F1EC"/>
            <w:noWrap/>
          </w:tcPr>
          <w:p>
            <w:pPr>
              <w:pStyle w:val="cell"/>
            </w:pPr>
            <w:r>
              <w:rPr>
                <w:sz w:val="15"/>
                <w:szCs w:val="15"/>
              </w:rPr>
              <w:t xml:space="preserve">Powered-on desktops = 150 VMs [Calculated]; vCPU per desktop = 8 vCPU [Customer]</w:t>
            </w:r>
          </w:p>
        </w:tc>
        <w:tc>
          <w:tcPr>
            <w:tcW w:w="1600" w:type="dxa"/>
            <w:shd w:val="clear" w:fill="F3F1EC"/>
            <w:noWrap/>
          </w:tcPr>
          <w:p>
            <w:pPr>
              <w:pStyle w:val="cell"/>
            </w:pPr>
            <w:r>
              <w:rPr>
                <w:sz w:val="15"/>
                <w:szCs w:val="15"/>
              </w:rPr>
              <w:t xml:space="preserve">1,200 vCPU</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Physical cores (consolidation-ratio method)</w:t>
            </w:r>
          </w:p>
        </w:tc>
        <w:tc>
          <w:tcPr>
            <w:tcW w:w="3300" w:type="dxa"/>
            <w:noWrap/>
          </w:tcPr>
          <w:p>
            <w:pPr>
              <w:pStyle w:val="cell"/>
            </w:pPr>
            <w:r>
              <w:rPr>
                <w:sz w:val="15"/>
                <w:szCs w:val="15"/>
              </w:rPr>
              <w:t xml:space="preserve">vCPU / (vCPU:core ratio)</w:t>
            </w:r>
          </w:p>
        </w:tc>
        <w:tc>
          <w:tcPr>
            <w:tcW w:w="5000" w:type="dxa"/>
            <w:noWrap/>
          </w:tcPr>
          <w:p>
            <w:pPr>
              <w:pStyle w:val="cell"/>
            </w:pPr>
            <w:r>
              <w:rPr>
                <w:sz w:val="15"/>
                <w:szCs w:val="15"/>
              </w:rPr>
              <w:t xml:space="preserve">Total desktop vCPU = 1,200 vCPU [Calculated]; vCPU:core ratio for this workload = 2 vCPU/core [Assumption]</w:t>
            </w:r>
          </w:p>
        </w:tc>
        <w:tc>
          <w:tcPr>
            <w:tcW w:w="1600" w:type="dxa"/>
            <w:noWrap/>
          </w:tcPr>
          <w:p>
            <w:pPr>
              <w:pStyle w:val="cell"/>
            </w:pPr>
            <w:r>
              <w:rPr>
                <w:sz w:val="15"/>
                <w:szCs w:val="15"/>
              </w:rPr>
              <w:t xml:space="preserve">600 cores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Physical cores required</w:t>
            </w:r>
          </w:p>
        </w:tc>
        <w:tc>
          <w:tcPr>
            <w:tcW w:w="3300" w:type="dxa"/>
            <w:shd w:val="clear" w:fill="F3F1EC"/>
            <w:noWrap/>
          </w:tcPr>
          <w:p>
            <w:pPr>
              <w:pStyle w:val="cell"/>
            </w:pPr>
            <w:r>
              <w:rPr>
                <w:sz w:val="15"/>
                <w:szCs w:val="15"/>
              </w:rPr>
              <w:t xml:space="preserve">consolidation-ratio method</w:t>
            </w:r>
          </w:p>
        </w:tc>
        <w:tc>
          <w:tcPr>
            <w:tcW w:w="5000" w:type="dxa"/>
            <w:shd w:val="clear" w:fill="F3F1EC"/>
            <w:noWrap/>
          </w:tcPr>
          <w:p>
            <w:pPr>
              <w:pStyle w:val="cell"/>
            </w:pPr>
            <w:r>
              <w:rPr>
                <w:sz w:val="15"/>
                <w:szCs w:val="15"/>
              </w:rPr>
              <w:t xml:space="preserve">Ratio method = 600 cores [Calculated]</w:t>
            </w:r>
          </w:p>
        </w:tc>
        <w:tc>
          <w:tcPr>
            <w:tcW w:w="1600" w:type="dxa"/>
            <w:shd w:val="clear" w:fill="F3F1EC"/>
            <w:noWrap/>
          </w:tcPr>
          <w:p>
            <w:pPr>
              <w:pStyle w:val="cell"/>
            </w:pPr>
            <w:r>
              <w:rPr>
                <w:sz w:val="15"/>
                <w:szCs w:val="15"/>
              </w:rPr>
              <w:t xml:space="preserve">600 cores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Video RAM overhead per VM</w:t>
            </w:r>
          </w:p>
        </w:tc>
        <w:tc>
          <w:tcPr>
            <w:tcW w:w="3300" w:type="dxa"/>
            <w:noWrap/>
          </w:tcPr>
          <w:p>
            <w:pPr>
              <w:pStyle w:val="cell"/>
            </w:pPr>
            <w:r>
              <w:rPr>
                <w:sz w:val="15"/>
                <w:szCs w:val="15"/>
              </w:rPr>
              <w:t xml:space="preserve">official table: resolution × monitors</w:t>
            </w:r>
          </w:p>
        </w:tc>
        <w:tc>
          <w:tcPr>
            <w:tcW w:w="5000" w:type="dxa"/>
            <w:noWrap/>
          </w:tcPr>
          <w:p>
            <w:pPr>
              <w:pStyle w:val="cell"/>
            </w:pPr>
            <w:r>
              <w:rPr>
                <w:sz w:val="15"/>
                <w:szCs w:val="15"/>
              </w:rPr>
              <w:t xml:space="preserve">Resolution = 1080p 1920×1080 [Customer]; Monitors = 2 monitors [Customer]</w:t>
            </w:r>
          </w:p>
        </w:tc>
        <w:tc>
          <w:tcPr>
            <w:tcW w:w="1600" w:type="dxa"/>
            <w:noWrap/>
          </w:tcPr>
          <w:p>
            <w:pPr>
              <w:pStyle w:val="cell"/>
            </w:pPr>
            <w:r>
              <w:rPr>
                <w:sz w:val="15"/>
                <w:szCs w:val="15"/>
              </w:rPr>
              <w:t xml:space="preserve">25.4 MB</w:t>
            </w:r>
          </w:p>
        </w:tc>
        <w:tc>
          <w:tcPr>
            <w:tcW w:w="1200" w:type="dxa"/>
            <w:noWrap/>
          </w:tcPr>
          <w:p>
            <w:pPr>
              <w:pStyle w:val="cell"/>
            </w:pPr>
            <w:r>
              <w:rPr>
                <w:sz w:val="15"/>
                <w:szCs w:val="15"/>
              </w:rPr>
              <w:t xml:space="preserve">Official</w:t>
            </w:r>
          </w:p>
        </w:tc>
      </w:tr>
      <w:tr>
        <w:trPr>
          <w:cantSplit w:val="1"/>
        </w:trPr>
        <w:tc>
          <w:tcPr>
            <w:tcW w:w="2600" w:type="dxa"/>
            <w:shd w:val="clear" w:fill="F3F1EC"/>
            <w:noWrap/>
          </w:tcPr>
          <w:p>
            <w:pPr>
              <w:pStyle w:val="cell"/>
            </w:pPr>
            <w:r>
              <w:rPr>
                <w:sz w:val="15"/>
                <w:szCs w:val="15"/>
              </w:rPr>
              <w:t xml:space="preserve">Memory per desktop VM</w:t>
            </w:r>
          </w:p>
        </w:tc>
        <w:tc>
          <w:tcPr>
            <w:tcW w:w="3300" w:type="dxa"/>
            <w:shd w:val="clear" w:fill="F3F1EC"/>
            <w:noWrap/>
          </w:tcPr>
          <w:p>
            <w:pPr>
              <w:pStyle w:val="cell"/>
            </w:pPr>
            <w:r>
              <w:rPr>
                <w:sz w:val="15"/>
                <w:szCs w:val="15"/>
              </w:rPr>
              <w:t xml:space="preserve">RAM + VRAM overhead / 1024 + hypervisor overhead / 1024</w:t>
            </w:r>
          </w:p>
        </w:tc>
        <w:tc>
          <w:tcPr>
            <w:tcW w:w="5000" w:type="dxa"/>
            <w:shd w:val="clear" w:fill="F3F1EC"/>
            <w:noWrap/>
          </w:tcPr>
          <w:p>
            <w:pPr>
              <w:pStyle w:val="cell"/>
            </w:pPr>
            <w:r>
              <w:rPr>
                <w:sz w:val="15"/>
                <w:szCs w:val="15"/>
              </w:rPr>
              <w:t xml:space="preserve">Configured RAM = 32 GB [Customer]; VRAM overhead = 25.4 MB [Official]; Hypervisor overhead per VM = 200 MB [Validate]</w:t>
            </w:r>
          </w:p>
        </w:tc>
        <w:tc>
          <w:tcPr>
            <w:tcW w:w="1600" w:type="dxa"/>
            <w:shd w:val="clear" w:fill="F3F1EC"/>
            <w:noWrap/>
          </w:tcPr>
          <w:p>
            <w:pPr>
              <w:pStyle w:val="cell"/>
            </w:pPr>
            <w:r>
              <w:rPr>
                <w:sz w:val="15"/>
                <w:szCs w:val="15"/>
              </w:rPr>
              <w:t xml:space="preserve">32.22 GB</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Desktop memory demand</w:t>
            </w:r>
          </w:p>
        </w:tc>
        <w:tc>
          <w:tcPr>
            <w:tcW w:w="3300" w:type="dxa"/>
            <w:noWrap/>
          </w:tcPr>
          <w:p>
            <w:pPr>
              <w:pStyle w:val="cell"/>
            </w:pPr>
            <w:r>
              <w:rPr>
                <w:sz w:val="15"/>
                <w:szCs w:val="15"/>
              </w:rPr>
              <w:t xml:space="preserve">powered-on desktops × memory per VM / overcommit</w:t>
            </w:r>
          </w:p>
        </w:tc>
        <w:tc>
          <w:tcPr>
            <w:tcW w:w="5000" w:type="dxa"/>
            <w:noWrap/>
          </w:tcPr>
          <w:p>
            <w:pPr>
              <w:pStyle w:val="cell"/>
            </w:pPr>
            <w:r>
              <w:rPr>
                <w:sz w:val="15"/>
                <w:szCs w:val="15"/>
              </w:rPr>
              <w:t xml:space="preserve">Powered-on desktops = 150 VMs [Calculated]; Memory per VM = 32.22 GB [Calculated]; Memory reservation = 100 % [Official]; Overcommit ratio = 1 :1 [Official]</w:t>
            </w:r>
          </w:p>
        </w:tc>
        <w:tc>
          <w:tcPr>
            <w:tcW w:w="1600" w:type="dxa"/>
            <w:noWrap/>
          </w:tcPr>
          <w:p>
            <w:pPr>
              <w:pStyle w:val="cell"/>
            </w:pPr>
            <w:r>
              <w:rPr>
                <w:sz w:val="15"/>
                <w:szCs w:val="15"/>
              </w:rPr>
              <w:t xml:space="preserve">4,833 GB</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GPU boards</w:t>
            </w:r>
          </w:p>
        </w:tc>
        <w:tc>
          <w:tcPr>
            <w:tcW w:w="3300" w:type="dxa"/>
            <w:shd w:val="clear" w:fill="F3F1EC"/>
            <w:noWrap/>
          </w:tcPr>
          <w:p>
            <w:pPr>
              <w:pStyle w:val="cell"/>
            </w:pPr>
            <w:r>
              <w:rPr>
                <w:sz w:val="15"/>
                <w:szCs w:val="15"/>
              </w:rPr>
              <w:t xml:space="preserve">ceil(GPU VMs / vGPUs per board for the selected type)</w:t>
            </w:r>
          </w:p>
        </w:tc>
        <w:tc>
          <w:tcPr>
            <w:tcW w:w="5000" w:type="dxa"/>
            <w:shd w:val="clear" w:fill="F3F1EC"/>
            <w:noWrap/>
          </w:tcPr>
          <w:p>
            <w:pPr>
              <w:pStyle w:val="cell"/>
            </w:pPr>
            <w:r>
              <w:rPr>
                <w:sz w:val="15"/>
                <w:szCs w:val="15"/>
              </w:rPr>
              <w:t xml:space="preserve">GPU VMs (powered on) = 150 VMs [Calculated]; vGPUs per board (L40S-8Q on NVIDIA L40S) = 6 vGPU [Official]</w:t>
            </w:r>
          </w:p>
        </w:tc>
        <w:tc>
          <w:tcPr>
            <w:tcW w:w="1600" w:type="dxa"/>
            <w:shd w:val="clear" w:fill="F3F1EC"/>
            <w:noWrap/>
          </w:tcPr>
          <w:p>
            <w:pPr>
              <w:pStyle w:val="cell"/>
            </w:pPr>
            <w:r>
              <w:rPr>
                <w:sz w:val="15"/>
                <w:szCs w:val="15"/>
              </w:rPr>
              <w:t xml:space="preserve">25 boards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Steady-state IOPS</w:t>
            </w:r>
          </w:p>
        </w:tc>
        <w:tc>
          <w:tcPr>
            <w:tcW w:w="3300" w:type="dxa"/>
            <w:noWrap/>
          </w:tcPr>
          <w:p>
            <w:pPr>
              <w:pStyle w:val="cell"/>
            </w:pPr>
            <w:r>
              <w:rPr>
                <w:sz w:val="15"/>
                <w:szCs w:val="15"/>
              </w:rPr>
              <w:t xml:space="preserve">sessions × IOPS per session</w:t>
            </w:r>
          </w:p>
        </w:tc>
        <w:tc>
          <w:tcPr>
            <w:tcW w:w="5000" w:type="dxa"/>
            <w:noWrap/>
          </w:tcPr>
          <w:p>
            <w:pPr>
              <w:pStyle w:val="cell"/>
            </w:pPr>
            <w:r>
              <w:rPr>
                <w:sz w:val="15"/>
                <w:szCs w:val="15"/>
              </w:rPr>
              <w:t xml:space="preserve">Peak concurrent sessions = 150 sessions [Calculated]; IOPS per session = 25 IOPS [Assumption]</w:t>
            </w:r>
          </w:p>
        </w:tc>
        <w:tc>
          <w:tcPr>
            <w:tcW w:w="1600" w:type="dxa"/>
            <w:noWrap/>
          </w:tcPr>
          <w:p>
            <w:pPr>
              <w:pStyle w:val="cell"/>
            </w:pPr>
            <w:r>
              <w:rPr>
                <w:sz w:val="15"/>
                <w:szCs w:val="15"/>
              </w:rPr>
              <w:t xml:space="preserve">3,750 IOPS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Peak logon rate</w:t>
            </w:r>
          </w:p>
        </w:tc>
        <w:tc>
          <w:tcPr>
            <w:tcW w:w="3300" w:type="dxa"/>
            <w:shd w:val="clear" w:fill="F3F1EC"/>
            <w:noWrap/>
          </w:tcPr>
          <w:p>
            <w:pPr>
              <w:pStyle w:val="cell"/>
            </w:pPr>
            <w:r>
              <w:rPr>
                <w:sz w:val="15"/>
                <w:szCs w:val="15"/>
              </w:rPr>
              <w:t xml:space="preserve">sessions × logon% / (logon window minutes × 60)</w:t>
            </w:r>
          </w:p>
        </w:tc>
        <w:tc>
          <w:tcPr>
            <w:tcW w:w="5000" w:type="dxa"/>
            <w:shd w:val="clear" w:fill="F3F1EC"/>
            <w:noWrap/>
          </w:tcPr>
          <w:p>
            <w:pPr>
              <w:pStyle w:val="cell"/>
            </w:pPr>
            <w:r>
              <w:rPr>
                <w:sz w:val="15"/>
                <w:szCs w:val="15"/>
              </w:rPr>
              <w:t xml:space="preserve">Peak concurrent sessions = 150 sessions [Calculated]; Users logging on in the window = 80 % [Customer]; Logon window = 30 min [Customer]</w:t>
            </w:r>
          </w:p>
        </w:tc>
        <w:tc>
          <w:tcPr>
            <w:tcW w:w="1600" w:type="dxa"/>
            <w:shd w:val="clear" w:fill="F3F1EC"/>
            <w:noWrap/>
          </w:tcPr>
          <w:p>
            <w:pPr>
              <w:pStyle w:val="cell"/>
            </w:pPr>
            <w:r>
              <w:rPr>
                <w:sz w:val="15"/>
                <w:szCs w:val="15"/>
              </w:rPr>
              <w:t xml:space="preserve">0.07 logons/s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Concurrent logons</w:t>
            </w:r>
          </w:p>
        </w:tc>
        <w:tc>
          <w:tcPr>
            <w:tcW w:w="3300" w:type="dxa"/>
            <w:noWrap/>
          </w:tcPr>
          <w:p>
            <w:pPr>
              <w:pStyle w:val="cell"/>
            </w:pPr>
            <w:r>
              <w:rPr>
                <w:sz w:val="15"/>
                <w:szCs w:val="15"/>
              </w:rPr>
              <w:t xml:space="preserve">logon rate × logon duration</w:t>
            </w:r>
          </w:p>
        </w:tc>
        <w:tc>
          <w:tcPr>
            <w:tcW w:w="5000" w:type="dxa"/>
            <w:noWrap/>
          </w:tcPr>
          <w:p>
            <w:pPr>
              <w:pStyle w:val="cell"/>
            </w:pPr>
            <w:r>
              <w:rPr>
                <w:sz w:val="15"/>
                <w:szCs w:val="15"/>
              </w:rPr>
              <w:t xml:space="preserve">Peak logon rate = 0.07 logons/s [Calculated]; Logon duration = 30 s [Assumption]</w:t>
            </w:r>
          </w:p>
        </w:tc>
        <w:tc>
          <w:tcPr>
            <w:tcW w:w="1600" w:type="dxa"/>
            <w:noWrap/>
          </w:tcPr>
          <w:p>
            <w:pPr>
              <w:pStyle w:val="cell"/>
            </w:pPr>
            <w:r>
              <w:rPr>
                <w:sz w:val="15"/>
                <w:szCs w:val="15"/>
              </w:rPr>
              <w:t xml:space="preserve">3 logons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Logon storm IOPS (additional)</w:t>
            </w:r>
          </w:p>
        </w:tc>
        <w:tc>
          <w:tcPr>
            <w:tcW w:w="3300" w:type="dxa"/>
            <w:shd w:val="clear" w:fill="F3F1EC"/>
            <w:noWrap/>
          </w:tcPr>
          <w:p>
            <w:pPr>
              <w:pStyle w:val="cell"/>
            </w:pPr>
            <w:r>
              <w:rPr>
                <w:sz w:val="15"/>
                <w:szCs w:val="15"/>
              </w:rPr>
              <w:t xml:space="preserve">concurrent logons × logon IOPS per user</w:t>
            </w:r>
          </w:p>
        </w:tc>
        <w:tc>
          <w:tcPr>
            <w:tcW w:w="5000" w:type="dxa"/>
            <w:shd w:val="clear" w:fill="F3F1EC"/>
            <w:noWrap/>
          </w:tcPr>
          <w:p>
            <w:pPr>
              <w:pStyle w:val="cell"/>
            </w:pPr>
            <w:r>
              <w:rPr>
                <w:sz w:val="15"/>
                <w:szCs w:val="15"/>
              </w:rPr>
              <w:t xml:space="preserve">Concurrent logons = 3 logons [Calculated]; Additional IOPS per logon = 50 IOPS [Assumption]</w:t>
            </w:r>
          </w:p>
        </w:tc>
        <w:tc>
          <w:tcPr>
            <w:tcW w:w="1600" w:type="dxa"/>
            <w:shd w:val="clear" w:fill="F3F1EC"/>
            <w:noWrap/>
          </w:tcPr>
          <w:p>
            <w:pPr>
              <w:pStyle w:val="cell"/>
            </w:pPr>
            <w:r>
              <w:rPr>
                <w:sz w:val="15"/>
                <w:szCs w:val="15"/>
              </w:rPr>
              <w:t xml:space="preserve">150 IOPS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Boot / provisioning storm IOPS</w:t>
            </w:r>
          </w:p>
        </w:tc>
        <w:tc>
          <w:tcPr>
            <w:tcW w:w="3300" w:type="dxa"/>
            <w:noWrap/>
          </w:tcPr>
          <w:p>
            <w:pPr>
              <w:pStyle w:val="cell"/>
            </w:pPr>
            <w:r>
              <w:rPr>
                <w:sz w:val="15"/>
                <w:szCs w:val="15"/>
              </w:rPr>
              <w:t xml:space="preserve">VMs × booting% / 100 × IOPS per booting VM</w:t>
            </w:r>
          </w:p>
        </w:tc>
        <w:tc>
          <w:tcPr>
            <w:tcW w:w="5000" w:type="dxa"/>
            <w:noWrap/>
          </w:tcPr>
          <w:p>
            <w:pPr>
              <w:pStyle w:val="cell"/>
            </w:pPr>
            <w:r>
              <w:rPr>
                <w:sz w:val="15"/>
                <w:szCs w:val="15"/>
              </w:rPr>
              <w:t xml:space="preserve">Powered-on VMs = 150 VMs [Calculated]; VMs booting simultaneously = 10 % [Assumption]; IOPS per booting VM = 100 IOPS [Assumption]</w:t>
            </w:r>
          </w:p>
        </w:tc>
        <w:tc>
          <w:tcPr>
            <w:tcW w:w="1600" w:type="dxa"/>
            <w:noWrap/>
          </w:tcPr>
          <w:p>
            <w:pPr>
              <w:pStyle w:val="cell"/>
            </w:pPr>
            <w:r>
              <w:rPr>
                <w:sz w:val="15"/>
                <w:szCs w:val="15"/>
              </w:rPr>
              <w:t xml:space="preserve">1,500 IOPS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Aggregate session bandwidth</w:t>
            </w:r>
          </w:p>
        </w:tc>
        <w:tc>
          <w:tcPr>
            <w:tcW w:w="3300" w:type="dxa"/>
            <w:shd w:val="clear" w:fill="F3F1EC"/>
            <w:noWrap/>
          </w:tcPr>
          <w:p>
            <w:pPr>
              <w:pStyle w:val="cell"/>
            </w:pPr>
            <w:r>
              <w:rPr>
                <w:sz w:val="15"/>
                <w:szCs w:val="15"/>
              </w:rPr>
              <w:t xml:space="preserve">sessions × Kbps per session × (1 + headroom% / 100) / 1000</w:t>
            </w:r>
          </w:p>
        </w:tc>
        <w:tc>
          <w:tcPr>
            <w:tcW w:w="5000" w:type="dxa"/>
            <w:shd w:val="clear" w:fill="F3F1EC"/>
            <w:noWrap/>
          </w:tcPr>
          <w:p>
            <w:pPr>
              <w:pStyle w:val="cell"/>
            </w:pPr>
            <w:r>
              <w:rPr>
                <w:sz w:val="15"/>
                <w:szCs w:val="15"/>
              </w:rPr>
              <w:t xml:space="preserve">Peak concurrent sessions = 150 sessions [Calculated]; Bandwidth per session = 5,000 Kbps [Assumption]; Burst headroom = 25 % [Assumption]</w:t>
            </w:r>
          </w:p>
        </w:tc>
        <w:tc>
          <w:tcPr>
            <w:tcW w:w="1600" w:type="dxa"/>
            <w:shd w:val="clear" w:fill="F3F1EC"/>
            <w:noWrap/>
          </w:tcPr>
          <w:p>
            <w:pPr>
              <w:pStyle w:val="cell"/>
            </w:pPr>
            <w:r>
              <w:rPr>
                <w:sz w:val="15"/>
                <w:szCs w:val="15"/>
              </w:rPr>
              <w:t xml:space="preserve">937.5 Mbps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External (Internet) session bandwidth</w:t>
            </w:r>
          </w:p>
        </w:tc>
        <w:tc>
          <w:tcPr>
            <w:tcW w:w="3300" w:type="dxa"/>
            <w:noWrap/>
          </w:tcPr>
          <w:p>
            <w:pPr>
              <w:pStyle w:val="cell"/>
            </w:pPr>
            <w:r>
              <w:rPr>
                <w:sz w:val="15"/>
                <w:szCs w:val="15"/>
              </w:rPr>
              <w:t xml:space="preserve">aggregate × external% / 100</w:t>
            </w:r>
          </w:p>
        </w:tc>
        <w:tc>
          <w:tcPr>
            <w:tcW w:w="5000" w:type="dxa"/>
            <w:noWrap/>
          </w:tcPr>
          <w:p>
            <w:pPr>
              <w:pStyle w:val="cell"/>
            </w:pPr>
            <w:r>
              <w:rPr>
                <w:sz w:val="15"/>
                <w:szCs w:val="15"/>
              </w:rPr>
              <w:t xml:space="preserve">Aggregate session bandwidth = 937.5 Mbps [Calculated]; External sessions = 20 % [Customer]</w:t>
            </w:r>
          </w:p>
        </w:tc>
        <w:tc>
          <w:tcPr>
            <w:tcW w:w="1600" w:type="dxa"/>
            <w:noWrap/>
          </w:tcPr>
          <w:p>
            <w:pPr>
              <w:pStyle w:val="cell"/>
            </w:pPr>
            <w:r>
              <w:rPr>
                <w:sz w:val="15"/>
                <w:szCs w:val="15"/>
              </w:rPr>
              <w:t xml:space="preserve">187.5 Mbps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Blast maximum bandwidth cap per session (informational)</w:t>
            </w:r>
          </w:p>
        </w:tc>
        <w:tc>
          <w:tcPr>
            <w:tcW w:w="3300" w:type="dxa"/>
            <w:shd w:val="clear" w:fill="F3F1EC"/>
            <w:noWrap/>
          </w:tcPr>
          <w:p>
            <w:pPr>
              <w:pStyle w:val="cell"/>
            </w:pPr>
            <w:r>
              <w:rPr>
                <w:sz w:val="15"/>
                <w:szCs w:val="15"/>
              </w:rPr>
              <w:t xml:space="preserve">offset + slope × screen area (MP)</w:t>
            </w:r>
          </w:p>
        </w:tc>
        <w:tc>
          <w:tcPr>
            <w:tcW w:w="5000" w:type="dxa"/>
            <w:shd w:val="clear" w:fill="F3F1EC"/>
            <w:noWrap/>
          </w:tcPr>
          <w:p>
            <w:pPr>
              <w:pStyle w:val="cell"/>
            </w:pPr>
            <w:r>
              <w:rPr>
                <w:sz w:val="15"/>
                <w:szCs w:val="15"/>
              </w:rPr>
              <w:t xml:space="preserve">Offset = 0 Kbps [Official]; Slope = 6,200 Kbps/MP [Official]; Screen area = 4.14 MP [Calculated]</w:t>
            </w:r>
          </w:p>
        </w:tc>
        <w:tc>
          <w:tcPr>
            <w:tcW w:w="1600" w:type="dxa"/>
            <w:shd w:val="clear" w:fill="F3F1EC"/>
            <w:noWrap/>
          </w:tcPr>
          <w:p>
            <w:pPr>
              <w:pStyle w:val="cell"/>
            </w:pPr>
            <w:r>
              <w:rPr>
                <w:sz w:val="15"/>
                <w:szCs w:val="15"/>
              </w:rPr>
              <w:t xml:space="preserve">25,668 Kbps</w:t>
            </w:r>
          </w:p>
        </w:tc>
        <w:tc>
          <w:tcPr>
            <w:tcW w:w="1200" w:type="dxa"/>
            <w:shd w:val="clear" w:fill="F3F1EC"/>
            <w:noWrap/>
          </w:tcPr>
          <w:p>
            <w:pPr>
              <w:pStyle w:val="cell"/>
            </w:pPr>
            <w:r>
              <w:rPr>
                <w:sz w:val="15"/>
                <w:szCs w:val="15"/>
              </w:rPr>
              <w:t xml:space="preserve">Official</w:t>
            </w:r>
          </w:p>
        </w:tc>
      </w:tr>
    </w:tbl>
    <w:p>
      <w:pPr>
        <w:rPr>
          <w:sz w:val="8"/>
          <w:szCs w:val="8"/>
        </w:rPr>
      </w:pPr>
    </w:p>
    <w:p>
      <w:pPr>
        <w:pStyle w:val="Heading3"/>
      </w:pPr>
      <w:bookmarkStart w:id="31" w:name="_Toc31"/>
      <w:r>
        <w:t>VDI pool: Software developers</w:t>
      </w:r>
      <w:bookmarkEnd w:id="31"/>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Users</w:t>
            </w:r>
          </w:p>
        </w:tc>
        <w:tc>
          <w:tcPr>
            <w:tcW w:w="3300" w:type="dxa"/>
            <w:noWrap/>
          </w:tcPr>
          <w:p>
            <w:pPr>
              <w:pStyle w:val="cell"/>
            </w:pPr>
            <w:r>
              <w:rPr>
                <w:sz w:val="15"/>
                <w:szCs w:val="15"/>
              </w:rPr>
              <w:t xml:space="preserve">customer requirement</w:t>
            </w:r>
          </w:p>
        </w:tc>
        <w:tc>
          <w:tcPr>
            <w:tcW w:w="5000" w:type="dxa"/>
            <w:noWrap/>
          </w:tcPr>
          <w:p>
            <w:pPr>
              <w:pStyle w:val="cell"/>
            </w:pPr>
            <w:r>
              <w:rPr>
                <w:sz w:val="15"/>
                <w:szCs w:val="15"/>
              </w:rPr>
              <w:t xml:space="preserve">Users = 400 users [Customer]</w:t>
            </w:r>
          </w:p>
        </w:tc>
        <w:tc>
          <w:tcPr>
            <w:tcW w:w="1600" w:type="dxa"/>
            <w:noWrap/>
          </w:tcPr>
          <w:p>
            <w:pPr>
              <w:pStyle w:val="cell"/>
            </w:pPr>
            <w:r>
              <w:rPr>
                <w:sz w:val="15"/>
                <w:szCs w:val="15"/>
              </w:rPr>
              <w:t xml:space="preserve">400 users</w:t>
            </w:r>
          </w:p>
        </w:tc>
        <w:tc>
          <w:tcPr>
            <w:tcW w:w="1200" w:type="dxa"/>
            <w:noWrap/>
          </w:tcPr>
          <w:p>
            <w:pPr>
              <w:pStyle w:val="cell"/>
            </w:pPr>
            <w:r>
              <w:rPr>
                <w:sz w:val="15"/>
                <w:szCs w:val="15"/>
              </w:rPr>
              <w:t xml:space="preserve">Customer</w:t>
            </w:r>
          </w:p>
        </w:tc>
      </w:tr>
      <w:tr>
        <w:trPr>
          <w:cantSplit w:val="1"/>
        </w:trPr>
        <w:tc>
          <w:tcPr>
            <w:tcW w:w="2600" w:type="dxa"/>
            <w:shd w:val="clear" w:fill="F3F1EC"/>
            <w:noWrap/>
          </w:tcPr>
          <w:p>
            <w:pPr>
              <w:pStyle w:val="cell"/>
            </w:pPr>
            <w:r>
              <w:rPr>
                <w:sz w:val="15"/>
                <w:szCs w:val="15"/>
              </w:rPr>
              <w:t xml:space="preserve">Peak concurrent sessions</w:t>
            </w:r>
          </w:p>
        </w:tc>
        <w:tc>
          <w:tcPr>
            <w:tcW w:w="3300" w:type="dxa"/>
            <w:shd w:val="clear" w:fill="F3F1EC"/>
            <w:noWrap/>
          </w:tcPr>
          <w:p>
            <w:pPr>
              <w:pStyle w:val="cell"/>
            </w:pPr>
            <w:r>
              <w:rPr>
                <w:sz w:val="15"/>
                <w:szCs w:val="15"/>
              </w:rPr>
              <w:t xml:space="preserve">ceil(users × concurrency% / 100)</w:t>
            </w:r>
          </w:p>
        </w:tc>
        <w:tc>
          <w:tcPr>
            <w:tcW w:w="5000" w:type="dxa"/>
            <w:shd w:val="clear" w:fill="F3F1EC"/>
            <w:noWrap/>
          </w:tcPr>
          <w:p>
            <w:pPr>
              <w:pStyle w:val="cell"/>
            </w:pPr>
            <w:r>
              <w:rPr>
                <w:sz w:val="15"/>
                <w:szCs w:val="15"/>
              </w:rPr>
              <w:t xml:space="preserve">Users = 400 users [Calculated]; Peak concurrency = 90 % [Customer]</w:t>
            </w:r>
          </w:p>
        </w:tc>
        <w:tc>
          <w:tcPr>
            <w:tcW w:w="1600" w:type="dxa"/>
            <w:shd w:val="clear" w:fill="F3F1EC"/>
            <w:noWrap/>
          </w:tcPr>
          <w:p>
            <w:pPr>
              <w:pStyle w:val="cell"/>
            </w:pPr>
            <w:r>
              <w:rPr>
                <w:sz w:val="15"/>
                <w:szCs w:val="15"/>
              </w:rPr>
              <w:t xml:space="preserve">360 sessions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Provisioned desktops</w:t>
            </w:r>
          </w:p>
        </w:tc>
        <w:tc>
          <w:tcPr>
            <w:tcW w:w="3300" w:type="dxa"/>
            <w:noWrap/>
          </w:tcPr>
          <w:p>
            <w:pPr>
              <w:pStyle w:val="cell"/>
            </w:pPr>
            <w:r>
              <w:rPr>
                <w:sz w:val="15"/>
                <w:szCs w:val="15"/>
              </w:rPr>
              <w:t xml:space="preserve">users (dedicated assignment is 1:1)</w:t>
            </w:r>
          </w:p>
        </w:tc>
        <w:tc>
          <w:tcPr>
            <w:tcW w:w="5000" w:type="dxa"/>
            <w:noWrap/>
          </w:tcPr>
          <w:p>
            <w:pPr>
              <w:pStyle w:val="cell"/>
            </w:pPr>
            <w:r>
              <w:rPr>
                <w:sz w:val="15"/>
                <w:szCs w:val="15"/>
              </w:rPr>
              <w:t xml:space="preserve">Users = 400 users [Calculated]</w:t>
            </w:r>
          </w:p>
        </w:tc>
        <w:tc>
          <w:tcPr>
            <w:tcW w:w="1600" w:type="dxa"/>
            <w:noWrap/>
          </w:tcPr>
          <w:p>
            <w:pPr>
              <w:pStyle w:val="cell"/>
            </w:pPr>
            <w:r>
              <w:rPr>
                <w:sz w:val="15"/>
                <w:szCs w:val="15"/>
              </w:rPr>
              <w:t xml:space="preserve">400 desktops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Powered-on desktops at peak</w:t>
            </w:r>
          </w:p>
        </w:tc>
        <w:tc>
          <w:tcPr>
            <w:tcW w:w="3300" w:type="dxa"/>
            <w:shd w:val="clear" w:fill="F3F1EC"/>
            <w:noWrap/>
          </w:tcPr>
          <w:p>
            <w:pPr>
              <w:pStyle w:val="cell"/>
            </w:pPr>
            <w:r>
              <w:rPr>
                <w:sz w:val="15"/>
                <w:szCs w:val="15"/>
              </w:rPr>
              <w:t xml:space="preserve">ceil(desktops × powered-on% / 100)</w:t>
            </w:r>
          </w:p>
        </w:tc>
        <w:tc>
          <w:tcPr>
            <w:tcW w:w="5000" w:type="dxa"/>
            <w:shd w:val="clear" w:fill="F3F1EC"/>
            <w:noWrap/>
          </w:tcPr>
          <w:p>
            <w:pPr>
              <w:pStyle w:val="cell"/>
            </w:pPr>
            <w:r>
              <w:rPr>
                <w:sz w:val="15"/>
                <w:szCs w:val="15"/>
              </w:rPr>
              <w:t xml:space="preserve">Provisioned desktops = 400 desktops [Calculated]; Dedicated desktops powered on = 100 % [Assumption]</w:t>
            </w:r>
          </w:p>
        </w:tc>
        <w:tc>
          <w:tcPr>
            <w:tcW w:w="1600" w:type="dxa"/>
            <w:shd w:val="clear" w:fill="F3F1EC"/>
            <w:noWrap/>
          </w:tcPr>
          <w:p>
            <w:pPr>
              <w:pStyle w:val="cell"/>
            </w:pPr>
            <w:r>
              <w:rPr>
                <w:sz w:val="15"/>
                <w:szCs w:val="15"/>
              </w:rPr>
              <w:t xml:space="preserve">400 VMs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Desktop pools</w:t>
            </w:r>
          </w:p>
        </w:tc>
        <w:tc>
          <w:tcPr>
            <w:tcW w:w="3300" w:type="dxa"/>
            <w:noWrap/>
          </w:tcPr>
          <w:p>
            <w:pPr>
              <w:pStyle w:val="cell"/>
            </w:pPr>
            <w:r>
              <w:rPr>
                <w:sz w:val="15"/>
                <w:szCs w:val="15"/>
              </w:rPr>
              <w:t xml:space="preserve">ceil(desktops / desktops per pool)</w:t>
            </w:r>
          </w:p>
        </w:tc>
        <w:tc>
          <w:tcPr>
            <w:tcW w:w="5000" w:type="dxa"/>
            <w:noWrap/>
          </w:tcPr>
          <w:p>
            <w:pPr>
              <w:pStyle w:val="cell"/>
            </w:pPr>
            <w:r>
              <w:rPr>
                <w:sz w:val="15"/>
                <w:szCs w:val="15"/>
              </w:rPr>
              <w:t xml:space="preserve">Provisioned desktops = 400 desktops [Calculated]; Desktops per full-clone pool (recommended) = 2,000 desktops [Official]</w:t>
            </w:r>
          </w:p>
        </w:tc>
        <w:tc>
          <w:tcPr>
            <w:tcW w:w="1600" w:type="dxa"/>
            <w:noWrap/>
          </w:tcPr>
          <w:p>
            <w:pPr>
              <w:pStyle w:val="cell"/>
            </w:pPr>
            <w:r>
              <w:rPr>
                <w:sz w:val="15"/>
                <w:szCs w:val="15"/>
              </w:rPr>
              <w:t xml:space="preserve">1 pools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Total desktop vCPU</w:t>
            </w:r>
          </w:p>
        </w:tc>
        <w:tc>
          <w:tcPr>
            <w:tcW w:w="3300" w:type="dxa"/>
            <w:shd w:val="clear" w:fill="F3F1EC"/>
            <w:noWrap/>
          </w:tcPr>
          <w:p>
            <w:pPr>
              <w:pStyle w:val="cell"/>
            </w:pPr>
            <w:r>
              <w:rPr>
                <w:sz w:val="15"/>
                <w:szCs w:val="15"/>
              </w:rPr>
              <w:t xml:space="preserve">powered-on desktops × vCPU per desktop</w:t>
            </w:r>
          </w:p>
        </w:tc>
        <w:tc>
          <w:tcPr>
            <w:tcW w:w="5000" w:type="dxa"/>
            <w:shd w:val="clear" w:fill="F3F1EC"/>
            <w:noWrap/>
          </w:tcPr>
          <w:p>
            <w:pPr>
              <w:pStyle w:val="cell"/>
            </w:pPr>
            <w:r>
              <w:rPr>
                <w:sz w:val="15"/>
                <w:szCs w:val="15"/>
              </w:rPr>
              <w:t xml:space="preserve">Powered-on desktops = 400 VMs [Calculated]; vCPU per desktop = 4 vCPU [Customer]</w:t>
            </w:r>
          </w:p>
        </w:tc>
        <w:tc>
          <w:tcPr>
            <w:tcW w:w="1600" w:type="dxa"/>
            <w:shd w:val="clear" w:fill="F3F1EC"/>
            <w:noWrap/>
          </w:tcPr>
          <w:p>
            <w:pPr>
              <w:pStyle w:val="cell"/>
            </w:pPr>
            <w:r>
              <w:rPr>
                <w:sz w:val="15"/>
                <w:szCs w:val="15"/>
              </w:rPr>
              <w:t xml:space="preserve">1,600 vCPU</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Physical cores (consolidation-ratio method)</w:t>
            </w:r>
          </w:p>
        </w:tc>
        <w:tc>
          <w:tcPr>
            <w:tcW w:w="3300" w:type="dxa"/>
            <w:noWrap/>
          </w:tcPr>
          <w:p>
            <w:pPr>
              <w:pStyle w:val="cell"/>
            </w:pPr>
            <w:r>
              <w:rPr>
                <w:sz w:val="15"/>
                <w:szCs w:val="15"/>
              </w:rPr>
              <w:t xml:space="preserve">vCPU / (vCPU:core ratio)</w:t>
            </w:r>
          </w:p>
        </w:tc>
        <w:tc>
          <w:tcPr>
            <w:tcW w:w="5000" w:type="dxa"/>
            <w:noWrap/>
          </w:tcPr>
          <w:p>
            <w:pPr>
              <w:pStyle w:val="cell"/>
            </w:pPr>
            <w:r>
              <w:rPr>
                <w:sz w:val="15"/>
                <w:szCs w:val="15"/>
              </w:rPr>
              <w:t xml:space="preserve">Total desktop vCPU = 1,600 vCPU [Calculated]; vCPU:core ratio for this workload = 4 vCPU/core [Assumption]</w:t>
            </w:r>
          </w:p>
        </w:tc>
        <w:tc>
          <w:tcPr>
            <w:tcW w:w="1600" w:type="dxa"/>
            <w:noWrap/>
          </w:tcPr>
          <w:p>
            <w:pPr>
              <w:pStyle w:val="cell"/>
            </w:pPr>
            <w:r>
              <w:rPr>
                <w:sz w:val="15"/>
                <w:szCs w:val="15"/>
              </w:rPr>
              <w:t xml:space="preserve">400 cores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Physical cores required</w:t>
            </w:r>
          </w:p>
        </w:tc>
        <w:tc>
          <w:tcPr>
            <w:tcW w:w="3300" w:type="dxa"/>
            <w:shd w:val="clear" w:fill="F3F1EC"/>
            <w:noWrap/>
          </w:tcPr>
          <w:p>
            <w:pPr>
              <w:pStyle w:val="cell"/>
            </w:pPr>
            <w:r>
              <w:rPr>
                <w:sz w:val="15"/>
                <w:szCs w:val="15"/>
              </w:rPr>
              <w:t xml:space="preserve">consolidation-ratio method</w:t>
            </w:r>
          </w:p>
        </w:tc>
        <w:tc>
          <w:tcPr>
            <w:tcW w:w="5000" w:type="dxa"/>
            <w:shd w:val="clear" w:fill="F3F1EC"/>
            <w:noWrap/>
          </w:tcPr>
          <w:p>
            <w:pPr>
              <w:pStyle w:val="cell"/>
            </w:pPr>
            <w:r>
              <w:rPr>
                <w:sz w:val="15"/>
                <w:szCs w:val="15"/>
              </w:rPr>
              <w:t xml:space="preserve">Ratio method = 400 cores [Calculated]</w:t>
            </w:r>
          </w:p>
        </w:tc>
        <w:tc>
          <w:tcPr>
            <w:tcW w:w="1600" w:type="dxa"/>
            <w:shd w:val="clear" w:fill="F3F1EC"/>
            <w:noWrap/>
          </w:tcPr>
          <w:p>
            <w:pPr>
              <w:pStyle w:val="cell"/>
            </w:pPr>
            <w:r>
              <w:rPr>
                <w:sz w:val="15"/>
                <w:szCs w:val="15"/>
              </w:rPr>
              <w:t xml:space="preserve">400 cores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Video RAM overhead per VM</w:t>
            </w:r>
          </w:p>
        </w:tc>
        <w:tc>
          <w:tcPr>
            <w:tcW w:w="3300" w:type="dxa"/>
            <w:noWrap/>
          </w:tcPr>
          <w:p>
            <w:pPr>
              <w:pStyle w:val="cell"/>
            </w:pPr>
            <w:r>
              <w:rPr>
                <w:sz w:val="15"/>
                <w:szCs w:val="15"/>
              </w:rPr>
              <w:t xml:space="preserve">official table: resolution × monitors</w:t>
            </w:r>
          </w:p>
        </w:tc>
        <w:tc>
          <w:tcPr>
            <w:tcW w:w="5000" w:type="dxa"/>
            <w:noWrap/>
          </w:tcPr>
          <w:p>
            <w:pPr>
              <w:pStyle w:val="cell"/>
            </w:pPr>
            <w:r>
              <w:rPr>
                <w:sz w:val="15"/>
                <w:szCs w:val="15"/>
              </w:rPr>
              <w:t xml:space="preserve">Resolution = 1080p 1920×1080 [Customer]; Monitors = 2 monitors [Customer]</w:t>
            </w:r>
          </w:p>
        </w:tc>
        <w:tc>
          <w:tcPr>
            <w:tcW w:w="1600" w:type="dxa"/>
            <w:noWrap/>
          </w:tcPr>
          <w:p>
            <w:pPr>
              <w:pStyle w:val="cell"/>
            </w:pPr>
            <w:r>
              <w:rPr>
                <w:sz w:val="15"/>
                <w:szCs w:val="15"/>
              </w:rPr>
              <w:t xml:space="preserve">25.4 MB</w:t>
            </w:r>
          </w:p>
        </w:tc>
        <w:tc>
          <w:tcPr>
            <w:tcW w:w="1200" w:type="dxa"/>
            <w:noWrap/>
          </w:tcPr>
          <w:p>
            <w:pPr>
              <w:pStyle w:val="cell"/>
            </w:pPr>
            <w:r>
              <w:rPr>
                <w:sz w:val="15"/>
                <w:szCs w:val="15"/>
              </w:rPr>
              <w:t xml:space="preserve">Official</w:t>
            </w:r>
          </w:p>
        </w:tc>
      </w:tr>
      <w:tr>
        <w:trPr>
          <w:cantSplit w:val="1"/>
        </w:trPr>
        <w:tc>
          <w:tcPr>
            <w:tcW w:w="2600" w:type="dxa"/>
            <w:shd w:val="clear" w:fill="F3F1EC"/>
            <w:noWrap/>
          </w:tcPr>
          <w:p>
            <w:pPr>
              <w:pStyle w:val="cell"/>
            </w:pPr>
            <w:r>
              <w:rPr>
                <w:sz w:val="15"/>
                <w:szCs w:val="15"/>
              </w:rPr>
              <w:t xml:space="preserve">Memory per desktop VM</w:t>
            </w:r>
          </w:p>
        </w:tc>
        <w:tc>
          <w:tcPr>
            <w:tcW w:w="3300" w:type="dxa"/>
            <w:shd w:val="clear" w:fill="F3F1EC"/>
            <w:noWrap/>
          </w:tcPr>
          <w:p>
            <w:pPr>
              <w:pStyle w:val="cell"/>
            </w:pPr>
            <w:r>
              <w:rPr>
                <w:sz w:val="15"/>
                <w:szCs w:val="15"/>
              </w:rPr>
              <w:t xml:space="preserve">RAM + VRAM overhead / 1024 + hypervisor overhead / 1024</w:t>
            </w:r>
          </w:p>
        </w:tc>
        <w:tc>
          <w:tcPr>
            <w:tcW w:w="5000" w:type="dxa"/>
            <w:shd w:val="clear" w:fill="F3F1EC"/>
            <w:noWrap/>
          </w:tcPr>
          <w:p>
            <w:pPr>
              <w:pStyle w:val="cell"/>
            </w:pPr>
            <w:r>
              <w:rPr>
                <w:sz w:val="15"/>
                <w:szCs w:val="15"/>
              </w:rPr>
              <w:t xml:space="preserve">Configured RAM = 8 GB [Customer]; VRAM overhead = 25.4 MB [Official]; Hypervisor overhead per VM = 200 MB [Validate]</w:t>
            </w:r>
          </w:p>
        </w:tc>
        <w:tc>
          <w:tcPr>
            <w:tcW w:w="1600" w:type="dxa"/>
            <w:shd w:val="clear" w:fill="F3F1EC"/>
            <w:noWrap/>
          </w:tcPr>
          <w:p>
            <w:pPr>
              <w:pStyle w:val="cell"/>
            </w:pPr>
            <w:r>
              <w:rPr>
                <w:sz w:val="15"/>
                <w:szCs w:val="15"/>
              </w:rPr>
              <w:t xml:space="preserve">8.22 GB</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Desktop memory demand</w:t>
            </w:r>
          </w:p>
        </w:tc>
        <w:tc>
          <w:tcPr>
            <w:tcW w:w="3300" w:type="dxa"/>
            <w:noWrap/>
          </w:tcPr>
          <w:p>
            <w:pPr>
              <w:pStyle w:val="cell"/>
            </w:pPr>
            <w:r>
              <w:rPr>
                <w:sz w:val="15"/>
                <w:szCs w:val="15"/>
              </w:rPr>
              <w:t xml:space="preserve">powered-on desktops × memory per VM / overcommit</w:t>
            </w:r>
          </w:p>
        </w:tc>
        <w:tc>
          <w:tcPr>
            <w:tcW w:w="5000" w:type="dxa"/>
            <w:noWrap/>
          </w:tcPr>
          <w:p>
            <w:pPr>
              <w:pStyle w:val="cell"/>
            </w:pPr>
            <w:r>
              <w:rPr>
                <w:sz w:val="15"/>
                <w:szCs w:val="15"/>
              </w:rPr>
              <w:t xml:space="preserve">Powered-on desktops = 400 VMs [Calculated]; Memory per VM = 8.22 GB [Calculated]; Memory reservation = 100 % [Official]; Overcommit ratio = 1 :1 [Official]</w:t>
            </w:r>
          </w:p>
        </w:tc>
        <w:tc>
          <w:tcPr>
            <w:tcW w:w="1600" w:type="dxa"/>
            <w:noWrap/>
          </w:tcPr>
          <w:p>
            <w:pPr>
              <w:pStyle w:val="cell"/>
            </w:pPr>
            <w:r>
              <w:rPr>
                <w:sz w:val="15"/>
                <w:szCs w:val="15"/>
              </w:rPr>
              <w:t xml:space="preserve">3,288 GB</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Steady-state IOPS</w:t>
            </w:r>
          </w:p>
        </w:tc>
        <w:tc>
          <w:tcPr>
            <w:tcW w:w="3300" w:type="dxa"/>
            <w:shd w:val="clear" w:fill="F3F1EC"/>
            <w:noWrap/>
          </w:tcPr>
          <w:p>
            <w:pPr>
              <w:pStyle w:val="cell"/>
            </w:pPr>
            <w:r>
              <w:rPr>
                <w:sz w:val="15"/>
                <w:szCs w:val="15"/>
              </w:rPr>
              <w:t xml:space="preserve">sessions × IOPS per session</w:t>
            </w:r>
          </w:p>
        </w:tc>
        <w:tc>
          <w:tcPr>
            <w:tcW w:w="5000" w:type="dxa"/>
            <w:shd w:val="clear" w:fill="F3F1EC"/>
            <w:noWrap/>
          </w:tcPr>
          <w:p>
            <w:pPr>
              <w:pStyle w:val="cell"/>
            </w:pPr>
            <w:r>
              <w:rPr>
                <w:sz w:val="15"/>
                <w:szCs w:val="15"/>
              </w:rPr>
              <w:t xml:space="preserve">Peak concurrent sessions = 360 sessions [Calculated]; IOPS per session = 25 IOPS [Assumption]</w:t>
            </w:r>
          </w:p>
        </w:tc>
        <w:tc>
          <w:tcPr>
            <w:tcW w:w="1600" w:type="dxa"/>
            <w:shd w:val="clear" w:fill="F3F1EC"/>
            <w:noWrap/>
          </w:tcPr>
          <w:p>
            <w:pPr>
              <w:pStyle w:val="cell"/>
            </w:pPr>
            <w:r>
              <w:rPr>
                <w:sz w:val="15"/>
                <w:szCs w:val="15"/>
              </w:rPr>
              <w:t xml:space="preserve">9,000 IOPS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Peak logon rate</w:t>
            </w:r>
          </w:p>
        </w:tc>
        <w:tc>
          <w:tcPr>
            <w:tcW w:w="3300" w:type="dxa"/>
            <w:noWrap/>
          </w:tcPr>
          <w:p>
            <w:pPr>
              <w:pStyle w:val="cell"/>
            </w:pPr>
            <w:r>
              <w:rPr>
                <w:sz w:val="15"/>
                <w:szCs w:val="15"/>
              </w:rPr>
              <w:t xml:space="preserve">sessions × logon% / (logon window minutes × 60)</w:t>
            </w:r>
          </w:p>
        </w:tc>
        <w:tc>
          <w:tcPr>
            <w:tcW w:w="5000" w:type="dxa"/>
            <w:noWrap/>
          </w:tcPr>
          <w:p>
            <w:pPr>
              <w:pStyle w:val="cell"/>
            </w:pPr>
            <w:r>
              <w:rPr>
                <w:sz w:val="15"/>
                <w:szCs w:val="15"/>
              </w:rPr>
              <w:t xml:space="preserve">Peak concurrent sessions = 360 sessions [Calculated]; Users logging on in the window = 80 % [Customer]; Logon window = 30 min [Customer]</w:t>
            </w:r>
          </w:p>
        </w:tc>
        <w:tc>
          <w:tcPr>
            <w:tcW w:w="1600" w:type="dxa"/>
            <w:noWrap/>
          </w:tcPr>
          <w:p>
            <w:pPr>
              <w:pStyle w:val="cell"/>
            </w:pPr>
            <w:r>
              <w:rPr>
                <w:sz w:val="15"/>
                <w:szCs w:val="15"/>
              </w:rPr>
              <w:t xml:space="preserve">0.16 logons/s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Concurrent logons</w:t>
            </w:r>
          </w:p>
        </w:tc>
        <w:tc>
          <w:tcPr>
            <w:tcW w:w="3300" w:type="dxa"/>
            <w:shd w:val="clear" w:fill="F3F1EC"/>
            <w:noWrap/>
          </w:tcPr>
          <w:p>
            <w:pPr>
              <w:pStyle w:val="cell"/>
            </w:pPr>
            <w:r>
              <w:rPr>
                <w:sz w:val="15"/>
                <w:szCs w:val="15"/>
              </w:rPr>
              <w:t xml:space="preserve">logon rate × logon duration</w:t>
            </w:r>
          </w:p>
        </w:tc>
        <w:tc>
          <w:tcPr>
            <w:tcW w:w="5000" w:type="dxa"/>
            <w:shd w:val="clear" w:fill="F3F1EC"/>
            <w:noWrap/>
          </w:tcPr>
          <w:p>
            <w:pPr>
              <w:pStyle w:val="cell"/>
            </w:pPr>
            <w:r>
              <w:rPr>
                <w:sz w:val="15"/>
                <w:szCs w:val="15"/>
              </w:rPr>
              <w:t xml:space="preserve">Peak logon rate = 0.16 logons/s [Calculated]; Logon duration = 30 s [Assumption]</w:t>
            </w:r>
          </w:p>
        </w:tc>
        <w:tc>
          <w:tcPr>
            <w:tcW w:w="1600" w:type="dxa"/>
            <w:shd w:val="clear" w:fill="F3F1EC"/>
            <w:noWrap/>
          </w:tcPr>
          <w:p>
            <w:pPr>
              <w:pStyle w:val="cell"/>
            </w:pPr>
            <w:r>
              <w:rPr>
                <w:sz w:val="15"/>
                <w:szCs w:val="15"/>
              </w:rPr>
              <w:t xml:space="preserve">5 logons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Logon storm IOPS (additional)</w:t>
            </w:r>
          </w:p>
        </w:tc>
        <w:tc>
          <w:tcPr>
            <w:tcW w:w="3300" w:type="dxa"/>
            <w:noWrap/>
          </w:tcPr>
          <w:p>
            <w:pPr>
              <w:pStyle w:val="cell"/>
            </w:pPr>
            <w:r>
              <w:rPr>
                <w:sz w:val="15"/>
                <w:szCs w:val="15"/>
              </w:rPr>
              <w:t xml:space="preserve">concurrent logons × logon IOPS per user</w:t>
            </w:r>
          </w:p>
        </w:tc>
        <w:tc>
          <w:tcPr>
            <w:tcW w:w="5000" w:type="dxa"/>
            <w:noWrap/>
          </w:tcPr>
          <w:p>
            <w:pPr>
              <w:pStyle w:val="cell"/>
            </w:pPr>
            <w:r>
              <w:rPr>
                <w:sz w:val="15"/>
                <w:szCs w:val="15"/>
              </w:rPr>
              <w:t xml:space="preserve">Concurrent logons = 5 logons [Calculated]; Additional IOPS per logon = 50 IOPS [Assumption]</w:t>
            </w:r>
          </w:p>
        </w:tc>
        <w:tc>
          <w:tcPr>
            <w:tcW w:w="1600" w:type="dxa"/>
            <w:noWrap/>
          </w:tcPr>
          <w:p>
            <w:pPr>
              <w:pStyle w:val="cell"/>
            </w:pPr>
            <w:r>
              <w:rPr>
                <w:sz w:val="15"/>
                <w:szCs w:val="15"/>
              </w:rPr>
              <w:t xml:space="preserve">250 IOPS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Boot / provisioning storm IOPS</w:t>
            </w:r>
          </w:p>
        </w:tc>
        <w:tc>
          <w:tcPr>
            <w:tcW w:w="3300" w:type="dxa"/>
            <w:shd w:val="clear" w:fill="F3F1EC"/>
            <w:noWrap/>
          </w:tcPr>
          <w:p>
            <w:pPr>
              <w:pStyle w:val="cell"/>
            </w:pPr>
            <w:r>
              <w:rPr>
                <w:sz w:val="15"/>
                <w:szCs w:val="15"/>
              </w:rPr>
              <w:t xml:space="preserve">VMs × booting% / 100 × IOPS per booting VM</w:t>
            </w:r>
          </w:p>
        </w:tc>
        <w:tc>
          <w:tcPr>
            <w:tcW w:w="5000" w:type="dxa"/>
            <w:shd w:val="clear" w:fill="F3F1EC"/>
            <w:noWrap/>
          </w:tcPr>
          <w:p>
            <w:pPr>
              <w:pStyle w:val="cell"/>
            </w:pPr>
            <w:r>
              <w:rPr>
                <w:sz w:val="15"/>
                <w:szCs w:val="15"/>
              </w:rPr>
              <w:t xml:space="preserve">Powered-on VMs = 400 VMs [Calculated]; VMs booting simultaneously = 10 % [Assumption]; IOPS per booting VM = 100 IOPS [Assumption]</w:t>
            </w:r>
          </w:p>
        </w:tc>
        <w:tc>
          <w:tcPr>
            <w:tcW w:w="1600" w:type="dxa"/>
            <w:shd w:val="clear" w:fill="F3F1EC"/>
            <w:noWrap/>
          </w:tcPr>
          <w:p>
            <w:pPr>
              <w:pStyle w:val="cell"/>
            </w:pPr>
            <w:r>
              <w:rPr>
                <w:sz w:val="15"/>
                <w:szCs w:val="15"/>
              </w:rPr>
              <w:t xml:space="preserve">4,000 IOPS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Aggregate session bandwidth</w:t>
            </w:r>
          </w:p>
        </w:tc>
        <w:tc>
          <w:tcPr>
            <w:tcW w:w="3300" w:type="dxa"/>
            <w:noWrap/>
          </w:tcPr>
          <w:p>
            <w:pPr>
              <w:pStyle w:val="cell"/>
            </w:pPr>
            <w:r>
              <w:rPr>
                <w:sz w:val="15"/>
                <w:szCs w:val="15"/>
              </w:rPr>
              <w:t xml:space="preserve">sessions × Kbps per session × (1 + headroom% / 100) / 1000</w:t>
            </w:r>
          </w:p>
        </w:tc>
        <w:tc>
          <w:tcPr>
            <w:tcW w:w="5000" w:type="dxa"/>
            <w:noWrap/>
          </w:tcPr>
          <w:p>
            <w:pPr>
              <w:pStyle w:val="cell"/>
            </w:pPr>
            <w:r>
              <w:rPr>
                <w:sz w:val="15"/>
                <w:szCs w:val="15"/>
              </w:rPr>
              <w:t xml:space="preserve">Peak concurrent sessions = 360 sessions [Calculated]; Bandwidth per session = 1,000 Kbps [Assumption]; Burst headroom = 25 % [Assumption]</w:t>
            </w:r>
          </w:p>
        </w:tc>
        <w:tc>
          <w:tcPr>
            <w:tcW w:w="1600" w:type="dxa"/>
            <w:noWrap/>
          </w:tcPr>
          <w:p>
            <w:pPr>
              <w:pStyle w:val="cell"/>
            </w:pPr>
            <w:r>
              <w:rPr>
                <w:sz w:val="15"/>
                <w:szCs w:val="15"/>
              </w:rPr>
              <w:t xml:space="preserve">450 Mbps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External (Internet) session bandwidth</w:t>
            </w:r>
          </w:p>
        </w:tc>
        <w:tc>
          <w:tcPr>
            <w:tcW w:w="3300" w:type="dxa"/>
            <w:shd w:val="clear" w:fill="F3F1EC"/>
            <w:noWrap/>
          </w:tcPr>
          <w:p>
            <w:pPr>
              <w:pStyle w:val="cell"/>
            </w:pPr>
            <w:r>
              <w:rPr>
                <w:sz w:val="15"/>
                <w:szCs w:val="15"/>
              </w:rPr>
              <w:t xml:space="preserve">aggregate × external% / 100</w:t>
            </w:r>
          </w:p>
        </w:tc>
        <w:tc>
          <w:tcPr>
            <w:tcW w:w="5000" w:type="dxa"/>
            <w:shd w:val="clear" w:fill="F3F1EC"/>
            <w:noWrap/>
          </w:tcPr>
          <w:p>
            <w:pPr>
              <w:pStyle w:val="cell"/>
            </w:pPr>
            <w:r>
              <w:rPr>
                <w:sz w:val="15"/>
                <w:szCs w:val="15"/>
              </w:rPr>
              <w:t xml:space="preserve">Aggregate session bandwidth = 450 Mbps [Calculated]; External sessions = 20 % [Customer]</w:t>
            </w:r>
          </w:p>
        </w:tc>
        <w:tc>
          <w:tcPr>
            <w:tcW w:w="1600" w:type="dxa"/>
            <w:shd w:val="clear" w:fill="F3F1EC"/>
            <w:noWrap/>
          </w:tcPr>
          <w:p>
            <w:pPr>
              <w:pStyle w:val="cell"/>
            </w:pPr>
            <w:r>
              <w:rPr>
                <w:sz w:val="15"/>
                <w:szCs w:val="15"/>
              </w:rPr>
              <w:t xml:space="preserve">90 Mbps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Blast maximum bandwidth cap per session (informational)</w:t>
            </w:r>
          </w:p>
        </w:tc>
        <w:tc>
          <w:tcPr>
            <w:tcW w:w="3300" w:type="dxa"/>
            <w:noWrap/>
          </w:tcPr>
          <w:p>
            <w:pPr>
              <w:pStyle w:val="cell"/>
            </w:pPr>
            <w:r>
              <w:rPr>
                <w:sz w:val="15"/>
                <w:szCs w:val="15"/>
              </w:rPr>
              <w:t xml:space="preserve">offset + slope × screen area (MP)</w:t>
            </w:r>
          </w:p>
        </w:tc>
        <w:tc>
          <w:tcPr>
            <w:tcW w:w="5000" w:type="dxa"/>
            <w:noWrap/>
          </w:tcPr>
          <w:p>
            <w:pPr>
              <w:pStyle w:val="cell"/>
            </w:pPr>
            <w:r>
              <w:rPr>
                <w:sz w:val="15"/>
                <w:szCs w:val="15"/>
              </w:rPr>
              <w:t xml:space="preserve">Offset = 0 Kbps [Official]; Slope = 6,200 Kbps/MP [Official]; Screen area = 4.14 MP [Calculated]</w:t>
            </w:r>
          </w:p>
        </w:tc>
        <w:tc>
          <w:tcPr>
            <w:tcW w:w="1600" w:type="dxa"/>
            <w:noWrap/>
          </w:tcPr>
          <w:p>
            <w:pPr>
              <w:pStyle w:val="cell"/>
            </w:pPr>
            <w:r>
              <w:rPr>
                <w:sz w:val="15"/>
                <w:szCs w:val="15"/>
              </w:rPr>
              <w:t xml:space="preserve">25,668 Kbps</w:t>
            </w:r>
          </w:p>
        </w:tc>
        <w:tc>
          <w:tcPr>
            <w:tcW w:w="1200" w:type="dxa"/>
            <w:noWrap/>
          </w:tcPr>
          <w:p>
            <w:pPr>
              <w:pStyle w:val="cell"/>
            </w:pPr>
            <w:r>
              <w:rPr>
                <w:sz w:val="15"/>
                <w:szCs w:val="15"/>
              </w:rPr>
              <w:t xml:space="preserve">Official</w:t>
            </w:r>
          </w:p>
        </w:tc>
      </w:tr>
    </w:tbl>
    <w:p>
      <w:pPr>
        <w:rPr>
          <w:sz w:val="8"/>
          <w:szCs w:val="8"/>
        </w:rPr>
      </w:pPr>
    </w:p>
    <w:p>
      <w:pPr>
        <w:pStyle w:val="Heading3"/>
      </w:pPr>
      <w:bookmarkStart w:id="32" w:name="_Toc32"/>
      <w:r>
        <w:t>Horizon infrastructure</w:t>
      </w:r>
      <w:bookmarkEnd w:id="32"/>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Total peak concurrent sessions</w:t>
            </w:r>
          </w:p>
        </w:tc>
        <w:tc>
          <w:tcPr>
            <w:tcW w:w="3300" w:type="dxa"/>
            <w:noWrap/>
          </w:tcPr>
          <w:p>
            <w:pPr>
              <w:pStyle w:val="cell"/>
            </w:pPr>
            <w:r>
              <w:rPr>
                <w:sz w:val="15"/>
                <w:szCs w:val="15"/>
              </w:rPr>
              <w:t xml:space="preserve">VDI sessions + RDS sessions</w:t>
            </w:r>
          </w:p>
        </w:tc>
        <w:tc>
          <w:tcPr>
            <w:tcW w:w="5000" w:type="dxa"/>
            <w:noWrap/>
          </w:tcPr>
          <w:p>
            <w:pPr>
              <w:pStyle w:val="cell"/>
            </w:pPr>
            <w:r>
              <w:rPr>
                <w:sz w:val="15"/>
                <w:szCs w:val="15"/>
              </w:rPr>
              <w:t xml:space="preserve">VDI sessions = 2,510 sessions [Calculated]; RDS sessions = 0 sessions [Calculated]</w:t>
            </w:r>
          </w:p>
        </w:tc>
        <w:tc>
          <w:tcPr>
            <w:tcW w:w="1600" w:type="dxa"/>
            <w:noWrap/>
          </w:tcPr>
          <w:p>
            <w:pPr>
              <w:pStyle w:val="cell"/>
            </w:pPr>
            <w:r>
              <w:rPr>
                <w:sz w:val="15"/>
                <w:szCs w:val="15"/>
              </w:rPr>
              <w:t xml:space="preserve">2,510 sessions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External sessions (through UAG)</w:t>
            </w:r>
          </w:p>
        </w:tc>
        <w:tc>
          <w:tcPr>
            <w:tcW w:w="3300" w:type="dxa"/>
            <w:shd w:val="clear" w:fill="F3F1EC"/>
            <w:noWrap/>
          </w:tcPr>
          <w:p>
            <w:pPr>
              <w:pStyle w:val="cell"/>
            </w:pPr>
            <w:r>
              <w:rPr>
                <w:sz w:val="15"/>
                <w:szCs w:val="15"/>
              </w:rPr>
              <w:t xml:space="preserve">Σ ceil(workload sessions × external% / 100)</w:t>
            </w:r>
          </w:p>
        </w:tc>
        <w:tc>
          <w:tcPr>
            <w:tcW w:w="5000" w:type="dxa"/>
            <w:shd w:val="clear" w:fill="F3F1EC"/>
            <w:noWrap/>
          </w:tcPr>
          <w:p>
            <w:pPr>
              <w:pStyle w:val="cell"/>
            </w:pPr>
            <w:r>
              <w:rPr>
                <w:sz w:val="15"/>
                <w:szCs w:val="15"/>
              </w:rPr>
              <w:t xml:space="preserve">Total sessions = 2,510 sessions [Calculated]; External sessions = 20 % [Customer]</w:t>
            </w:r>
          </w:p>
        </w:tc>
        <w:tc>
          <w:tcPr>
            <w:tcW w:w="1600" w:type="dxa"/>
            <w:shd w:val="clear" w:fill="F3F1EC"/>
            <w:noWrap/>
          </w:tcPr>
          <w:p>
            <w:pPr>
              <w:pStyle w:val="cell"/>
            </w:pPr>
            <w:r>
              <w:rPr>
                <w:sz w:val="15"/>
                <w:szCs w:val="15"/>
              </w:rPr>
              <w:t xml:space="preserve">502 sessions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Peak logon rate (all workloads)</w:t>
            </w:r>
          </w:p>
        </w:tc>
        <w:tc>
          <w:tcPr>
            <w:tcW w:w="3300" w:type="dxa"/>
            <w:noWrap/>
          </w:tcPr>
          <w:p>
            <w:pPr>
              <w:pStyle w:val="cell"/>
            </w:pPr>
            <w:r>
              <w:rPr>
                <w:sz w:val="15"/>
                <w:szCs w:val="15"/>
              </w:rPr>
              <w:t xml:space="preserve">Σ workload logon rates</w:t>
            </w:r>
          </w:p>
        </w:tc>
        <w:tc>
          <w:tcPr>
            <w:tcW w:w="5000" w:type="dxa"/>
            <w:noWrap/>
          </w:tcPr>
          <w:p>
            <w:pPr>
              <w:pStyle w:val="cell"/>
            </w:pPr>
            <w:r>
              <w:rPr>
                <w:sz w:val="15"/>
                <w:szCs w:val="15"/>
              </w:rPr>
              <w:t xml:space="preserve">Engineering office users = 0.89 logons/s [Calculated]; CAD workstations (vGPU) = 0.07 logons/s [Calculated]; Software developers = 0.16 logons/s [Calculated]</w:t>
            </w:r>
          </w:p>
        </w:tc>
        <w:tc>
          <w:tcPr>
            <w:tcW w:w="1600" w:type="dxa"/>
            <w:noWrap/>
          </w:tcPr>
          <w:p>
            <w:pPr>
              <w:pStyle w:val="cell"/>
            </w:pPr>
            <w:r>
              <w:rPr>
                <w:sz w:val="15"/>
                <w:szCs w:val="15"/>
              </w:rPr>
              <w:t xml:space="preserve">1.12 logons/s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Horizon pods</w:t>
            </w:r>
          </w:p>
        </w:tc>
        <w:tc>
          <w:tcPr>
            <w:tcW w:w="3300" w:type="dxa"/>
            <w:shd w:val="clear" w:fill="F3F1EC"/>
            <w:noWrap/>
          </w:tcPr>
          <w:p>
            <w:pPr>
              <w:pStyle w:val="cell"/>
            </w:pPr>
            <w:r>
              <w:rPr>
                <w:sz w:val="15"/>
                <w:szCs w:val="15"/>
              </w:rPr>
              <w:t xml:space="preserve">max(sites, ceil(VDI sessions / pod max), ceil(RDS sessions / pod max), ceil(desktops / pod max), ceil(logon rate / pod logon rate), CS per pod ≤ 7)</w:t>
            </w:r>
          </w:p>
        </w:tc>
        <w:tc>
          <w:tcPr>
            <w:tcW w:w="5000" w:type="dxa"/>
            <w:shd w:val="clear" w:fill="F3F1EC"/>
            <w:noWrap/>
          </w:tcPr>
          <w:p>
            <w:pPr>
              <w:pStyle w:val="cell"/>
            </w:pPr>
            <w:r>
              <w:rPr>
                <w:sz w:val="15"/>
                <w:szCs w:val="15"/>
              </w:rPr>
              <w:t xml:space="preserve">Sites = 2 sites [Customer]; VDI sessions = 2,510 sessions [Calculated]; Active VDI sessions per pod = 20,000 sessions [Official]; RDS sessions = 0 sessions [Calculated]; Active RDS sessions per pod = 20,000 sessions [Official]; Provisioned desktops = 3,050 desktops [Calculated]; Provisioned desktops per pod = 20,000 desktops [Official]; Peak logon rate = 1.12 logons/s [Calculated]; Pod logon rate = 6 users/s [Official]; Connection Servers per pod = 7 servers [Official]</w:t>
            </w:r>
          </w:p>
        </w:tc>
        <w:tc>
          <w:tcPr>
            <w:tcW w:w="1600" w:type="dxa"/>
            <w:shd w:val="clear" w:fill="F3F1EC"/>
            <w:noWrap/>
          </w:tcPr>
          <w:p>
            <w:pPr>
              <w:pStyle w:val="cell"/>
            </w:pPr>
            <w:r>
              <w:rPr>
                <w:sz w:val="15"/>
                <w:szCs w:val="15"/>
              </w:rPr>
              <w:t xml:space="preserve">2 pods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Active Connection Servers per pod</w:t>
            </w:r>
          </w:p>
        </w:tc>
        <w:tc>
          <w:tcPr>
            <w:tcW w:w="3300" w:type="dxa"/>
            <w:noWrap/>
          </w:tcPr>
          <w:p>
            <w:pPr>
              <w:pStyle w:val="cell"/>
            </w:pPr>
            <w:r>
              <w:rPr>
                <w:sz w:val="15"/>
                <w:szCs w:val="15"/>
              </w:rPr>
              <w:t xml:space="preserve">max(ceil(sessions per pod / sessions per CS), ceil(logon rate per pod / logon rate per CS))</w:t>
            </w:r>
          </w:p>
        </w:tc>
        <w:tc>
          <w:tcPr>
            <w:tcW w:w="5000" w:type="dxa"/>
            <w:noWrap/>
          </w:tcPr>
          <w:p>
            <w:pPr>
              <w:pStyle w:val="cell"/>
            </w:pPr>
            <w:r>
              <w:rPr>
                <w:sz w:val="15"/>
                <w:szCs w:val="15"/>
              </w:rPr>
              <w:t xml:space="preserve">Sessions per pod = 1,255 sessions [Calculated]; Sessions per Connection Server = 4,000 sessions [Official]; Logon rate per pod = 0.56 logons/s [Calculated]; Logon rate per Connection Server = 1 users/s [Official]</w:t>
            </w:r>
          </w:p>
        </w:tc>
        <w:tc>
          <w:tcPr>
            <w:tcW w:w="1600" w:type="dxa"/>
            <w:noWrap/>
          </w:tcPr>
          <w:p>
            <w:pPr>
              <w:pStyle w:val="cell"/>
            </w:pPr>
            <w:r>
              <w:rPr>
                <w:sz w:val="15"/>
                <w:szCs w:val="15"/>
              </w:rPr>
              <w:t xml:space="preserve">1 servers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Connection Servers per pod (N+1)</w:t>
            </w:r>
          </w:p>
        </w:tc>
        <w:tc>
          <w:tcPr>
            <w:tcW w:w="3300" w:type="dxa"/>
            <w:shd w:val="clear" w:fill="F3F1EC"/>
            <w:noWrap/>
          </w:tcPr>
          <w:p>
            <w:pPr>
              <w:pStyle w:val="cell"/>
            </w:pPr>
            <w:r>
              <w:rPr>
                <w:sz w:val="15"/>
                <w:szCs w:val="15"/>
              </w:rPr>
              <w:t xml:space="preserve">max(active + HA spare, minimum instances)</w:t>
            </w:r>
          </w:p>
        </w:tc>
        <w:tc>
          <w:tcPr>
            <w:tcW w:w="5000" w:type="dxa"/>
            <w:shd w:val="clear" w:fill="F3F1EC"/>
            <w:noWrap/>
          </w:tcPr>
          <w:p>
            <w:pPr>
              <w:pStyle w:val="cell"/>
            </w:pPr>
            <w:r>
              <w:rPr>
                <w:sz w:val="15"/>
                <w:szCs w:val="15"/>
              </w:rPr>
              <w:t xml:space="preserve">Active Connection Servers = 1 servers [Calculated]; High-availability spare (N+1) = 1 spare CS [Official]; Minimum instances = 2 servers [Official]</w:t>
            </w:r>
          </w:p>
        </w:tc>
        <w:tc>
          <w:tcPr>
            <w:tcW w:w="1600" w:type="dxa"/>
            <w:shd w:val="clear" w:fill="F3F1EC"/>
            <w:noWrap/>
          </w:tcPr>
          <w:p>
            <w:pPr>
              <w:pStyle w:val="cell"/>
            </w:pPr>
            <w:r>
              <w:rPr>
                <w:sz w:val="15"/>
                <w:szCs w:val="15"/>
              </w:rPr>
              <w:t xml:space="preserve">2 servers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Connection Servers (all pods)</w:t>
            </w:r>
          </w:p>
        </w:tc>
        <w:tc>
          <w:tcPr>
            <w:tcW w:w="3300" w:type="dxa"/>
            <w:noWrap/>
          </w:tcPr>
          <w:p>
            <w:pPr>
              <w:pStyle w:val="cell"/>
            </w:pPr>
            <w:r>
              <w:rPr>
                <w:sz w:val="15"/>
                <w:szCs w:val="15"/>
              </w:rPr>
              <w:t xml:space="preserve">pods × Connection Servers per pod</w:t>
            </w:r>
          </w:p>
        </w:tc>
        <w:tc>
          <w:tcPr>
            <w:tcW w:w="5000" w:type="dxa"/>
            <w:noWrap/>
          </w:tcPr>
          <w:p>
            <w:pPr>
              <w:pStyle w:val="cell"/>
            </w:pPr>
            <w:r>
              <w:rPr>
                <w:sz w:val="15"/>
                <w:szCs w:val="15"/>
              </w:rPr>
              <w:t xml:space="preserve">Pods = 2 pods [Calculated]; Connection Servers per pod = 2 servers [Calculated]</w:t>
            </w:r>
          </w:p>
        </w:tc>
        <w:tc>
          <w:tcPr>
            <w:tcW w:w="1600" w:type="dxa"/>
            <w:noWrap/>
          </w:tcPr>
          <w:p>
            <w:pPr>
              <w:pStyle w:val="cell"/>
            </w:pPr>
            <w:r>
              <w:rPr>
                <w:sz w:val="15"/>
                <w:szCs w:val="15"/>
              </w:rPr>
              <w:t xml:space="preserve">4 servers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UAG appliances for external sessions</w:t>
            </w:r>
          </w:p>
        </w:tc>
        <w:tc>
          <w:tcPr>
            <w:tcW w:w="3300" w:type="dxa"/>
            <w:shd w:val="clear" w:fill="F3F1EC"/>
            <w:noWrap/>
          </w:tcPr>
          <w:p>
            <w:pPr>
              <w:pStyle w:val="cell"/>
            </w:pPr>
            <w:r>
              <w:rPr>
                <w:sz w:val="15"/>
                <w:szCs w:val="15"/>
              </w:rPr>
              <w:t xml:space="preserve">ceil(external sessions / sessions per appliance)</w:t>
            </w:r>
          </w:p>
        </w:tc>
        <w:tc>
          <w:tcPr>
            <w:tcW w:w="5000" w:type="dxa"/>
            <w:shd w:val="clear" w:fill="F3F1EC"/>
            <w:noWrap/>
          </w:tcPr>
          <w:p>
            <w:pPr>
              <w:pStyle w:val="cell"/>
            </w:pPr>
            <w:r>
              <w:rPr>
                <w:sz w:val="15"/>
                <w:szCs w:val="15"/>
              </w:rPr>
              <w:t xml:space="preserve">External sessions = 502 sessions [Calculated]; Horizon sessions per standard UAG = 2,000 sessions [Official]</w:t>
            </w:r>
          </w:p>
        </w:tc>
        <w:tc>
          <w:tcPr>
            <w:tcW w:w="1600" w:type="dxa"/>
            <w:shd w:val="clear" w:fill="F3F1EC"/>
            <w:noWrap/>
          </w:tcPr>
          <w:p>
            <w:pPr>
              <w:pStyle w:val="cell"/>
            </w:pPr>
            <w:r>
              <w:rPr>
                <w:sz w:val="15"/>
                <w:szCs w:val="15"/>
              </w:rPr>
              <w:t xml:space="preserve">1 appliances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UAG appliances (n+1)</w:t>
            </w:r>
          </w:p>
        </w:tc>
        <w:tc>
          <w:tcPr>
            <w:tcW w:w="3300" w:type="dxa"/>
            <w:noWrap/>
          </w:tcPr>
          <w:p>
            <w:pPr>
              <w:pStyle w:val="cell"/>
            </w:pPr>
            <w:r>
              <w:rPr>
                <w:sz w:val="15"/>
                <w:szCs w:val="15"/>
              </w:rPr>
              <w:t xml:space="preserve">active appliances + spare</w:t>
            </w:r>
          </w:p>
        </w:tc>
        <w:tc>
          <w:tcPr>
            <w:tcW w:w="5000" w:type="dxa"/>
            <w:noWrap/>
          </w:tcPr>
          <w:p>
            <w:pPr>
              <w:pStyle w:val="cell"/>
            </w:pPr>
            <w:r>
              <w:rPr>
                <w:sz w:val="15"/>
                <w:szCs w:val="15"/>
              </w:rPr>
              <w:t xml:space="preserve">Active appliances = 1 appliances [Calculated]; Spare appliances (n+1) = 1 appliances [Official]</w:t>
            </w:r>
          </w:p>
        </w:tc>
        <w:tc>
          <w:tcPr>
            <w:tcW w:w="1600" w:type="dxa"/>
            <w:noWrap/>
          </w:tcPr>
          <w:p>
            <w:pPr>
              <w:pStyle w:val="cell"/>
            </w:pPr>
            <w:r>
              <w:rPr>
                <w:sz w:val="15"/>
                <w:szCs w:val="15"/>
              </w:rPr>
              <w:t xml:space="preserve">2 appliances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vCenter Server instances</w:t>
            </w:r>
          </w:p>
        </w:tc>
        <w:tc>
          <w:tcPr>
            <w:tcW w:w="3300" w:type="dxa"/>
            <w:shd w:val="clear" w:fill="F3F1EC"/>
            <w:noWrap/>
          </w:tcPr>
          <w:p>
            <w:pPr>
              <w:pStyle w:val="cell"/>
            </w:pPr>
            <w:r>
              <w:rPr>
                <w:sz w:val="15"/>
                <w:szCs w:val="15"/>
              </w:rPr>
              <w:t xml:space="preserve">max(1, ceil(powered-on VMs / design VMs per vCenter))</w:t>
            </w:r>
          </w:p>
        </w:tc>
        <w:tc>
          <w:tcPr>
            <w:tcW w:w="5000" w:type="dxa"/>
            <w:shd w:val="clear" w:fill="F3F1EC"/>
            <w:noWrap/>
          </w:tcPr>
          <w:p>
            <w:pPr>
              <w:pStyle w:val="cell"/>
            </w:pPr>
            <w:r>
              <w:rPr>
                <w:sz w:val="15"/>
                <w:szCs w:val="15"/>
              </w:rPr>
              <w:t xml:space="preserve">Powered-on VMs (desktops and RDS hosts) = 3,050 VMs [Calculated]; Design VMs per vCenter = 20,000 VMs [Assumption]; Powered-on VMs per vCenter (maximum) = 20,000 VMs [Official]</w:t>
            </w:r>
          </w:p>
        </w:tc>
        <w:tc>
          <w:tcPr>
            <w:tcW w:w="1600" w:type="dxa"/>
            <w:shd w:val="clear" w:fill="F3F1EC"/>
            <w:noWrap/>
          </w:tcPr>
          <w:p>
            <w:pPr>
              <w:pStyle w:val="cell"/>
            </w:pPr>
            <w:r>
              <w:rPr>
                <w:sz w:val="15"/>
                <w:szCs w:val="15"/>
              </w:rPr>
              <w:t xml:space="preserve">1 vCenter</w:t>
            </w:r>
          </w:p>
        </w:tc>
        <w:tc>
          <w:tcPr>
            <w:tcW w:w="1200" w:type="dxa"/>
            <w:shd w:val="clear" w:fill="F3F1EC"/>
            <w:noWrap/>
          </w:tcPr>
          <w:p>
            <w:pPr>
              <w:pStyle w:val="cell"/>
            </w:pPr>
            <w:r>
              <w:rPr>
                <w:sz w:val="15"/>
                <w:szCs w:val="15"/>
              </w:rPr>
              <w:t xml:space="preserve">Calculated</w:t>
            </w:r>
          </w:p>
        </w:tc>
      </w:tr>
    </w:tbl>
    <w:p>
      <w:pPr>
        <w:rPr>
          <w:sz w:val="8"/>
          <w:szCs w:val="8"/>
        </w:rPr>
      </w:pPr>
    </w:p>
    <w:p>
      <w:pPr>
        <w:pStyle w:val="Heading3"/>
      </w:pPr>
      <w:bookmarkStart w:id="33" w:name="_Toc33"/>
      <w:r>
        <w:t>VDI pool: Engineering office users</w:t>
      </w:r>
      <w:bookmarkEnd w:id="33"/>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Storage per full-clone VM</w:t>
            </w:r>
          </w:p>
        </w:tc>
        <w:tc>
          <w:tcPr>
            <w:tcW w:w="3300" w:type="dxa"/>
            <w:noWrap/>
          </w:tcPr>
          <w:p>
            <w:pPr>
              <w:pStyle w:val="cell"/>
            </w:pPr>
            <w:r>
              <w:rPr>
                <w:sz w:val="15"/>
                <w:szCs w:val="15"/>
              </w:rPr>
              <w:t xml:space="preserve">(virtual disk + swap + suspend + logs) × (1 + margin% / 100)</w:t>
            </w:r>
          </w:p>
        </w:tc>
        <w:tc>
          <w:tcPr>
            <w:tcW w:w="5000" w:type="dxa"/>
            <w:noWrap/>
          </w:tcPr>
          <w:p>
            <w:pPr>
              <w:pStyle w:val="cell"/>
            </w:pPr>
            <w:r>
              <w:rPr>
                <w:sz w:val="15"/>
                <w:szCs w:val="15"/>
              </w:rPr>
              <w:t xml:space="preserve">Virtual disk = 100 GB [Customer]; ESXi swap file (unreserved RAM) = 0 GB [Calculated]; Suspend file = 0 GB [Calculated]; Log files per VM = 0.1 GB [Official]; Free-space margin = 15 % [Official]</w:t>
            </w:r>
          </w:p>
        </w:tc>
        <w:tc>
          <w:tcPr>
            <w:tcW w:w="1600" w:type="dxa"/>
            <w:noWrap/>
          </w:tcPr>
          <w:p>
            <w:pPr>
              <w:pStyle w:val="cell"/>
            </w:pPr>
            <w:r>
              <w:rPr>
                <w:sz w:val="15"/>
                <w:szCs w:val="15"/>
              </w:rPr>
              <w:t xml:space="preserve">115.12 GB</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Full-clone desktop disks</w:t>
            </w:r>
          </w:p>
        </w:tc>
        <w:tc>
          <w:tcPr>
            <w:tcW w:w="3300" w:type="dxa"/>
            <w:shd w:val="clear" w:fill="F3F1EC"/>
            <w:noWrap/>
          </w:tcPr>
          <w:p>
            <w:pPr>
              <w:pStyle w:val="cell"/>
            </w:pPr>
            <w:r>
              <w:rPr>
                <w:sz w:val="15"/>
                <w:szCs w:val="15"/>
              </w:rPr>
              <w:t xml:space="preserve">VMs × storage per VM</w:t>
            </w:r>
          </w:p>
        </w:tc>
        <w:tc>
          <w:tcPr>
            <w:tcW w:w="5000" w:type="dxa"/>
            <w:shd w:val="clear" w:fill="F3F1EC"/>
            <w:noWrap/>
          </w:tcPr>
          <w:p>
            <w:pPr>
              <w:pStyle w:val="cell"/>
            </w:pPr>
            <w:r>
              <w:rPr>
                <w:sz w:val="15"/>
                <w:szCs w:val="15"/>
              </w:rPr>
              <w:t xml:space="preserve">Provisioned desktops = 2,500 VMs [Calculated]; Storage per VM = 115.12 GB [Calculated]</w:t>
            </w:r>
          </w:p>
        </w:tc>
        <w:tc>
          <w:tcPr>
            <w:tcW w:w="1600" w:type="dxa"/>
            <w:shd w:val="clear" w:fill="F3F1EC"/>
            <w:noWrap/>
          </w:tcPr>
          <w:p>
            <w:pPr>
              <w:pStyle w:val="cell"/>
            </w:pPr>
            <w:r>
              <w:rPr>
                <w:sz w:val="15"/>
                <w:szCs w:val="15"/>
              </w:rPr>
              <w:t xml:space="preserve">287,800 GB</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Golden images and templates</w:t>
            </w:r>
          </w:p>
        </w:tc>
        <w:tc>
          <w:tcPr>
            <w:tcW w:w="3300" w:type="dxa"/>
            <w:noWrap/>
          </w:tcPr>
          <w:p>
            <w:pPr>
              <w:pStyle w:val="cell"/>
            </w:pPr>
            <w:r>
              <w:rPr>
                <w:sz w:val="15"/>
                <w:szCs w:val="15"/>
              </w:rPr>
              <w:t xml:space="preserve">images × image size × versions kept</w:t>
            </w:r>
          </w:p>
        </w:tc>
        <w:tc>
          <w:tcPr>
            <w:tcW w:w="5000" w:type="dxa"/>
            <w:noWrap/>
          </w:tcPr>
          <w:p>
            <w:pPr>
              <w:pStyle w:val="cell"/>
            </w:pPr>
            <w:r>
              <w:rPr>
                <w:sz w:val="15"/>
                <w:szCs w:val="15"/>
              </w:rPr>
              <w:t xml:space="preserve">Golden images = 1 images [Customer]; Image size = 100 GB [Customer]; Versions retained = 2 versions [Assumption]</w:t>
            </w:r>
          </w:p>
        </w:tc>
        <w:tc>
          <w:tcPr>
            <w:tcW w:w="1600" w:type="dxa"/>
            <w:noWrap/>
          </w:tcPr>
          <w:p>
            <w:pPr>
              <w:pStyle w:val="cell"/>
            </w:pPr>
            <w:r>
              <w:rPr>
                <w:sz w:val="15"/>
                <w:szCs w:val="15"/>
              </w:rPr>
              <w:t xml:space="preserve">200 GB</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User profiles</w:t>
            </w:r>
          </w:p>
        </w:tc>
        <w:tc>
          <w:tcPr>
            <w:tcW w:w="3300" w:type="dxa"/>
            <w:shd w:val="clear" w:fill="F3F1EC"/>
            <w:noWrap/>
          </w:tcPr>
          <w:p>
            <w:pPr>
              <w:pStyle w:val="cell"/>
            </w:pPr>
            <w:r>
              <w:rPr>
                <w:sz w:val="15"/>
                <w:szCs w:val="15"/>
              </w:rPr>
              <w:t xml:space="preserve">users × profile GB</w:t>
            </w:r>
          </w:p>
        </w:tc>
        <w:tc>
          <w:tcPr>
            <w:tcW w:w="5000" w:type="dxa"/>
            <w:shd w:val="clear" w:fill="F3F1EC"/>
            <w:noWrap/>
          </w:tcPr>
          <w:p>
            <w:pPr>
              <w:pStyle w:val="cell"/>
            </w:pPr>
            <w:r>
              <w:rPr>
                <w:sz w:val="15"/>
                <w:szCs w:val="15"/>
              </w:rPr>
              <w:t xml:space="preserve">Users = 2,500 users [Calculated]; Profile per user = 5 GB [Customer]</w:t>
            </w:r>
          </w:p>
        </w:tc>
        <w:tc>
          <w:tcPr>
            <w:tcW w:w="1600" w:type="dxa"/>
            <w:shd w:val="clear" w:fill="F3F1EC"/>
            <w:noWrap/>
          </w:tcPr>
          <w:p>
            <w:pPr>
              <w:pStyle w:val="cell"/>
            </w:pPr>
            <w:r>
              <w:rPr>
                <w:sz w:val="15"/>
                <w:szCs w:val="15"/>
              </w:rPr>
              <w:t xml:space="preserve">12,500 GB</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User data</w:t>
            </w:r>
          </w:p>
        </w:tc>
        <w:tc>
          <w:tcPr>
            <w:tcW w:w="3300" w:type="dxa"/>
            <w:noWrap/>
          </w:tcPr>
          <w:p>
            <w:pPr>
              <w:pStyle w:val="cell"/>
            </w:pPr>
            <w:r>
              <w:rPr>
                <w:sz w:val="15"/>
                <w:szCs w:val="15"/>
              </w:rPr>
              <w:t xml:space="preserve">users × user data GB</w:t>
            </w:r>
          </w:p>
        </w:tc>
        <w:tc>
          <w:tcPr>
            <w:tcW w:w="5000" w:type="dxa"/>
            <w:noWrap/>
          </w:tcPr>
          <w:p>
            <w:pPr>
              <w:pStyle w:val="cell"/>
            </w:pPr>
            <w:r>
              <w:rPr>
                <w:sz w:val="15"/>
                <w:szCs w:val="15"/>
              </w:rPr>
              <w:t xml:space="preserve">Users = 2,500 users [Calculated]; User data per user = 10 GB [Customer]</w:t>
            </w:r>
          </w:p>
        </w:tc>
        <w:tc>
          <w:tcPr>
            <w:tcW w:w="1600" w:type="dxa"/>
            <w:noWrap/>
          </w:tcPr>
          <w:p>
            <w:pPr>
              <w:pStyle w:val="cell"/>
            </w:pPr>
            <w:r>
              <w:rPr>
                <w:sz w:val="15"/>
                <w:szCs w:val="15"/>
              </w:rPr>
              <w:t xml:space="preserve">25,000 GB</w:t>
            </w:r>
          </w:p>
        </w:tc>
        <w:tc>
          <w:tcPr>
            <w:tcW w:w="1200" w:type="dxa"/>
            <w:noWrap/>
          </w:tcPr>
          <w:p>
            <w:pPr>
              <w:pStyle w:val="cell"/>
            </w:pPr>
            <w:r>
              <w:rPr>
                <w:sz w:val="15"/>
                <w:szCs w:val="15"/>
              </w:rPr>
              <w:t xml:space="preserve">Calculated</w:t>
            </w:r>
          </w:p>
        </w:tc>
      </w:tr>
    </w:tbl>
    <w:p>
      <w:pPr>
        <w:rPr>
          <w:sz w:val="8"/>
          <w:szCs w:val="8"/>
        </w:rPr>
      </w:pPr>
    </w:p>
    <w:p>
      <w:pPr>
        <w:pStyle w:val="Heading3"/>
      </w:pPr>
      <w:bookmarkStart w:id="34" w:name="_Toc34"/>
      <w:r>
        <w:t>VDI pool: CAD workstations (vGPU)</w:t>
      </w:r>
      <w:bookmarkEnd w:id="34"/>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Storage per full-clone VM</w:t>
            </w:r>
          </w:p>
        </w:tc>
        <w:tc>
          <w:tcPr>
            <w:tcW w:w="3300" w:type="dxa"/>
            <w:noWrap/>
          </w:tcPr>
          <w:p>
            <w:pPr>
              <w:pStyle w:val="cell"/>
            </w:pPr>
            <w:r>
              <w:rPr>
                <w:sz w:val="15"/>
                <w:szCs w:val="15"/>
              </w:rPr>
              <w:t xml:space="preserve">(virtual disk + swap + suspend + logs) × (1 + margin% / 100)</w:t>
            </w:r>
          </w:p>
        </w:tc>
        <w:tc>
          <w:tcPr>
            <w:tcW w:w="5000" w:type="dxa"/>
            <w:noWrap/>
          </w:tcPr>
          <w:p>
            <w:pPr>
              <w:pStyle w:val="cell"/>
            </w:pPr>
            <w:r>
              <w:rPr>
                <w:sz w:val="15"/>
                <w:szCs w:val="15"/>
              </w:rPr>
              <w:t xml:space="preserve">Virtual disk = 200 GB [Customer]; ESXi swap file (unreserved RAM) = 0 GB [Calculated]; Suspend file = 0 GB [Calculated]; Log files per VM = 0.1 GB [Official]; Free-space margin = 15 % [Official]</w:t>
            </w:r>
          </w:p>
        </w:tc>
        <w:tc>
          <w:tcPr>
            <w:tcW w:w="1600" w:type="dxa"/>
            <w:noWrap/>
          </w:tcPr>
          <w:p>
            <w:pPr>
              <w:pStyle w:val="cell"/>
            </w:pPr>
            <w:r>
              <w:rPr>
                <w:sz w:val="15"/>
                <w:szCs w:val="15"/>
              </w:rPr>
              <w:t xml:space="preserve">230.12 GB</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Full-clone desktop disks</w:t>
            </w:r>
          </w:p>
        </w:tc>
        <w:tc>
          <w:tcPr>
            <w:tcW w:w="3300" w:type="dxa"/>
            <w:shd w:val="clear" w:fill="F3F1EC"/>
            <w:noWrap/>
          </w:tcPr>
          <w:p>
            <w:pPr>
              <w:pStyle w:val="cell"/>
            </w:pPr>
            <w:r>
              <w:rPr>
                <w:sz w:val="15"/>
                <w:szCs w:val="15"/>
              </w:rPr>
              <w:t xml:space="preserve">VMs × storage per VM</w:t>
            </w:r>
          </w:p>
        </w:tc>
        <w:tc>
          <w:tcPr>
            <w:tcW w:w="5000" w:type="dxa"/>
            <w:shd w:val="clear" w:fill="F3F1EC"/>
            <w:noWrap/>
          </w:tcPr>
          <w:p>
            <w:pPr>
              <w:pStyle w:val="cell"/>
            </w:pPr>
            <w:r>
              <w:rPr>
                <w:sz w:val="15"/>
                <w:szCs w:val="15"/>
              </w:rPr>
              <w:t xml:space="preserve">Provisioned desktops = 150 VMs [Calculated]; Storage per VM = 230.12 GB [Calculated]</w:t>
            </w:r>
          </w:p>
        </w:tc>
        <w:tc>
          <w:tcPr>
            <w:tcW w:w="1600" w:type="dxa"/>
            <w:shd w:val="clear" w:fill="F3F1EC"/>
            <w:noWrap/>
          </w:tcPr>
          <w:p>
            <w:pPr>
              <w:pStyle w:val="cell"/>
            </w:pPr>
            <w:r>
              <w:rPr>
                <w:sz w:val="15"/>
                <w:szCs w:val="15"/>
              </w:rPr>
              <w:t xml:space="preserve">34,518 GB</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Golden images and templates</w:t>
            </w:r>
          </w:p>
        </w:tc>
        <w:tc>
          <w:tcPr>
            <w:tcW w:w="3300" w:type="dxa"/>
            <w:noWrap/>
          </w:tcPr>
          <w:p>
            <w:pPr>
              <w:pStyle w:val="cell"/>
            </w:pPr>
            <w:r>
              <w:rPr>
                <w:sz w:val="15"/>
                <w:szCs w:val="15"/>
              </w:rPr>
              <w:t xml:space="preserve">images × image size × versions kept</w:t>
            </w:r>
          </w:p>
        </w:tc>
        <w:tc>
          <w:tcPr>
            <w:tcW w:w="5000" w:type="dxa"/>
            <w:noWrap/>
          </w:tcPr>
          <w:p>
            <w:pPr>
              <w:pStyle w:val="cell"/>
            </w:pPr>
            <w:r>
              <w:rPr>
                <w:sz w:val="15"/>
                <w:szCs w:val="15"/>
              </w:rPr>
              <w:t xml:space="preserve">Golden images = 1 images [Customer]; Image size = 200 GB [Customer]; Versions retained = 2 versions [Assumption]</w:t>
            </w:r>
          </w:p>
        </w:tc>
        <w:tc>
          <w:tcPr>
            <w:tcW w:w="1600" w:type="dxa"/>
            <w:noWrap/>
          </w:tcPr>
          <w:p>
            <w:pPr>
              <w:pStyle w:val="cell"/>
            </w:pPr>
            <w:r>
              <w:rPr>
                <w:sz w:val="15"/>
                <w:szCs w:val="15"/>
              </w:rPr>
              <w:t xml:space="preserve">400 GB</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User profiles</w:t>
            </w:r>
          </w:p>
        </w:tc>
        <w:tc>
          <w:tcPr>
            <w:tcW w:w="3300" w:type="dxa"/>
            <w:shd w:val="clear" w:fill="F3F1EC"/>
            <w:noWrap/>
          </w:tcPr>
          <w:p>
            <w:pPr>
              <w:pStyle w:val="cell"/>
            </w:pPr>
            <w:r>
              <w:rPr>
                <w:sz w:val="15"/>
                <w:szCs w:val="15"/>
              </w:rPr>
              <w:t xml:space="preserve">users × profile GB</w:t>
            </w:r>
          </w:p>
        </w:tc>
        <w:tc>
          <w:tcPr>
            <w:tcW w:w="5000" w:type="dxa"/>
            <w:shd w:val="clear" w:fill="F3F1EC"/>
            <w:noWrap/>
          </w:tcPr>
          <w:p>
            <w:pPr>
              <w:pStyle w:val="cell"/>
            </w:pPr>
            <w:r>
              <w:rPr>
                <w:sz w:val="15"/>
                <w:szCs w:val="15"/>
              </w:rPr>
              <w:t xml:space="preserve">Users = 150 users [Calculated]; Profile per user = 10 GB [Customer]</w:t>
            </w:r>
          </w:p>
        </w:tc>
        <w:tc>
          <w:tcPr>
            <w:tcW w:w="1600" w:type="dxa"/>
            <w:shd w:val="clear" w:fill="F3F1EC"/>
            <w:noWrap/>
          </w:tcPr>
          <w:p>
            <w:pPr>
              <w:pStyle w:val="cell"/>
            </w:pPr>
            <w:r>
              <w:rPr>
                <w:sz w:val="15"/>
                <w:szCs w:val="15"/>
              </w:rPr>
              <w:t xml:space="preserve">1,500 GB</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User data</w:t>
            </w:r>
          </w:p>
        </w:tc>
        <w:tc>
          <w:tcPr>
            <w:tcW w:w="3300" w:type="dxa"/>
            <w:noWrap/>
          </w:tcPr>
          <w:p>
            <w:pPr>
              <w:pStyle w:val="cell"/>
            </w:pPr>
            <w:r>
              <w:rPr>
                <w:sz w:val="15"/>
                <w:szCs w:val="15"/>
              </w:rPr>
              <w:t xml:space="preserve">users × user data GB</w:t>
            </w:r>
          </w:p>
        </w:tc>
        <w:tc>
          <w:tcPr>
            <w:tcW w:w="5000" w:type="dxa"/>
            <w:noWrap/>
          </w:tcPr>
          <w:p>
            <w:pPr>
              <w:pStyle w:val="cell"/>
            </w:pPr>
            <w:r>
              <w:rPr>
                <w:sz w:val="15"/>
                <w:szCs w:val="15"/>
              </w:rPr>
              <w:t xml:space="preserve">Users = 150 users [Calculated]; User data per user = 20 GB [Customer]</w:t>
            </w:r>
          </w:p>
        </w:tc>
        <w:tc>
          <w:tcPr>
            <w:tcW w:w="1600" w:type="dxa"/>
            <w:noWrap/>
          </w:tcPr>
          <w:p>
            <w:pPr>
              <w:pStyle w:val="cell"/>
            </w:pPr>
            <w:r>
              <w:rPr>
                <w:sz w:val="15"/>
                <w:szCs w:val="15"/>
              </w:rPr>
              <w:t xml:space="preserve">3,000 GB</w:t>
            </w:r>
          </w:p>
        </w:tc>
        <w:tc>
          <w:tcPr>
            <w:tcW w:w="1200" w:type="dxa"/>
            <w:noWrap/>
          </w:tcPr>
          <w:p>
            <w:pPr>
              <w:pStyle w:val="cell"/>
            </w:pPr>
            <w:r>
              <w:rPr>
                <w:sz w:val="15"/>
                <w:szCs w:val="15"/>
              </w:rPr>
              <w:t xml:space="preserve">Calculated</w:t>
            </w:r>
          </w:p>
        </w:tc>
      </w:tr>
    </w:tbl>
    <w:p>
      <w:pPr>
        <w:rPr>
          <w:sz w:val="8"/>
          <w:szCs w:val="8"/>
        </w:rPr>
      </w:pPr>
    </w:p>
    <w:p>
      <w:pPr>
        <w:pStyle w:val="Heading3"/>
      </w:pPr>
      <w:bookmarkStart w:id="35" w:name="_Toc35"/>
      <w:r>
        <w:t>VDI pool: Software developers</w:t>
      </w:r>
      <w:bookmarkEnd w:id="35"/>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Storage per full-clone VM</w:t>
            </w:r>
          </w:p>
        </w:tc>
        <w:tc>
          <w:tcPr>
            <w:tcW w:w="3300" w:type="dxa"/>
            <w:noWrap/>
          </w:tcPr>
          <w:p>
            <w:pPr>
              <w:pStyle w:val="cell"/>
            </w:pPr>
            <w:r>
              <w:rPr>
                <w:sz w:val="15"/>
                <w:szCs w:val="15"/>
              </w:rPr>
              <w:t xml:space="preserve">(virtual disk + swap + suspend + logs) × (1 + margin% / 100)</w:t>
            </w:r>
          </w:p>
        </w:tc>
        <w:tc>
          <w:tcPr>
            <w:tcW w:w="5000" w:type="dxa"/>
            <w:noWrap/>
          </w:tcPr>
          <w:p>
            <w:pPr>
              <w:pStyle w:val="cell"/>
            </w:pPr>
            <w:r>
              <w:rPr>
                <w:sz w:val="15"/>
                <w:szCs w:val="15"/>
              </w:rPr>
              <w:t xml:space="preserve">Virtual disk = 100 GB [Customer]; ESXi swap file (unreserved RAM) = 0 GB [Calculated]; Suspend file = 0 GB [Calculated]; Log files per VM = 0.1 GB [Official]; Free-space margin = 15 % [Official]</w:t>
            </w:r>
          </w:p>
        </w:tc>
        <w:tc>
          <w:tcPr>
            <w:tcW w:w="1600" w:type="dxa"/>
            <w:noWrap/>
          </w:tcPr>
          <w:p>
            <w:pPr>
              <w:pStyle w:val="cell"/>
            </w:pPr>
            <w:r>
              <w:rPr>
                <w:sz w:val="15"/>
                <w:szCs w:val="15"/>
              </w:rPr>
              <w:t xml:space="preserve">115.12 GB</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Full-clone desktop disks</w:t>
            </w:r>
          </w:p>
        </w:tc>
        <w:tc>
          <w:tcPr>
            <w:tcW w:w="3300" w:type="dxa"/>
            <w:shd w:val="clear" w:fill="F3F1EC"/>
            <w:noWrap/>
          </w:tcPr>
          <w:p>
            <w:pPr>
              <w:pStyle w:val="cell"/>
            </w:pPr>
            <w:r>
              <w:rPr>
                <w:sz w:val="15"/>
                <w:szCs w:val="15"/>
              </w:rPr>
              <w:t xml:space="preserve">VMs × storage per VM</w:t>
            </w:r>
          </w:p>
        </w:tc>
        <w:tc>
          <w:tcPr>
            <w:tcW w:w="5000" w:type="dxa"/>
            <w:shd w:val="clear" w:fill="F3F1EC"/>
            <w:noWrap/>
          </w:tcPr>
          <w:p>
            <w:pPr>
              <w:pStyle w:val="cell"/>
            </w:pPr>
            <w:r>
              <w:rPr>
                <w:sz w:val="15"/>
                <w:szCs w:val="15"/>
              </w:rPr>
              <w:t xml:space="preserve">Provisioned desktops = 400 VMs [Calculated]; Storage per VM = 115.12 GB [Calculated]</w:t>
            </w:r>
          </w:p>
        </w:tc>
        <w:tc>
          <w:tcPr>
            <w:tcW w:w="1600" w:type="dxa"/>
            <w:shd w:val="clear" w:fill="F3F1EC"/>
            <w:noWrap/>
          </w:tcPr>
          <w:p>
            <w:pPr>
              <w:pStyle w:val="cell"/>
            </w:pPr>
            <w:r>
              <w:rPr>
                <w:sz w:val="15"/>
                <w:szCs w:val="15"/>
              </w:rPr>
              <w:t xml:space="preserve">46,048 GB</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Golden images and templates</w:t>
            </w:r>
          </w:p>
        </w:tc>
        <w:tc>
          <w:tcPr>
            <w:tcW w:w="3300" w:type="dxa"/>
            <w:noWrap/>
          </w:tcPr>
          <w:p>
            <w:pPr>
              <w:pStyle w:val="cell"/>
            </w:pPr>
            <w:r>
              <w:rPr>
                <w:sz w:val="15"/>
                <w:szCs w:val="15"/>
              </w:rPr>
              <w:t xml:space="preserve">images × image size × versions kept</w:t>
            </w:r>
          </w:p>
        </w:tc>
        <w:tc>
          <w:tcPr>
            <w:tcW w:w="5000" w:type="dxa"/>
            <w:noWrap/>
          </w:tcPr>
          <w:p>
            <w:pPr>
              <w:pStyle w:val="cell"/>
            </w:pPr>
            <w:r>
              <w:rPr>
                <w:sz w:val="15"/>
                <w:szCs w:val="15"/>
              </w:rPr>
              <w:t xml:space="preserve">Golden images = 1 images [Customer]; Image size = 100 GB [Customer]; Versions retained = 2 versions [Assumption]</w:t>
            </w:r>
          </w:p>
        </w:tc>
        <w:tc>
          <w:tcPr>
            <w:tcW w:w="1600" w:type="dxa"/>
            <w:noWrap/>
          </w:tcPr>
          <w:p>
            <w:pPr>
              <w:pStyle w:val="cell"/>
            </w:pPr>
            <w:r>
              <w:rPr>
                <w:sz w:val="15"/>
                <w:szCs w:val="15"/>
              </w:rPr>
              <w:t xml:space="preserve">200 GB</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User profiles</w:t>
            </w:r>
          </w:p>
        </w:tc>
        <w:tc>
          <w:tcPr>
            <w:tcW w:w="3300" w:type="dxa"/>
            <w:shd w:val="clear" w:fill="F3F1EC"/>
            <w:noWrap/>
          </w:tcPr>
          <w:p>
            <w:pPr>
              <w:pStyle w:val="cell"/>
            </w:pPr>
            <w:r>
              <w:rPr>
                <w:sz w:val="15"/>
                <w:szCs w:val="15"/>
              </w:rPr>
              <w:t xml:space="preserve">users × profile GB</w:t>
            </w:r>
          </w:p>
        </w:tc>
        <w:tc>
          <w:tcPr>
            <w:tcW w:w="5000" w:type="dxa"/>
            <w:shd w:val="clear" w:fill="F3F1EC"/>
            <w:noWrap/>
          </w:tcPr>
          <w:p>
            <w:pPr>
              <w:pStyle w:val="cell"/>
            </w:pPr>
            <w:r>
              <w:rPr>
                <w:sz w:val="15"/>
                <w:szCs w:val="15"/>
              </w:rPr>
              <w:t xml:space="preserve">Users = 400 users [Calculated]; Profile per user = 10 GB [Customer]</w:t>
            </w:r>
          </w:p>
        </w:tc>
        <w:tc>
          <w:tcPr>
            <w:tcW w:w="1600" w:type="dxa"/>
            <w:shd w:val="clear" w:fill="F3F1EC"/>
            <w:noWrap/>
          </w:tcPr>
          <w:p>
            <w:pPr>
              <w:pStyle w:val="cell"/>
            </w:pPr>
            <w:r>
              <w:rPr>
                <w:sz w:val="15"/>
                <w:szCs w:val="15"/>
              </w:rPr>
              <w:t xml:space="preserve">4,000 GB</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User data</w:t>
            </w:r>
          </w:p>
        </w:tc>
        <w:tc>
          <w:tcPr>
            <w:tcW w:w="3300" w:type="dxa"/>
            <w:noWrap/>
          </w:tcPr>
          <w:p>
            <w:pPr>
              <w:pStyle w:val="cell"/>
            </w:pPr>
            <w:r>
              <w:rPr>
                <w:sz w:val="15"/>
                <w:szCs w:val="15"/>
              </w:rPr>
              <w:t xml:space="preserve">users × user data GB</w:t>
            </w:r>
          </w:p>
        </w:tc>
        <w:tc>
          <w:tcPr>
            <w:tcW w:w="5000" w:type="dxa"/>
            <w:noWrap/>
          </w:tcPr>
          <w:p>
            <w:pPr>
              <w:pStyle w:val="cell"/>
            </w:pPr>
            <w:r>
              <w:rPr>
                <w:sz w:val="15"/>
                <w:szCs w:val="15"/>
              </w:rPr>
              <w:t xml:space="preserve">Users = 400 users [Calculated]; User data per user = 20 GB [Customer]</w:t>
            </w:r>
          </w:p>
        </w:tc>
        <w:tc>
          <w:tcPr>
            <w:tcW w:w="1600" w:type="dxa"/>
            <w:noWrap/>
          </w:tcPr>
          <w:p>
            <w:pPr>
              <w:pStyle w:val="cell"/>
            </w:pPr>
            <w:r>
              <w:rPr>
                <w:sz w:val="15"/>
                <w:szCs w:val="15"/>
              </w:rPr>
              <w:t xml:space="preserve">8,000 GB</w:t>
            </w:r>
          </w:p>
        </w:tc>
        <w:tc>
          <w:tcPr>
            <w:tcW w:w="1200" w:type="dxa"/>
            <w:noWrap/>
          </w:tcPr>
          <w:p>
            <w:pPr>
              <w:pStyle w:val="cell"/>
            </w:pPr>
            <w:r>
              <w:rPr>
                <w:sz w:val="15"/>
                <w:szCs w:val="15"/>
              </w:rPr>
              <w:t xml:space="preserve">Calculated</w:t>
            </w:r>
          </w:p>
        </w:tc>
      </w:tr>
    </w:tbl>
    <w:p>
      <w:pPr>
        <w:rPr>
          <w:sz w:val="8"/>
          <w:szCs w:val="8"/>
        </w:rPr>
      </w:pPr>
    </w:p>
    <w:p>
      <w:pPr>
        <w:pStyle w:val="Heading3"/>
      </w:pPr>
      <w:bookmarkStart w:id="36" w:name="_Toc36"/>
      <w:r>
        <w:t>Infrastructure</w:t>
      </w:r>
      <w:bookmarkEnd w:id="36"/>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Infrastructure VM disks</w:t>
            </w:r>
          </w:p>
        </w:tc>
        <w:tc>
          <w:tcPr>
            <w:tcW w:w="3300" w:type="dxa"/>
            <w:noWrap/>
          </w:tcPr>
          <w:p>
            <w:pPr>
              <w:pStyle w:val="cell"/>
            </w:pPr>
            <w:r>
              <w:rPr>
                <w:sz w:val="15"/>
                <w:szCs w:val="15"/>
              </w:rPr>
              <w:t xml:space="preserve">Σ count × disk per role</w:t>
            </w:r>
          </w:p>
        </w:tc>
        <w:tc>
          <w:tcPr>
            <w:tcW w:w="5000" w:type="dxa"/>
            <w:noWrap/>
          </w:tcPr>
          <w:p>
            <w:pPr>
              <w:pStyle w:val="cell"/>
            </w:pPr>
            <w:r>
              <w:rPr>
                <w:sz w:val="15"/>
                <w:szCs w:val="15"/>
              </w:rPr>
              <w:t xml:space="preserve">Horizon Connection Server × 4 = 280 GB [Official]; Unified Access Gateway × 2 = 40 GB [Official]; vCenter Server appliance × 1 = 700 GB [Validate]; Database server (events) × 1 = 200 GB [Assumption]; Enrollment Server (True SSO) × 2 = 140 GB [Assumption]; Horizon Recording Server × 1 = 100 GB [Assumption]</w:t>
            </w:r>
          </w:p>
        </w:tc>
        <w:tc>
          <w:tcPr>
            <w:tcW w:w="1600" w:type="dxa"/>
            <w:noWrap/>
          </w:tcPr>
          <w:p>
            <w:pPr>
              <w:pStyle w:val="cell"/>
            </w:pPr>
            <w:r>
              <w:rPr>
                <w:sz w:val="15"/>
                <w:szCs w:val="15"/>
              </w:rPr>
              <w:t xml:space="preserve">1,460 GB</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Logs and monitoring</w:t>
            </w:r>
          </w:p>
        </w:tc>
        <w:tc>
          <w:tcPr>
            <w:tcW w:w="3300" w:type="dxa"/>
            <w:shd w:val="clear" w:fill="F3F1EC"/>
            <w:noWrap/>
          </w:tcPr>
          <w:p>
            <w:pPr>
              <w:pStyle w:val="cell"/>
            </w:pPr>
            <w:r>
              <w:rPr>
                <w:sz w:val="15"/>
                <w:szCs w:val="15"/>
              </w:rPr>
              <w:t xml:space="preserve">assumption</w:t>
            </w:r>
          </w:p>
        </w:tc>
        <w:tc>
          <w:tcPr>
            <w:tcW w:w="5000" w:type="dxa"/>
            <w:shd w:val="clear" w:fill="F3F1EC"/>
            <w:noWrap/>
          </w:tcPr>
          <w:p>
            <w:pPr>
              <w:pStyle w:val="cell"/>
            </w:pPr>
            <w:r>
              <w:rPr>
                <w:sz w:val="15"/>
                <w:szCs w:val="15"/>
              </w:rPr>
              <w:t xml:space="preserve">Logs and monitoring = 500 GB [Assumption]</w:t>
            </w:r>
          </w:p>
        </w:tc>
        <w:tc>
          <w:tcPr>
            <w:tcW w:w="1600" w:type="dxa"/>
            <w:shd w:val="clear" w:fill="F3F1EC"/>
            <w:noWrap/>
          </w:tcPr>
          <w:p>
            <w:pPr>
              <w:pStyle w:val="cell"/>
            </w:pPr>
            <w:r>
              <w:rPr>
                <w:sz w:val="15"/>
                <w:szCs w:val="15"/>
              </w:rPr>
              <w:t xml:space="preserve">500 GB</w:t>
            </w:r>
          </w:p>
        </w:tc>
        <w:tc>
          <w:tcPr>
            <w:tcW w:w="1200" w:type="dxa"/>
            <w:shd w:val="clear" w:fill="F3F1EC"/>
            <w:noWrap/>
          </w:tcPr>
          <w:p>
            <w:pPr>
              <w:pStyle w:val="cell"/>
            </w:pPr>
            <w:r>
              <w:rPr>
                <w:sz w:val="15"/>
                <w:szCs w:val="15"/>
              </w:rPr>
              <w:t xml:space="preserve">Assumption</w:t>
            </w:r>
          </w:p>
        </w:tc>
      </w:tr>
    </w:tbl>
    <w:p>
      <w:pPr>
        <w:rPr>
          <w:sz w:val="8"/>
          <w:szCs w:val="8"/>
        </w:rPr>
      </w:pPr>
    </w:p>
    <w:p>
      <w:pPr>
        <w:pStyle w:val="Heading3"/>
      </w:pPr>
      <w:bookmarkStart w:id="37" w:name="_Toc37"/>
      <w:r>
        <w:t>Backup</w:t>
      </w:r>
      <w:bookmarkEnd w:id="37"/>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Backup capacity</w:t>
            </w:r>
          </w:p>
        </w:tc>
        <w:tc>
          <w:tcPr>
            <w:tcW w:w="3300" w:type="dxa"/>
            <w:noWrap/>
          </w:tcPr>
          <w:p>
            <w:pPr>
              <w:pStyle w:val="cell"/>
            </w:pPr>
            <w:r>
              <w:rPr>
                <w:sz w:val="15"/>
                <w:szCs w:val="15"/>
              </w:rPr>
              <w:t xml:space="preserve">protected × (1 + retention days × daily change% / 100) / reduction</w:t>
            </w:r>
          </w:p>
        </w:tc>
        <w:tc>
          <w:tcPr>
            <w:tcW w:w="5000" w:type="dxa"/>
            <w:noWrap/>
          </w:tcPr>
          <w:p>
            <w:pPr>
              <w:pStyle w:val="cell"/>
            </w:pPr>
            <w:r>
              <w:rPr>
                <w:sz w:val="15"/>
                <w:szCs w:val="15"/>
              </w:rPr>
              <w:t xml:space="preserve">Protected data (persistent desktops, profiles, user data, infrastructure) = 424,326 GB [Calculated]; Retention = 30 days [Assumption]; Daily change rate = 5 % [Assumption]; Backup data reduction = 1 :1 [Validate]</w:t>
            </w:r>
          </w:p>
        </w:tc>
        <w:tc>
          <w:tcPr>
            <w:tcW w:w="1600" w:type="dxa"/>
            <w:noWrap/>
          </w:tcPr>
          <w:p>
            <w:pPr>
              <w:pStyle w:val="cell"/>
            </w:pPr>
            <w:r>
              <w:rPr>
                <w:sz w:val="15"/>
                <w:szCs w:val="15"/>
              </w:rPr>
              <w:t xml:space="preserve">1,060,815 GB</w:t>
            </w:r>
          </w:p>
        </w:tc>
        <w:tc>
          <w:tcPr>
            <w:tcW w:w="1200" w:type="dxa"/>
            <w:noWrap/>
          </w:tcPr>
          <w:p>
            <w:pPr>
              <w:pStyle w:val="cell"/>
            </w:pPr>
            <w:r>
              <w:rPr>
                <w:sz w:val="15"/>
                <w:szCs w:val="15"/>
              </w:rPr>
              <w:t xml:space="preserve">Calculated</w:t>
            </w:r>
          </w:p>
        </w:tc>
      </w:tr>
    </w:tbl>
    <w:p>
      <w:pPr>
        <w:rPr>
          <w:sz w:val="8"/>
          <w:szCs w:val="8"/>
        </w:rPr>
      </w:pPr>
    </w:p>
    <w:p>
      <w:pPr>
        <w:pStyle w:val="Heading3"/>
      </w:pPr>
      <w:bookmarkStart w:id="38" w:name="_Toc38"/>
      <w:r>
        <w:t>Growth</w:t>
      </w:r>
      <w:bookmarkEnd w:id="38"/>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Growth allowance (not included; see growth scenario)</w:t>
            </w:r>
          </w:p>
        </w:tc>
        <w:tc>
          <w:tcPr>
            <w:tcW w:w="3300" w:type="dxa"/>
            <w:noWrap/>
          </w:tcPr>
          <w:p>
            <w:pPr>
              <w:pStyle w:val="cell"/>
            </w:pPr>
            <w:r>
              <w:rPr>
                <w:sz w:val="15"/>
                <w:szCs w:val="15"/>
              </w:rPr>
              <w:t xml:space="preserve">user-proportional capacity × ((1 + growth%)^years − 1)</w:t>
            </w:r>
          </w:p>
        </w:tc>
        <w:tc>
          <w:tcPr>
            <w:tcW w:w="5000" w:type="dxa"/>
            <w:noWrap/>
          </w:tcPr>
          <w:p>
            <w:pPr>
              <w:pStyle w:val="cell"/>
            </w:pPr>
            <w:r>
              <w:rPr>
                <w:sz w:val="15"/>
                <w:szCs w:val="15"/>
              </w:rPr>
              <w:t xml:space="preserve">User-proportional capacity = 1,483,981 GB [Calculated]; Annual growth = 8 % [Customer]; Years = 5 years [Customer]</w:t>
            </w:r>
          </w:p>
        </w:tc>
        <w:tc>
          <w:tcPr>
            <w:tcW w:w="1600" w:type="dxa"/>
            <w:noWrap/>
          </w:tcPr>
          <w:p>
            <w:pPr>
              <w:pStyle w:val="cell"/>
            </w:pPr>
            <w:r>
              <w:rPr>
                <w:sz w:val="15"/>
                <w:szCs w:val="15"/>
              </w:rPr>
              <w:t xml:space="preserve">696,473.95 GB</w:t>
            </w:r>
          </w:p>
        </w:tc>
        <w:tc>
          <w:tcPr>
            <w:tcW w:w="1200" w:type="dxa"/>
            <w:noWrap/>
          </w:tcPr>
          <w:p>
            <w:pPr>
              <w:pStyle w:val="cell"/>
            </w:pPr>
            <w:r>
              <w:rPr>
                <w:sz w:val="15"/>
                <w:szCs w:val="15"/>
              </w:rPr>
              <w:t xml:space="preserve">Calculated</w:t>
            </w:r>
          </w:p>
        </w:tc>
      </w:tr>
    </w:tbl>
    <w:p>
      <w:pPr>
        <w:rPr>
          <w:sz w:val="8"/>
          <w:szCs w:val="8"/>
        </w:rPr>
      </w:pPr>
    </w:p>
    <w:p>
      <w:pPr>
        <w:pStyle w:val="Heading3"/>
      </w:pPr>
      <w:bookmarkStart w:id="39" w:name="_Toc39"/>
      <w:r>
        <w:t>Storage platform</w:t>
      </w:r>
      <w:bookmarkEnd w:id="39"/>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Array raw-to-usable factor</w:t>
            </w:r>
          </w:p>
        </w:tc>
        <w:tc>
          <w:tcPr>
            <w:tcW w:w="3300" w:type="dxa"/>
            <w:noWrap/>
          </w:tcPr>
          <w:p>
            <w:pPr>
              <w:pStyle w:val="cell"/>
            </w:pPr>
            <w:r>
              <w:rPr>
                <w:sz w:val="15"/>
                <w:szCs w:val="15"/>
              </w:rPr>
              <w:t xml:space="preserve">RAID factor / (max consumption% / 100) / data reduction</w:t>
            </w:r>
          </w:p>
        </w:tc>
        <w:tc>
          <w:tcPr>
            <w:tcW w:w="5000" w:type="dxa"/>
            <w:noWrap/>
          </w:tcPr>
          <w:p>
            <w:pPr>
              <w:pStyle w:val="cell"/>
            </w:pPr>
            <w:r>
              <w:rPr>
                <w:sz w:val="15"/>
                <w:szCs w:val="15"/>
              </w:rPr>
              <w:t xml:space="preserve">RAID / protection overhead = 1.25 x [Validate]; Maximum planned consumption = 80 % [Assumption]; Data reduction credit = 1 :1 [Validate]</w:t>
            </w:r>
          </w:p>
        </w:tc>
        <w:tc>
          <w:tcPr>
            <w:tcW w:w="1600" w:type="dxa"/>
            <w:noWrap/>
          </w:tcPr>
          <w:p>
            <w:pPr>
              <w:pStyle w:val="cell"/>
            </w:pPr>
            <w:r>
              <w:rPr>
                <w:sz w:val="15"/>
                <w:szCs w:val="15"/>
              </w:rPr>
              <w:t xml:space="preserve">1.56 x raw per usable</w:t>
            </w:r>
          </w:p>
        </w:tc>
        <w:tc>
          <w:tcPr>
            <w:tcW w:w="1200" w:type="dxa"/>
            <w:noWrap/>
          </w:tcPr>
          <w:p>
            <w:pPr>
              <w:pStyle w:val="cell"/>
            </w:pPr>
            <w:r>
              <w:rPr>
                <w:sz w:val="15"/>
                <w:szCs w:val="15"/>
              </w:rPr>
              <w:t xml:space="preserve">Calculated</w:t>
            </w:r>
          </w:p>
        </w:tc>
      </w:tr>
    </w:tbl>
    <w:p>
      <w:pPr>
        <w:rPr>
          <w:sz w:val="8"/>
          <w:szCs w:val="8"/>
        </w:rPr>
      </w:pPr>
    </w:p>
    <w:p>
      <w:pPr>
        <w:pStyle w:val="Heading3"/>
      </w:pPr>
      <w:bookmarkStart w:id="40" w:name="_Toc40"/>
      <w:r>
        <w:t>Desktop cluster</w:t>
      </w:r>
      <w:bookmarkEnd w:id="40"/>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Usable cores per host</w:t>
            </w:r>
          </w:p>
        </w:tc>
        <w:tc>
          <w:tcPr>
            <w:tcW w:w="3300" w:type="dxa"/>
            <w:noWrap/>
          </w:tcPr>
          <w:p>
            <w:pPr>
              <w:pStyle w:val="cell"/>
            </w:pPr>
            <w:r>
              <w:rPr>
                <w:sz w:val="15"/>
                <w:szCs w:val="15"/>
              </w:rPr>
              <w:t xml:space="preserve">sockets × cores per socket − reserved cores</w:t>
            </w:r>
          </w:p>
        </w:tc>
        <w:tc>
          <w:tcPr>
            <w:tcW w:w="5000" w:type="dxa"/>
            <w:noWrap/>
          </w:tcPr>
          <w:p>
            <w:pPr>
              <w:pStyle w:val="cell"/>
            </w:pPr>
            <w:r>
              <w:rPr>
                <w:sz w:val="15"/>
                <w:szCs w:val="15"/>
              </w:rPr>
              <w:t xml:space="preserve">Sockets = 2 sockets [Customer]; Cores per socket = 32 cores [Customer]; Hypervisor reserved cores = 0 cores [Validate]</w:t>
            </w:r>
          </w:p>
        </w:tc>
        <w:tc>
          <w:tcPr>
            <w:tcW w:w="1600" w:type="dxa"/>
            <w:noWrap/>
          </w:tcPr>
          <w:p>
            <w:pPr>
              <w:pStyle w:val="cell"/>
            </w:pPr>
            <w:r>
              <w:rPr>
                <w:sz w:val="15"/>
                <w:szCs w:val="15"/>
              </w:rPr>
              <w:t xml:space="preserve">64 cores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Usable RAM per host</w:t>
            </w:r>
          </w:p>
        </w:tc>
        <w:tc>
          <w:tcPr>
            <w:tcW w:w="3300" w:type="dxa"/>
            <w:shd w:val="clear" w:fill="F3F1EC"/>
            <w:noWrap/>
          </w:tcPr>
          <w:p>
            <w:pPr>
              <w:pStyle w:val="cell"/>
            </w:pPr>
            <w:r>
              <w:rPr>
                <w:sz w:val="15"/>
                <w:szCs w:val="15"/>
              </w:rPr>
              <w:t xml:space="preserve">(installed RAM − reservations − View Storage Accelerator) × max allocation% / 100</w:t>
            </w:r>
          </w:p>
        </w:tc>
        <w:tc>
          <w:tcPr>
            <w:tcW w:w="5000" w:type="dxa"/>
            <w:shd w:val="clear" w:fill="F3F1EC"/>
            <w:noWrap/>
          </w:tcPr>
          <w:p>
            <w:pPr>
              <w:pStyle w:val="cell"/>
            </w:pPr>
            <w:r>
              <w:rPr>
                <w:sz w:val="15"/>
                <w:szCs w:val="15"/>
              </w:rPr>
              <w:t xml:space="preserve">Installed RAM = 1,024 GB [Customer]; Hypervisor reserved RAM = 4 GB [Validate]; View Storage Accelerator cache = 32 GB/host [Official]; Maximum memory allocation = 95 % [Assumption]</w:t>
            </w:r>
          </w:p>
        </w:tc>
        <w:tc>
          <w:tcPr>
            <w:tcW w:w="1600" w:type="dxa"/>
            <w:shd w:val="clear" w:fill="F3F1EC"/>
            <w:noWrap/>
          </w:tcPr>
          <w:p>
            <w:pPr>
              <w:pStyle w:val="cell"/>
            </w:pPr>
            <w:r>
              <w:rPr>
                <w:sz w:val="15"/>
                <w:szCs w:val="15"/>
              </w:rPr>
              <w:t xml:space="preserve">938.6 GB</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Hosts for CPU</w:t>
            </w:r>
          </w:p>
        </w:tc>
        <w:tc>
          <w:tcPr>
            <w:tcW w:w="3300" w:type="dxa"/>
            <w:noWrap/>
          </w:tcPr>
          <w:p>
            <w:pPr>
              <w:pStyle w:val="cell"/>
            </w:pPr>
            <w:r>
              <w:rPr>
                <w:sz w:val="15"/>
                <w:szCs w:val="15"/>
              </w:rPr>
              <w:t xml:space="preserve">ceil(required cores / usable cores per host)</w:t>
            </w:r>
          </w:p>
        </w:tc>
        <w:tc>
          <w:tcPr>
            <w:tcW w:w="5000" w:type="dxa"/>
            <w:noWrap/>
          </w:tcPr>
          <w:p>
            <w:pPr>
              <w:pStyle w:val="cell"/>
            </w:pPr>
            <w:r>
              <w:rPr>
                <w:sz w:val="15"/>
                <w:szCs w:val="15"/>
              </w:rPr>
              <w:t xml:space="preserve">Required physical cores = 1,233.33 cores [Calculated]; Usable cores per host = 64 cores [Calculated]</w:t>
            </w:r>
          </w:p>
        </w:tc>
        <w:tc>
          <w:tcPr>
            <w:tcW w:w="1600" w:type="dxa"/>
            <w:noWrap/>
          </w:tcPr>
          <w:p>
            <w:pPr>
              <w:pStyle w:val="cell"/>
            </w:pPr>
            <w:r>
              <w:rPr>
                <w:sz w:val="15"/>
                <w:szCs w:val="15"/>
              </w:rPr>
              <w:t xml:space="preserve">20 hosts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Hosts for memory</w:t>
            </w:r>
          </w:p>
        </w:tc>
        <w:tc>
          <w:tcPr>
            <w:tcW w:w="3300" w:type="dxa"/>
            <w:shd w:val="clear" w:fill="F3F1EC"/>
            <w:noWrap/>
          </w:tcPr>
          <w:p>
            <w:pPr>
              <w:pStyle w:val="cell"/>
            </w:pPr>
            <w:r>
              <w:rPr>
                <w:sz w:val="15"/>
                <w:szCs w:val="15"/>
              </w:rPr>
              <w:t xml:space="preserve">ceil(memory demand / usable RAM per host)</w:t>
            </w:r>
          </w:p>
        </w:tc>
        <w:tc>
          <w:tcPr>
            <w:tcW w:w="5000" w:type="dxa"/>
            <w:shd w:val="clear" w:fill="F3F1EC"/>
            <w:noWrap/>
          </w:tcPr>
          <w:p>
            <w:pPr>
              <w:pStyle w:val="cell"/>
            </w:pPr>
            <w:r>
              <w:rPr>
                <w:sz w:val="15"/>
                <w:szCs w:val="15"/>
              </w:rPr>
              <w:t xml:space="preserve">Memory demand = 18,838 GB [Calculated]; Usable RAM per host = 938.6 GB [Calculated]</w:t>
            </w:r>
          </w:p>
        </w:tc>
        <w:tc>
          <w:tcPr>
            <w:tcW w:w="1600" w:type="dxa"/>
            <w:shd w:val="clear" w:fill="F3F1EC"/>
            <w:noWrap/>
          </w:tcPr>
          <w:p>
            <w:pPr>
              <w:pStyle w:val="cell"/>
            </w:pPr>
            <w:r>
              <w:rPr>
                <w:sz w:val="15"/>
                <w:szCs w:val="15"/>
              </w:rPr>
              <w:t xml:space="preserve">21 hosts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Hosts for VM density limit</w:t>
            </w:r>
          </w:p>
        </w:tc>
        <w:tc>
          <w:tcPr>
            <w:tcW w:w="3300" w:type="dxa"/>
            <w:noWrap/>
          </w:tcPr>
          <w:p>
            <w:pPr>
              <w:pStyle w:val="cell"/>
            </w:pPr>
            <w:r>
              <w:rPr>
                <w:sz w:val="15"/>
                <w:szCs w:val="15"/>
              </w:rPr>
              <w:t xml:space="preserve">ceil(VMs / maximum VMs per host)</w:t>
            </w:r>
          </w:p>
        </w:tc>
        <w:tc>
          <w:tcPr>
            <w:tcW w:w="5000" w:type="dxa"/>
            <w:noWrap/>
          </w:tcPr>
          <w:p>
            <w:pPr>
              <w:pStyle w:val="cell"/>
            </w:pPr>
            <w:r>
              <w:rPr>
                <w:sz w:val="15"/>
                <w:szCs w:val="15"/>
              </w:rPr>
              <w:t xml:space="preserve">VMs = 2,900 VMs [Calculated]; Maximum VMs per host = 500 VMs [Official]</w:t>
            </w:r>
          </w:p>
        </w:tc>
        <w:tc>
          <w:tcPr>
            <w:tcW w:w="1600" w:type="dxa"/>
            <w:noWrap/>
          </w:tcPr>
          <w:p>
            <w:pPr>
              <w:pStyle w:val="cell"/>
            </w:pPr>
            <w:r>
              <w:rPr>
                <w:sz w:val="15"/>
                <w:szCs w:val="15"/>
              </w:rPr>
              <w:t xml:space="preserve">6 hosts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Hosts before failure tolerance</w:t>
            </w:r>
          </w:p>
        </w:tc>
        <w:tc>
          <w:tcPr>
            <w:tcW w:w="3300" w:type="dxa"/>
            <w:shd w:val="clear" w:fill="F3F1EC"/>
            <w:noWrap/>
          </w:tcPr>
          <w:p>
            <w:pPr>
              <w:pStyle w:val="cell"/>
            </w:pPr>
            <w:r>
              <w:rPr>
                <w:sz w:val="15"/>
                <w:szCs w:val="15"/>
              </w:rPr>
              <w:t xml:space="preserve">max(CPU, memory, storage, GPU, VM density)</w:t>
            </w:r>
          </w:p>
        </w:tc>
        <w:tc>
          <w:tcPr>
            <w:tcW w:w="5000" w:type="dxa"/>
            <w:shd w:val="clear" w:fill="F3F1EC"/>
            <w:noWrap/>
          </w:tcPr>
          <w:p>
            <w:pPr>
              <w:pStyle w:val="cell"/>
            </w:pPr>
            <w:r>
              <w:rPr>
                <w:sz w:val="15"/>
                <w:szCs w:val="15"/>
              </w:rPr>
              <w:t xml:space="preserve">CPU = 20 hosts [Calculated]; Memory = 21 hosts [Calculated]; Storage (HCI) = 0 hosts [Calculated]; GPU = 0 hosts [Calculated]; VM density = 6 hosts [Calculated]</w:t>
            </w:r>
          </w:p>
        </w:tc>
        <w:tc>
          <w:tcPr>
            <w:tcW w:w="1600" w:type="dxa"/>
            <w:shd w:val="clear" w:fill="F3F1EC"/>
            <w:noWrap/>
          </w:tcPr>
          <w:p>
            <w:pPr>
              <w:pStyle w:val="cell"/>
            </w:pPr>
            <w:r>
              <w:rPr>
                <w:sz w:val="15"/>
                <w:szCs w:val="15"/>
              </w:rPr>
              <w:t xml:space="preserve">21 hosts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Clusters</w:t>
            </w:r>
          </w:p>
        </w:tc>
        <w:tc>
          <w:tcPr>
            <w:tcW w:w="3300" w:type="dxa"/>
            <w:noWrap/>
          </w:tcPr>
          <w:p>
            <w:pPr>
              <w:pStyle w:val="cell"/>
            </w:pPr>
            <w:r>
              <w:rPr>
                <w:sz w:val="15"/>
                <w:szCs w:val="15"/>
              </w:rPr>
              <w:t xml:space="preserve">ceil(hosts / (design maximum hosts per cluster − FTT))</w:t>
            </w:r>
          </w:p>
        </w:tc>
        <w:tc>
          <w:tcPr>
            <w:tcW w:w="5000" w:type="dxa"/>
            <w:noWrap/>
          </w:tcPr>
          <w:p>
            <w:pPr>
              <w:pStyle w:val="cell"/>
            </w:pPr>
            <w:r>
              <w:rPr>
                <w:sz w:val="15"/>
                <w:szCs w:val="15"/>
              </w:rPr>
              <w:t xml:space="preserve">Hosts before failure tolerance = 21 hosts [Calculated]; Design maximum hosts per cluster = 32 hosts [Assumption]; Hosts per cluster (maximum) = 64 hosts [Official]; Host failures to tolerate (FTT) = 1 hosts [Customer]</w:t>
            </w:r>
          </w:p>
        </w:tc>
        <w:tc>
          <w:tcPr>
            <w:tcW w:w="1600" w:type="dxa"/>
            <w:noWrap/>
          </w:tcPr>
          <w:p>
            <w:pPr>
              <w:pStyle w:val="cell"/>
            </w:pPr>
            <w:r>
              <w:rPr>
                <w:sz w:val="15"/>
                <w:szCs w:val="15"/>
              </w:rPr>
              <w:t xml:space="preserve">1 clusters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Hosts (N+1 per cluster, platform minimum applied)</w:t>
            </w:r>
          </w:p>
        </w:tc>
        <w:tc>
          <w:tcPr>
            <w:tcW w:w="3300" w:type="dxa"/>
            <w:shd w:val="clear" w:fill="F3F1EC"/>
            <w:noWrap/>
          </w:tcPr>
          <w:p>
            <w:pPr>
              <w:pStyle w:val="cell"/>
            </w:pPr>
            <w:r>
              <w:rPr>
                <w:sz w:val="15"/>
                <w:szCs w:val="15"/>
              </w:rPr>
              <w:t xml:space="preserve">clusters × ceil(max(base + clusters × FTT, clusters × platform minimum) / clusters)</w:t>
            </w:r>
          </w:p>
        </w:tc>
        <w:tc>
          <w:tcPr>
            <w:tcW w:w="5000" w:type="dxa"/>
            <w:shd w:val="clear" w:fill="F3F1EC"/>
            <w:noWrap/>
          </w:tcPr>
          <w:p>
            <w:pPr>
              <w:pStyle w:val="cell"/>
            </w:pPr>
            <w:r>
              <w:rPr>
                <w:sz w:val="15"/>
                <w:szCs w:val="15"/>
              </w:rPr>
              <w:t xml:space="preserve">Hosts before failure tolerance = 21 hosts [Calculated]; Clusters = 1 clusters [Calculated]; FTT per cluster = 1 hosts [Customer]; Platform minimum hosts per cluster = 2 hosts [Assumption]</w:t>
            </w:r>
          </w:p>
        </w:tc>
        <w:tc>
          <w:tcPr>
            <w:tcW w:w="1600" w:type="dxa"/>
            <w:shd w:val="clear" w:fill="F3F1EC"/>
            <w:noWrap/>
          </w:tcPr>
          <w:p>
            <w:pPr>
              <w:pStyle w:val="cell"/>
            </w:pPr>
            <w:r>
              <w:rPr>
                <w:sz w:val="15"/>
                <w:szCs w:val="15"/>
              </w:rPr>
              <w:t xml:space="preserve">22 hosts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CPU capacity used (all hosts up)</w:t>
            </w:r>
          </w:p>
        </w:tc>
        <w:tc>
          <w:tcPr>
            <w:tcW w:w="3300" w:type="dxa"/>
            <w:noWrap/>
          </w:tcPr>
          <w:p>
            <w:pPr>
              <w:pStyle w:val="cell"/>
            </w:pPr>
            <w:r>
              <w:rPr>
                <w:sz w:val="15"/>
                <w:szCs w:val="15"/>
              </w:rPr>
              <w:t xml:space="preserve">required cores / (hosts × usable cores) × 100</w:t>
            </w:r>
          </w:p>
        </w:tc>
        <w:tc>
          <w:tcPr>
            <w:tcW w:w="5000" w:type="dxa"/>
            <w:noWrap/>
          </w:tcPr>
          <w:p>
            <w:pPr>
              <w:pStyle w:val="cell"/>
            </w:pPr>
            <w:r>
              <w:rPr>
                <w:sz w:val="15"/>
                <w:szCs w:val="15"/>
              </w:rPr>
              <w:t xml:space="preserve">Required physical cores = 1,233.33 cores [Calculated]; Hosts = 22 hosts [Calculated]; Usable cores per host = 64 cores [Calculated]</w:t>
            </w:r>
          </w:p>
        </w:tc>
        <w:tc>
          <w:tcPr>
            <w:tcW w:w="1600" w:type="dxa"/>
            <w:noWrap/>
          </w:tcPr>
          <w:p>
            <w:pPr>
              <w:pStyle w:val="cell"/>
            </w:pPr>
            <w:r>
              <w:rPr>
                <w:sz w:val="15"/>
                <w:szCs w:val="15"/>
              </w:rPr>
              <w:t xml:space="preserve">87.6 %</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CPU capacity used with FTT hosts failed</w:t>
            </w:r>
          </w:p>
        </w:tc>
        <w:tc>
          <w:tcPr>
            <w:tcW w:w="3300" w:type="dxa"/>
            <w:shd w:val="clear" w:fill="F3F1EC"/>
            <w:noWrap/>
          </w:tcPr>
          <w:p>
            <w:pPr>
              <w:pStyle w:val="cell"/>
            </w:pPr>
            <w:r>
              <w:rPr>
                <w:sz w:val="15"/>
                <w:szCs w:val="15"/>
              </w:rPr>
              <w:t xml:space="preserve">required cores / ((hosts − clusters × FTT) × usable cores) × 100</w:t>
            </w:r>
          </w:p>
        </w:tc>
        <w:tc>
          <w:tcPr>
            <w:tcW w:w="5000" w:type="dxa"/>
            <w:shd w:val="clear" w:fill="F3F1EC"/>
            <w:noWrap/>
          </w:tcPr>
          <w:p>
            <w:pPr>
              <w:pStyle w:val="cell"/>
            </w:pPr>
            <w:r>
              <w:rPr>
                <w:sz w:val="15"/>
                <w:szCs w:val="15"/>
              </w:rPr>
              <w:t xml:space="preserve">Required physical cores = 1,233.33 cores [Calculated]; Surviving hosts = 21 hosts [Calculated]; Usable cores per host = 64 cores [Calculated]</w:t>
            </w:r>
          </w:p>
        </w:tc>
        <w:tc>
          <w:tcPr>
            <w:tcW w:w="1600" w:type="dxa"/>
            <w:shd w:val="clear" w:fill="F3F1EC"/>
            <w:noWrap/>
          </w:tcPr>
          <w:p>
            <w:pPr>
              <w:pStyle w:val="cell"/>
            </w:pPr>
            <w:r>
              <w:rPr>
                <w:sz w:val="15"/>
                <w:szCs w:val="15"/>
              </w:rPr>
              <w:t xml:space="preserve">91.8 %</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Memory used (all hosts up)</w:t>
            </w:r>
          </w:p>
        </w:tc>
        <w:tc>
          <w:tcPr>
            <w:tcW w:w="3300" w:type="dxa"/>
            <w:noWrap/>
          </w:tcPr>
          <w:p>
            <w:pPr>
              <w:pStyle w:val="cell"/>
            </w:pPr>
            <w:r>
              <w:rPr>
                <w:sz w:val="15"/>
                <w:szCs w:val="15"/>
              </w:rPr>
              <w:t xml:space="preserve">memory demand / (hosts × usable RAM) × 100</w:t>
            </w:r>
          </w:p>
        </w:tc>
        <w:tc>
          <w:tcPr>
            <w:tcW w:w="5000" w:type="dxa"/>
            <w:noWrap/>
          </w:tcPr>
          <w:p>
            <w:pPr>
              <w:pStyle w:val="cell"/>
            </w:pPr>
            <w:r>
              <w:rPr>
                <w:sz w:val="15"/>
                <w:szCs w:val="15"/>
              </w:rPr>
              <w:t xml:space="preserve">Memory demand = 18,838 GB [Calculated]; Hosts = 22 hosts [Calculated]; Usable RAM per host = 938.6 GB [Calculated]</w:t>
            </w:r>
          </w:p>
        </w:tc>
        <w:tc>
          <w:tcPr>
            <w:tcW w:w="1600" w:type="dxa"/>
            <w:noWrap/>
          </w:tcPr>
          <w:p>
            <w:pPr>
              <w:pStyle w:val="cell"/>
            </w:pPr>
            <w:r>
              <w:rPr>
                <w:sz w:val="15"/>
                <w:szCs w:val="15"/>
              </w:rPr>
              <w:t xml:space="preserve">91.2 %</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Memory used with FTT hosts failed</w:t>
            </w:r>
          </w:p>
        </w:tc>
        <w:tc>
          <w:tcPr>
            <w:tcW w:w="3300" w:type="dxa"/>
            <w:shd w:val="clear" w:fill="F3F1EC"/>
            <w:noWrap/>
          </w:tcPr>
          <w:p>
            <w:pPr>
              <w:pStyle w:val="cell"/>
            </w:pPr>
            <w:r>
              <w:rPr>
                <w:sz w:val="15"/>
                <w:szCs w:val="15"/>
              </w:rPr>
              <w:t xml:space="preserve">memory demand / ((hosts − clusters × FTT) × usable RAM) × 100</w:t>
            </w:r>
          </w:p>
        </w:tc>
        <w:tc>
          <w:tcPr>
            <w:tcW w:w="5000" w:type="dxa"/>
            <w:shd w:val="clear" w:fill="F3F1EC"/>
            <w:noWrap/>
          </w:tcPr>
          <w:p>
            <w:pPr>
              <w:pStyle w:val="cell"/>
            </w:pPr>
            <w:r>
              <w:rPr>
                <w:sz w:val="15"/>
                <w:szCs w:val="15"/>
              </w:rPr>
              <w:t xml:space="preserve">Memory demand = 18,838 GB [Calculated]; Surviving hosts = 21 hosts [Calculated]; Usable RAM per host = 938.6 GB [Calculated]</w:t>
            </w:r>
          </w:p>
        </w:tc>
        <w:tc>
          <w:tcPr>
            <w:tcW w:w="1600" w:type="dxa"/>
            <w:shd w:val="clear" w:fill="F3F1EC"/>
            <w:noWrap/>
          </w:tcPr>
          <w:p>
            <w:pPr>
              <w:pStyle w:val="cell"/>
            </w:pPr>
            <w:r>
              <w:rPr>
                <w:sz w:val="15"/>
                <w:szCs w:val="15"/>
              </w:rPr>
              <w:t xml:space="preserve">95.6 %</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vCPU to physical core ratio (all hosts)</w:t>
            </w:r>
          </w:p>
        </w:tc>
        <w:tc>
          <w:tcPr>
            <w:tcW w:w="3300" w:type="dxa"/>
            <w:noWrap/>
          </w:tcPr>
          <w:p>
            <w:pPr>
              <w:pStyle w:val="cell"/>
            </w:pPr>
            <w:r>
              <w:rPr>
                <w:sz w:val="15"/>
                <w:szCs w:val="15"/>
              </w:rPr>
              <w:t xml:space="preserve">total vCPU / (hosts × physical cores per host)</w:t>
            </w:r>
          </w:p>
        </w:tc>
        <w:tc>
          <w:tcPr>
            <w:tcW w:w="5000" w:type="dxa"/>
            <w:noWrap/>
          </w:tcPr>
          <w:p>
            <w:pPr>
              <w:pStyle w:val="cell"/>
            </w:pPr>
            <w:r>
              <w:rPr>
                <w:sz w:val="15"/>
                <w:szCs w:val="15"/>
              </w:rPr>
              <w:t xml:space="preserve">Total vCPU = 6,600 vCPU [Calculated]; Physical cores = 1,408 cores [Calculated]</w:t>
            </w:r>
          </w:p>
        </w:tc>
        <w:tc>
          <w:tcPr>
            <w:tcW w:w="1600" w:type="dxa"/>
            <w:noWrap/>
          </w:tcPr>
          <w:p>
            <w:pPr>
              <w:pStyle w:val="cell"/>
            </w:pPr>
            <w:r>
              <w:rPr>
                <w:sz w:val="15"/>
                <w:szCs w:val="15"/>
              </w:rPr>
              <w:t xml:space="preserve">4.69 :1</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Minimum physical cores per host for this host count</w:t>
            </w:r>
          </w:p>
        </w:tc>
        <w:tc>
          <w:tcPr>
            <w:tcW w:w="3300" w:type="dxa"/>
            <w:shd w:val="clear" w:fill="F3F1EC"/>
            <w:noWrap/>
          </w:tcPr>
          <w:p>
            <w:pPr>
              <w:pStyle w:val="cell"/>
            </w:pPr>
            <w:r>
              <w:rPr>
                <w:sz w:val="15"/>
                <w:szCs w:val="15"/>
              </w:rPr>
              <w:t xml:space="preserve">required cores / surviving hosts + reserved cores</w:t>
            </w:r>
          </w:p>
        </w:tc>
        <w:tc>
          <w:tcPr>
            <w:tcW w:w="5000" w:type="dxa"/>
            <w:shd w:val="clear" w:fill="F3F1EC"/>
            <w:noWrap/>
          </w:tcPr>
          <w:p>
            <w:pPr>
              <w:pStyle w:val="cell"/>
            </w:pPr>
            <w:r>
              <w:rPr>
                <w:sz w:val="15"/>
                <w:szCs w:val="15"/>
              </w:rPr>
              <w:t xml:space="preserve">Required physical cores = 1,233.33 cores [Calculated]; Surviving hosts = 21 hosts [Calculated]; Reserved cores per host = 0 cores [Calculated]</w:t>
            </w:r>
          </w:p>
        </w:tc>
        <w:tc>
          <w:tcPr>
            <w:tcW w:w="1600" w:type="dxa"/>
            <w:shd w:val="clear" w:fill="F3F1EC"/>
            <w:noWrap/>
          </w:tcPr>
          <w:p>
            <w:pPr>
              <w:pStyle w:val="cell"/>
            </w:pPr>
            <w:r>
              <w:rPr>
                <w:sz w:val="15"/>
                <w:szCs w:val="15"/>
              </w:rPr>
              <w:t xml:space="preserve">59 cores</w:t>
            </w:r>
          </w:p>
        </w:tc>
        <w:tc>
          <w:tcPr>
            <w:tcW w:w="1200" w:type="dxa"/>
            <w:shd w:val="clear" w:fill="F3F1EC"/>
            <w:noWrap/>
          </w:tcPr>
          <w:p>
            <w:pPr>
              <w:pStyle w:val="cell"/>
            </w:pPr>
            <w:r>
              <w:rPr>
                <w:sz w:val="15"/>
                <w:szCs w:val="15"/>
              </w:rPr>
              <w:t xml:space="preserve">Calculated</w:t>
            </w:r>
          </w:p>
        </w:tc>
      </w:tr>
    </w:tbl>
    <w:p>
      <w:pPr>
        <w:rPr>
          <w:sz w:val="8"/>
          <w:szCs w:val="8"/>
        </w:rPr>
      </w:pPr>
    </w:p>
    <w:p>
      <w:pPr>
        <w:pStyle w:val="Heading3"/>
      </w:pPr>
      <w:bookmarkStart w:id="41" w:name="_Toc41"/>
      <w:r>
        <w:t>GPU cluster</w:t>
      </w:r>
      <w:bookmarkEnd w:id="41"/>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Usable cores per host</w:t>
            </w:r>
          </w:p>
        </w:tc>
        <w:tc>
          <w:tcPr>
            <w:tcW w:w="3300" w:type="dxa"/>
            <w:noWrap/>
          </w:tcPr>
          <w:p>
            <w:pPr>
              <w:pStyle w:val="cell"/>
            </w:pPr>
            <w:r>
              <w:rPr>
                <w:sz w:val="15"/>
                <w:szCs w:val="15"/>
              </w:rPr>
              <w:t xml:space="preserve">sockets × cores per socket − reserved cores</w:t>
            </w:r>
          </w:p>
        </w:tc>
        <w:tc>
          <w:tcPr>
            <w:tcW w:w="5000" w:type="dxa"/>
            <w:noWrap/>
          </w:tcPr>
          <w:p>
            <w:pPr>
              <w:pStyle w:val="cell"/>
            </w:pPr>
            <w:r>
              <w:rPr>
                <w:sz w:val="15"/>
                <w:szCs w:val="15"/>
              </w:rPr>
              <w:t xml:space="preserve">Sockets = 2 sockets [Customer]; Cores per socket = 32 cores [Customer]; Hypervisor reserved cores = 0 cores [Validate]</w:t>
            </w:r>
          </w:p>
        </w:tc>
        <w:tc>
          <w:tcPr>
            <w:tcW w:w="1600" w:type="dxa"/>
            <w:noWrap/>
          </w:tcPr>
          <w:p>
            <w:pPr>
              <w:pStyle w:val="cell"/>
            </w:pPr>
            <w:r>
              <w:rPr>
                <w:sz w:val="15"/>
                <w:szCs w:val="15"/>
              </w:rPr>
              <w:t xml:space="preserve">64 cores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Usable RAM per host</w:t>
            </w:r>
          </w:p>
        </w:tc>
        <w:tc>
          <w:tcPr>
            <w:tcW w:w="3300" w:type="dxa"/>
            <w:shd w:val="clear" w:fill="F3F1EC"/>
            <w:noWrap/>
          </w:tcPr>
          <w:p>
            <w:pPr>
              <w:pStyle w:val="cell"/>
            </w:pPr>
            <w:r>
              <w:rPr>
                <w:sz w:val="15"/>
                <w:szCs w:val="15"/>
              </w:rPr>
              <w:t xml:space="preserve">(installed RAM − reservations − View Storage Accelerator) × max allocation% / 100</w:t>
            </w:r>
          </w:p>
        </w:tc>
        <w:tc>
          <w:tcPr>
            <w:tcW w:w="5000" w:type="dxa"/>
            <w:shd w:val="clear" w:fill="F3F1EC"/>
            <w:noWrap/>
          </w:tcPr>
          <w:p>
            <w:pPr>
              <w:pStyle w:val="cell"/>
            </w:pPr>
            <w:r>
              <w:rPr>
                <w:sz w:val="15"/>
                <w:szCs w:val="15"/>
              </w:rPr>
              <w:t xml:space="preserve">Installed RAM = 1,536 GB [Customer]; Hypervisor reserved RAM = 4 GB [Validate]; View Storage Accelerator cache = 32 GB/host [Official]; Maximum memory allocation = 95 % [Assumption]</w:t>
            </w:r>
          </w:p>
        </w:tc>
        <w:tc>
          <w:tcPr>
            <w:tcW w:w="1600" w:type="dxa"/>
            <w:shd w:val="clear" w:fill="F3F1EC"/>
            <w:noWrap/>
          </w:tcPr>
          <w:p>
            <w:pPr>
              <w:pStyle w:val="cell"/>
            </w:pPr>
            <w:r>
              <w:rPr>
                <w:sz w:val="15"/>
                <w:szCs w:val="15"/>
              </w:rPr>
              <w:t xml:space="preserve">1,425 GB</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Hosts for CPU</w:t>
            </w:r>
          </w:p>
        </w:tc>
        <w:tc>
          <w:tcPr>
            <w:tcW w:w="3300" w:type="dxa"/>
            <w:noWrap/>
          </w:tcPr>
          <w:p>
            <w:pPr>
              <w:pStyle w:val="cell"/>
            </w:pPr>
            <w:r>
              <w:rPr>
                <w:sz w:val="15"/>
                <w:szCs w:val="15"/>
              </w:rPr>
              <w:t xml:space="preserve">ceil(required cores / usable cores per host)</w:t>
            </w:r>
          </w:p>
        </w:tc>
        <w:tc>
          <w:tcPr>
            <w:tcW w:w="5000" w:type="dxa"/>
            <w:noWrap/>
          </w:tcPr>
          <w:p>
            <w:pPr>
              <w:pStyle w:val="cell"/>
            </w:pPr>
            <w:r>
              <w:rPr>
                <w:sz w:val="15"/>
                <w:szCs w:val="15"/>
              </w:rPr>
              <w:t xml:space="preserve">Required physical cores = 600 cores [Calculated]; Usable cores per host = 64 cores [Calculated]</w:t>
            </w:r>
          </w:p>
        </w:tc>
        <w:tc>
          <w:tcPr>
            <w:tcW w:w="1600" w:type="dxa"/>
            <w:noWrap/>
          </w:tcPr>
          <w:p>
            <w:pPr>
              <w:pStyle w:val="cell"/>
            </w:pPr>
            <w:r>
              <w:rPr>
                <w:sz w:val="15"/>
                <w:szCs w:val="15"/>
              </w:rPr>
              <w:t xml:space="preserve">10 hosts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Hosts for memory</w:t>
            </w:r>
          </w:p>
        </w:tc>
        <w:tc>
          <w:tcPr>
            <w:tcW w:w="3300" w:type="dxa"/>
            <w:shd w:val="clear" w:fill="F3F1EC"/>
            <w:noWrap/>
          </w:tcPr>
          <w:p>
            <w:pPr>
              <w:pStyle w:val="cell"/>
            </w:pPr>
            <w:r>
              <w:rPr>
                <w:sz w:val="15"/>
                <w:szCs w:val="15"/>
              </w:rPr>
              <w:t xml:space="preserve">ceil(memory demand / usable RAM per host)</w:t>
            </w:r>
          </w:p>
        </w:tc>
        <w:tc>
          <w:tcPr>
            <w:tcW w:w="5000" w:type="dxa"/>
            <w:shd w:val="clear" w:fill="F3F1EC"/>
            <w:noWrap/>
          </w:tcPr>
          <w:p>
            <w:pPr>
              <w:pStyle w:val="cell"/>
            </w:pPr>
            <w:r>
              <w:rPr>
                <w:sz w:val="15"/>
                <w:szCs w:val="15"/>
              </w:rPr>
              <w:t xml:space="preserve">Memory demand = 4,833 GB [Calculated]; Usable RAM per host = 1,425 GB [Calculated]</w:t>
            </w:r>
          </w:p>
        </w:tc>
        <w:tc>
          <w:tcPr>
            <w:tcW w:w="1600" w:type="dxa"/>
            <w:shd w:val="clear" w:fill="F3F1EC"/>
            <w:noWrap/>
          </w:tcPr>
          <w:p>
            <w:pPr>
              <w:pStyle w:val="cell"/>
            </w:pPr>
            <w:r>
              <w:rPr>
                <w:sz w:val="15"/>
                <w:szCs w:val="15"/>
              </w:rPr>
              <w:t xml:space="preserve">4 hosts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Hosts for VM density limit</w:t>
            </w:r>
          </w:p>
        </w:tc>
        <w:tc>
          <w:tcPr>
            <w:tcW w:w="3300" w:type="dxa"/>
            <w:noWrap/>
          </w:tcPr>
          <w:p>
            <w:pPr>
              <w:pStyle w:val="cell"/>
            </w:pPr>
            <w:r>
              <w:rPr>
                <w:sz w:val="15"/>
                <w:szCs w:val="15"/>
              </w:rPr>
              <w:t xml:space="preserve">ceil(VMs / maximum VMs per host)</w:t>
            </w:r>
          </w:p>
        </w:tc>
        <w:tc>
          <w:tcPr>
            <w:tcW w:w="5000" w:type="dxa"/>
            <w:noWrap/>
          </w:tcPr>
          <w:p>
            <w:pPr>
              <w:pStyle w:val="cell"/>
            </w:pPr>
            <w:r>
              <w:rPr>
                <w:sz w:val="15"/>
                <w:szCs w:val="15"/>
              </w:rPr>
              <w:t xml:space="preserve">VMs = 150 VMs [Calculated]; Maximum VMs per host = 500 VMs [Official]</w:t>
            </w:r>
          </w:p>
        </w:tc>
        <w:tc>
          <w:tcPr>
            <w:tcW w:w="1600" w:type="dxa"/>
            <w:noWrap/>
          </w:tcPr>
          <w:p>
            <w:pPr>
              <w:pStyle w:val="cell"/>
            </w:pPr>
            <w:r>
              <w:rPr>
                <w:sz w:val="15"/>
                <w:szCs w:val="15"/>
              </w:rPr>
              <w:t xml:space="preserve">1 hosts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Hosts for GPU boards</w:t>
            </w:r>
          </w:p>
        </w:tc>
        <w:tc>
          <w:tcPr>
            <w:tcW w:w="3300" w:type="dxa"/>
            <w:shd w:val="clear" w:fill="F3F1EC"/>
            <w:noWrap/>
          </w:tcPr>
          <w:p>
            <w:pPr>
              <w:pStyle w:val="cell"/>
            </w:pPr>
            <w:r>
              <w:rPr>
                <w:sz w:val="15"/>
                <w:szCs w:val="15"/>
              </w:rPr>
              <w:t xml:space="preserve">ceil(GPU boards / boards per host)</w:t>
            </w:r>
          </w:p>
        </w:tc>
        <w:tc>
          <w:tcPr>
            <w:tcW w:w="5000" w:type="dxa"/>
            <w:shd w:val="clear" w:fill="F3F1EC"/>
            <w:noWrap/>
          </w:tcPr>
          <w:p>
            <w:pPr>
              <w:pStyle w:val="cell"/>
            </w:pPr>
            <w:r>
              <w:rPr>
                <w:sz w:val="15"/>
                <w:szCs w:val="15"/>
              </w:rPr>
              <w:t xml:space="preserve">GPU boards = 25 boards [Calculated]; Boards per GPU host = 3 boards [Customer]</w:t>
            </w:r>
          </w:p>
        </w:tc>
        <w:tc>
          <w:tcPr>
            <w:tcW w:w="1600" w:type="dxa"/>
            <w:shd w:val="clear" w:fill="F3F1EC"/>
            <w:noWrap/>
          </w:tcPr>
          <w:p>
            <w:pPr>
              <w:pStyle w:val="cell"/>
            </w:pPr>
            <w:r>
              <w:rPr>
                <w:sz w:val="15"/>
                <w:szCs w:val="15"/>
              </w:rPr>
              <w:t xml:space="preserve">9 hosts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Hosts before failure tolerance</w:t>
            </w:r>
          </w:p>
        </w:tc>
        <w:tc>
          <w:tcPr>
            <w:tcW w:w="3300" w:type="dxa"/>
            <w:noWrap/>
          </w:tcPr>
          <w:p>
            <w:pPr>
              <w:pStyle w:val="cell"/>
            </w:pPr>
            <w:r>
              <w:rPr>
                <w:sz w:val="15"/>
                <w:szCs w:val="15"/>
              </w:rPr>
              <w:t xml:space="preserve">max(CPU, memory, storage, GPU, VM density)</w:t>
            </w:r>
          </w:p>
        </w:tc>
        <w:tc>
          <w:tcPr>
            <w:tcW w:w="5000" w:type="dxa"/>
            <w:noWrap/>
          </w:tcPr>
          <w:p>
            <w:pPr>
              <w:pStyle w:val="cell"/>
            </w:pPr>
            <w:r>
              <w:rPr>
                <w:sz w:val="15"/>
                <w:szCs w:val="15"/>
              </w:rPr>
              <w:t xml:space="preserve">CPU = 10 hosts [Calculated]; Memory = 4 hosts [Calculated]; Storage (HCI) = 0 hosts [Calculated]; GPU = 9 hosts [Calculated]; VM density = 1 hosts [Calculated]</w:t>
            </w:r>
          </w:p>
        </w:tc>
        <w:tc>
          <w:tcPr>
            <w:tcW w:w="1600" w:type="dxa"/>
            <w:noWrap/>
          </w:tcPr>
          <w:p>
            <w:pPr>
              <w:pStyle w:val="cell"/>
            </w:pPr>
            <w:r>
              <w:rPr>
                <w:sz w:val="15"/>
                <w:szCs w:val="15"/>
              </w:rPr>
              <w:t xml:space="preserve">10 hosts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Clusters</w:t>
            </w:r>
          </w:p>
        </w:tc>
        <w:tc>
          <w:tcPr>
            <w:tcW w:w="3300" w:type="dxa"/>
            <w:shd w:val="clear" w:fill="F3F1EC"/>
            <w:noWrap/>
          </w:tcPr>
          <w:p>
            <w:pPr>
              <w:pStyle w:val="cell"/>
            </w:pPr>
            <w:r>
              <w:rPr>
                <w:sz w:val="15"/>
                <w:szCs w:val="15"/>
              </w:rPr>
              <w:t xml:space="preserve">ceil(hosts / (design maximum hosts per cluster − FTT))</w:t>
            </w:r>
          </w:p>
        </w:tc>
        <w:tc>
          <w:tcPr>
            <w:tcW w:w="5000" w:type="dxa"/>
            <w:shd w:val="clear" w:fill="F3F1EC"/>
            <w:noWrap/>
          </w:tcPr>
          <w:p>
            <w:pPr>
              <w:pStyle w:val="cell"/>
            </w:pPr>
            <w:r>
              <w:rPr>
                <w:sz w:val="15"/>
                <w:szCs w:val="15"/>
              </w:rPr>
              <w:t xml:space="preserve">Hosts before failure tolerance = 10 hosts [Calculated]; Design maximum hosts per cluster = 32 hosts [Assumption]; Hosts per cluster (maximum) = 64 hosts [Official]; Host failures to tolerate (FTT) = 1 hosts [Customer]</w:t>
            </w:r>
          </w:p>
        </w:tc>
        <w:tc>
          <w:tcPr>
            <w:tcW w:w="1600" w:type="dxa"/>
            <w:shd w:val="clear" w:fill="F3F1EC"/>
            <w:noWrap/>
          </w:tcPr>
          <w:p>
            <w:pPr>
              <w:pStyle w:val="cell"/>
            </w:pPr>
            <w:r>
              <w:rPr>
                <w:sz w:val="15"/>
                <w:szCs w:val="15"/>
              </w:rPr>
              <w:t xml:space="preserve">1 clusters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Hosts (N+1 per cluster, platform minimum applied)</w:t>
            </w:r>
          </w:p>
        </w:tc>
        <w:tc>
          <w:tcPr>
            <w:tcW w:w="3300" w:type="dxa"/>
            <w:noWrap/>
          </w:tcPr>
          <w:p>
            <w:pPr>
              <w:pStyle w:val="cell"/>
            </w:pPr>
            <w:r>
              <w:rPr>
                <w:sz w:val="15"/>
                <w:szCs w:val="15"/>
              </w:rPr>
              <w:t xml:space="preserve">clusters × ceil(max(base + clusters × FTT, clusters × platform minimum) / clusters)</w:t>
            </w:r>
          </w:p>
        </w:tc>
        <w:tc>
          <w:tcPr>
            <w:tcW w:w="5000" w:type="dxa"/>
            <w:noWrap/>
          </w:tcPr>
          <w:p>
            <w:pPr>
              <w:pStyle w:val="cell"/>
            </w:pPr>
            <w:r>
              <w:rPr>
                <w:sz w:val="15"/>
                <w:szCs w:val="15"/>
              </w:rPr>
              <w:t xml:space="preserve">Hosts before failure tolerance = 10 hosts [Calculated]; Clusters = 1 clusters [Calculated]; FTT per cluster = 1 hosts [Customer]; Platform minimum hosts per cluster = 2 hosts [Assumption]</w:t>
            </w:r>
          </w:p>
        </w:tc>
        <w:tc>
          <w:tcPr>
            <w:tcW w:w="1600" w:type="dxa"/>
            <w:noWrap/>
          </w:tcPr>
          <w:p>
            <w:pPr>
              <w:pStyle w:val="cell"/>
            </w:pPr>
            <w:r>
              <w:rPr>
                <w:sz w:val="15"/>
                <w:szCs w:val="15"/>
              </w:rPr>
              <w:t xml:space="preserve">11 hosts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CPU capacity used (all hosts up)</w:t>
            </w:r>
          </w:p>
        </w:tc>
        <w:tc>
          <w:tcPr>
            <w:tcW w:w="3300" w:type="dxa"/>
            <w:shd w:val="clear" w:fill="F3F1EC"/>
            <w:noWrap/>
          </w:tcPr>
          <w:p>
            <w:pPr>
              <w:pStyle w:val="cell"/>
            </w:pPr>
            <w:r>
              <w:rPr>
                <w:sz w:val="15"/>
                <w:szCs w:val="15"/>
              </w:rPr>
              <w:t xml:space="preserve">required cores / (hosts × usable cores) × 100</w:t>
            </w:r>
          </w:p>
        </w:tc>
        <w:tc>
          <w:tcPr>
            <w:tcW w:w="5000" w:type="dxa"/>
            <w:shd w:val="clear" w:fill="F3F1EC"/>
            <w:noWrap/>
          </w:tcPr>
          <w:p>
            <w:pPr>
              <w:pStyle w:val="cell"/>
            </w:pPr>
            <w:r>
              <w:rPr>
                <w:sz w:val="15"/>
                <w:szCs w:val="15"/>
              </w:rPr>
              <w:t xml:space="preserve">Required physical cores = 600 cores [Calculated]; Hosts = 11 hosts [Calculated]; Usable cores per host = 64 cores [Calculated]</w:t>
            </w:r>
          </w:p>
        </w:tc>
        <w:tc>
          <w:tcPr>
            <w:tcW w:w="1600" w:type="dxa"/>
            <w:shd w:val="clear" w:fill="F3F1EC"/>
            <w:noWrap/>
          </w:tcPr>
          <w:p>
            <w:pPr>
              <w:pStyle w:val="cell"/>
            </w:pPr>
            <w:r>
              <w:rPr>
                <w:sz w:val="15"/>
                <w:szCs w:val="15"/>
              </w:rPr>
              <w:t xml:space="preserve">85.2 %</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CPU capacity used with FTT hosts failed</w:t>
            </w:r>
          </w:p>
        </w:tc>
        <w:tc>
          <w:tcPr>
            <w:tcW w:w="3300" w:type="dxa"/>
            <w:noWrap/>
          </w:tcPr>
          <w:p>
            <w:pPr>
              <w:pStyle w:val="cell"/>
            </w:pPr>
            <w:r>
              <w:rPr>
                <w:sz w:val="15"/>
                <w:szCs w:val="15"/>
              </w:rPr>
              <w:t xml:space="preserve">required cores / ((hosts − clusters × FTT) × usable cores) × 100</w:t>
            </w:r>
          </w:p>
        </w:tc>
        <w:tc>
          <w:tcPr>
            <w:tcW w:w="5000" w:type="dxa"/>
            <w:noWrap/>
          </w:tcPr>
          <w:p>
            <w:pPr>
              <w:pStyle w:val="cell"/>
            </w:pPr>
            <w:r>
              <w:rPr>
                <w:sz w:val="15"/>
                <w:szCs w:val="15"/>
              </w:rPr>
              <w:t xml:space="preserve">Required physical cores = 600 cores [Calculated]; Surviving hosts = 10 hosts [Calculated]; Usable cores per host = 64 cores [Calculated]</w:t>
            </w:r>
          </w:p>
        </w:tc>
        <w:tc>
          <w:tcPr>
            <w:tcW w:w="1600" w:type="dxa"/>
            <w:noWrap/>
          </w:tcPr>
          <w:p>
            <w:pPr>
              <w:pStyle w:val="cell"/>
            </w:pPr>
            <w:r>
              <w:rPr>
                <w:sz w:val="15"/>
                <w:szCs w:val="15"/>
              </w:rPr>
              <w:t xml:space="preserve">93.8 %</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Memory used (all hosts up)</w:t>
            </w:r>
          </w:p>
        </w:tc>
        <w:tc>
          <w:tcPr>
            <w:tcW w:w="3300" w:type="dxa"/>
            <w:shd w:val="clear" w:fill="F3F1EC"/>
            <w:noWrap/>
          </w:tcPr>
          <w:p>
            <w:pPr>
              <w:pStyle w:val="cell"/>
            </w:pPr>
            <w:r>
              <w:rPr>
                <w:sz w:val="15"/>
                <w:szCs w:val="15"/>
              </w:rPr>
              <w:t xml:space="preserve">memory demand / (hosts × usable RAM) × 100</w:t>
            </w:r>
          </w:p>
        </w:tc>
        <w:tc>
          <w:tcPr>
            <w:tcW w:w="5000" w:type="dxa"/>
            <w:shd w:val="clear" w:fill="F3F1EC"/>
            <w:noWrap/>
          </w:tcPr>
          <w:p>
            <w:pPr>
              <w:pStyle w:val="cell"/>
            </w:pPr>
            <w:r>
              <w:rPr>
                <w:sz w:val="15"/>
                <w:szCs w:val="15"/>
              </w:rPr>
              <w:t xml:space="preserve">Memory demand = 4,833 GB [Calculated]; Hosts = 11 hosts [Calculated]; Usable RAM per host = 1,425 GB [Calculated]</w:t>
            </w:r>
          </w:p>
        </w:tc>
        <w:tc>
          <w:tcPr>
            <w:tcW w:w="1600" w:type="dxa"/>
            <w:shd w:val="clear" w:fill="F3F1EC"/>
            <w:noWrap/>
          </w:tcPr>
          <w:p>
            <w:pPr>
              <w:pStyle w:val="cell"/>
            </w:pPr>
            <w:r>
              <w:rPr>
                <w:sz w:val="15"/>
                <w:szCs w:val="15"/>
              </w:rPr>
              <w:t xml:space="preserve">30.8 %</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Memory used with FTT hosts failed</w:t>
            </w:r>
          </w:p>
        </w:tc>
        <w:tc>
          <w:tcPr>
            <w:tcW w:w="3300" w:type="dxa"/>
            <w:noWrap/>
          </w:tcPr>
          <w:p>
            <w:pPr>
              <w:pStyle w:val="cell"/>
            </w:pPr>
            <w:r>
              <w:rPr>
                <w:sz w:val="15"/>
                <w:szCs w:val="15"/>
              </w:rPr>
              <w:t xml:space="preserve">memory demand / ((hosts − clusters × FTT) × usable RAM) × 100</w:t>
            </w:r>
          </w:p>
        </w:tc>
        <w:tc>
          <w:tcPr>
            <w:tcW w:w="5000" w:type="dxa"/>
            <w:noWrap/>
          </w:tcPr>
          <w:p>
            <w:pPr>
              <w:pStyle w:val="cell"/>
            </w:pPr>
            <w:r>
              <w:rPr>
                <w:sz w:val="15"/>
                <w:szCs w:val="15"/>
              </w:rPr>
              <w:t xml:space="preserve">Memory demand = 4,833 GB [Calculated]; Surviving hosts = 10 hosts [Calculated]; Usable RAM per host = 1,425 GB [Calculated]</w:t>
            </w:r>
          </w:p>
        </w:tc>
        <w:tc>
          <w:tcPr>
            <w:tcW w:w="1600" w:type="dxa"/>
            <w:noWrap/>
          </w:tcPr>
          <w:p>
            <w:pPr>
              <w:pStyle w:val="cell"/>
            </w:pPr>
            <w:r>
              <w:rPr>
                <w:sz w:val="15"/>
                <w:szCs w:val="15"/>
              </w:rPr>
              <w:t xml:space="preserve">33.9 %</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vCPU to physical core ratio (all hosts)</w:t>
            </w:r>
          </w:p>
        </w:tc>
        <w:tc>
          <w:tcPr>
            <w:tcW w:w="3300" w:type="dxa"/>
            <w:shd w:val="clear" w:fill="F3F1EC"/>
            <w:noWrap/>
          </w:tcPr>
          <w:p>
            <w:pPr>
              <w:pStyle w:val="cell"/>
            </w:pPr>
            <w:r>
              <w:rPr>
                <w:sz w:val="15"/>
                <w:szCs w:val="15"/>
              </w:rPr>
              <w:t xml:space="preserve">total vCPU / (hosts × physical cores per host)</w:t>
            </w:r>
          </w:p>
        </w:tc>
        <w:tc>
          <w:tcPr>
            <w:tcW w:w="5000" w:type="dxa"/>
            <w:shd w:val="clear" w:fill="F3F1EC"/>
            <w:noWrap/>
          </w:tcPr>
          <w:p>
            <w:pPr>
              <w:pStyle w:val="cell"/>
            </w:pPr>
            <w:r>
              <w:rPr>
                <w:sz w:val="15"/>
                <w:szCs w:val="15"/>
              </w:rPr>
              <w:t xml:space="preserve">Total vCPU = 1,200 vCPU [Calculated]; Physical cores = 704 cores [Calculated]</w:t>
            </w:r>
          </w:p>
        </w:tc>
        <w:tc>
          <w:tcPr>
            <w:tcW w:w="1600" w:type="dxa"/>
            <w:shd w:val="clear" w:fill="F3F1EC"/>
            <w:noWrap/>
          </w:tcPr>
          <w:p>
            <w:pPr>
              <w:pStyle w:val="cell"/>
            </w:pPr>
            <w:r>
              <w:rPr>
                <w:sz w:val="15"/>
                <w:szCs w:val="15"/>
              </w:rPr>
              <w:t xml:space="preserve">1.7 :1</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Minimum physical cores per host for this host count</w:t>
            </w:r>
          </w:p>
        </w:tc>
        <w:tc>
          <w:tcPr>
            <w:tcW w:w="3300" w:type="dxa"/>
            <w:noWrap/>
          </w:tcPr>
          <w:p>
            <w:pPr>
              <w:pStyle w:val="cell"/>
            </w:pPr>
            <w:r>
              <w:rPr>
                <w:sz w:val="15"/>
                <w:szCs w:val="15"/>
              </w:rPr>
              <w:t xml:space="preserve">required cores / surviving hosts + reserved cores</w:t>
            </w:r>
          </w:p>
        </w:tc>
        <w:tc>
          <w:tcPr>
            <w:tcW w:w="5000" w:type="dxa"/>
            <w:noWrap/>
          </w:tcPr>
          <w:p>
            <w:pPr>
              <w:pStyle w:val="cell"/>
            </w:pPr>
            <w:r>
              <w:rPr>
                <w:sz w:val="15"/>
                <w:szCs w:val="15"/>
              </w:rPr>
              <w:t xml:space="preserve">Required physical cores = 600 cores [Calculated]; Surviving hosts = 10 hosts [Calculated]; Reserved cores per host = 0 cores [Calculated]</w:t>
            </w:r>
          </w:p>
        </w:tc>
        <w:tc>
          <w:tcPr>
            <w:tcW w:w="1600" w:type="dxa"/>
            <w:noWrap/>
          </w:tcPr>
          <w:p>
            <w:pPr>
              <w:pStyle w:val="cell"/>
            </w:pPr>
            <w:r>
              <w:rPr>
                <w:sz w:val="15"/>
                <w:szCs w:val="15"/>
              </w:rPr>
              <w:t xml:space="preserve">60 cores</w:t>
            </w:r>
          </w:p>
        </w:tc>
        <w:tc>
          <w:tcPr>
            <w:tcW w:w="1200" w:type="dxa"/>
            <w:noWrap/>
          </w:tcPr>
          <w:p>
            <w:pPr>
              <w:pStyle w:val="cell"/>
            </w:pPr>
            <w:r>
              <w:rPr>
                <w:sz w:val="15"/>
                <w:szCs w:val="15"/>
              </w:rPr>
              <w:t xml:space="preserve">Calculated</w:t>
            </w:r>
          </w:p>
        </w:tc>
      </w:tr>
    </w:tbl>
    <w:p>
      <w:pPr>
        <w:rPr>
          <w:sz w:val="8"/>
          <w:szCs w:val="8"/>
        </w:rPr>
      </w:pPr>
    </w:p>
    <w:p>
      <w:pPr>
        <w:pStyle w:val="Heading3"/>
      </w:pPr>
      <w:bookmarkStart w:id="42" w:name="_Toc42"/>
      <w:r>
        <w:t>Management cluster</w:t>
      </w:r>
      <w:bookmarkEnd w:id="42"/>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Usable cores per host</w:t>
            </w:r>
          </w:p>
        </w:tc>
        <w:tc>
          <w:tcPr>
            <w:tcW w:w="3300" w:type="dxa"/>
            <w:noWrap/>
          </w:tcPr>
          <w:p>
            <w:pPr>
              <w:pStyle w:val="cell"/>
            </w:pPr>
            <w:r>
              <w:rPr>
                <w:sz w:val="15"/>
                <w:szCs w:val="15"/>
              </w:rPr>
              <w:t xml:space="preserve">sockets × cores per socket − reserved cores</w:t>
            </w:r>
          </w:p>
        </w:tc>
        <w:tc>
          <w:tcPr>
            <w:tcW w:w="5000" w:type="dxa"/>
            <w:noWrap/>
          </w:tcPr>
          <w:p>
            <w:pPr>
              <w:pStyle w:val="cell"/>
            </w:pPr>
            <w:r>
              <w:rPr>
                <w:sz w:val="15"/>
                <w:szCs w:val="15"/>
              </w:rPr>
              <w:t xml:space="preserve">Sockets = 2 sockets [Customer]; Cores per socket = 16 cores [Customer]; Hypervisor reserved cores = 0 cores [Validate]</w:t>
            </w:r>
          </w:p>
        </w:tc>
        <w:tc>
          <w:tcPr>
            <w:tcW w:w="1600" w:type="dxa"/>
            <w:noWrap/>
          </w:tcPr>
          <w:p>
            <w:pPr>
              <w:pStyle w:val="cell"/>
            </w:pPr>
            <w:r>
              <w:rPr>
                <w:sz w:val="15"/>
                <w:szCs w:val="15"/>
              </w:rPr>
              <w:t xml:space="preserve">32 cores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Usable RAM per host</w:t>
            </w:r>
          </w:p>
        </w:tc>
        <w:tc>
          <w:tcPr>
            <w:tcW w:w="3300" w:type="dxa"/>
            <w:shd w:val="clear" w:fill="F3F1EC"/>
            <w:noWrap/>
          </w:tcPr>
          <w:p>
            <w:pPr>
              <w:pStyle w:val="cell"/>
            </w:pPr>
            <w:r>
              <w:rPr>
                <w:sz w:val="15"/>
                <w:szCs w:val="15"/>
              </w:rPr>
              <w:t xml:space="preserve">(installed RAM − reservations − View Storage Accelerator) × max allocation% / 100</w:t>
            </w:r>
          </w:p>
        </w:tc>
        <w:tc>
          <w:tcPr>
            <w:tcW w:w="5000" w:type="dxa"/>
            <w:shd w:val="clear" w:fill="F3F1EC"/>
            <w:noWrap/>
          </w:tcPr>
          <w:p>
            <w:pPr>
              <w:pStyle w:val="cell"/>
            </w:pPr>
            <w:r>
              <w:rPr>
                <w:sz w:val="15"/>
                <w:szCs w:val="15"/>
              </w:rPr>
              <w:t xml:space="preserve">Installed RAM = 512 GB [Customer]; Hypervisor reserved RAM = 4 GB [Validate]; Maximum memory allocation = 95 % [Assumption]</w:t>
            </w:r>
          </w:p>
        </w:tc>
        <w:tc>
          <w:tcPr>
            <w:tcW w:w="1600" w:type="dxa"/>
            <w:shd w:val="clear" w:fill="F3F1EC"/>
            <w:noWrap/>
          </w:tcPr>
          <w:p>
            <w:pPr>
              <w:pStyle w:val="cell"/>
            </w:pPr>
            <w:r>
              <w:rPr>
                <w:sz w:val="15"/>
                <w:szCs w:val="15"/>
              </w:rPr>
              <w:t xml:space="preserve">482.6 GB</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Hosts for CPU</w:t>
            </w:r>
          </w:p>
        </w:tc>
        <w:tc>
          <w:tcPr>
            <w:tcW w:w="3300" w:type="dxa"/>
            <w:noWrap/>
          </w:tcPr>
          <w:p>
            <w:pPr>
              <w:pStyle w:val="cell"/>
            </w:pPr>
            <w:r>
              <w:rPr>
                <w:sz w:val="15"/>
                <w:szCs w:val="15"/>
              </w:rPr>
              <w:t xml:space="preserve">ceil(required cores / usable cores per host)</w:t>
            </w:r>
          </w:p>
        </w:tc>
        <w:tc>
          <w:tcPr>
            <w:tcW w:w="5000" w:type="dxa"/>
            <w:noWrap/>
          </w:tcPr>
          <w:p>
            <w:pPr>
              <w:pStyle w:val="cell"/>
            </w:pPr>
            <w:r>
              <w:rPr>
                <w:sz w:val="15"/>
                <w:szCs w:val="15"/>
              </w:rPr>
              <w:t xml:space="preserve">Required physical cores = 22 cores [Calculated]; Usable cores per host = 32 cores [Calculated]</w:t>
            </w:r>
          </w:p>
        </w:tc>
        <w:tc>
          <w:tcPr>
            <w:tcW w:w="1600" w:type="dxa"/>
            <w:noWrap/>
          </w:tcPr>
          <w:p>
            <w:pPr>
              <w:pStyle w:val="cell"/>
            </w:pPr>
            <w:r>
              <w:rPr>
                <w:sz w:val="15"/>
                <w:szCs w:val="15"/>
              </w:rPr>
              <w:t xml:space="preserve">1 hosts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Hosts for memory</w:t>
            </w:r>
          </w:p>
        </w:tc>
        <w:tc>
          <w:tcPr>
            <w:tcW w:w="3300" w:type="dxa"/>
            <w:shd w:val="clear" w:fill="F3F1EC"/>
            <w:noWrap/>
          </w:tcPr>
          <w:p>
            <w:pPr>
              <w:pStyle w:val="cell"/>
            </w:pPr>
            <w:r>
              <w:rPr>
                <w:sz w:val="15"/>
                <w:szCs w:val="15"/>
              </w:rPr>
              <w:t xml:space="preserve">ceil(memory demand / usable RAM per host)</w:t>
            </w:r>
          </w:p>
        </w:tc>
        <w:tc>
          <w:tcPr>
            <w:tcW w:w="5000" w:type="dxa"/>
            <w:shd w:val="clear" w:fill="F3F1EC"/>
            <w:noWrap/>
          </w:tcPr>
          <w:p>
            <w:pPr>
              <w:pStyle w:val="cell"/>
            </w:pPr>
            <w:r>
              <w:rPr>
                <w:sz w:val="15"/>
                <w:szCs w:val="15"/>
              </w:rPr>
              <w:t xml:space="preserve">Memory demand = 122.15 GB [Calculated]; Usable RAM per host = 482.6 GB [Calculated]</w:t>
            </w:r>
          </w:p>
        </w:tc>
        <w:tc>
          <w:tcPr>
            <w:tcW w:w="1600" w:type="dxa"/>
            <w:shd w:val="clear" w:fill="F3F1EC"/>
            <w:noWrap/>
          </w:tcPr>
          <w:p>
            <w:pPr>
              <w:pStyle w:val="cell"/>
            </w:pPr>
            <w:r>
              <w:rPr>
                <w:sz w:val="15"/>
                <w:szCs w:val="15"/>
              </w:rPr>
              <w:t xml:space="preserve">1 hosts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Hosts for VM density limit</w:t>
            </w:r>
          </w:p>
        </w:tc>
        <w:tc>
          <w:tcPr>
            <w:tcW w:w="3300" w:type="dxa"/>
            <w:noWrap/>
          </w:tcPr>
          <w:p>
            <w:pPr>
              <w:pStyle w:val="cell"/>
            </w:pPr>
            <w:r>
              <w:rPr>
                <w:sz w:val="15"/>
                <w:szCs w:val="15"/>
              </w:rPr>
              <w:t xml:space="preserve">ceil(VMs / maximum VMs per host)</w:t>
            </w:r>
          </w:p>
        </w:tc>
        <w:tc>
          <w:tcPr>
            <w:tcW w:w="5000" w:type="dxa"/>
            <w:noWrap/>
          </w:tcPr>
          <w:p>
            <w:pPr>
              <w:pStyle w:val="cell"/>
            </w:pPr>
            <w:r>
              <w:rPr>
                <w:sz w:val="15"/>
                <w:szCs w:val="15"/>
              </w:rPr>
              <w:t xml:space="preserve">VMs = 11 VMs [Calculated]; Maximum VMs per host = 500 VMs [Official]</w:t>
            </w:r>
          </w:p>
        </w:tc>
        <w:tc>
          <w:tcPr>
            <w:tcW w:w="1600" w:type="dxa"/>
            <w:noWrap/>
          </w:tcPr>
          <w:p>
            <w:pPr>
              <w:pStyle w:val="cell"/>
            </w:pPr>
            <w:r>
              <w:rPr>
                <w:sz w:val="15"/>
                <w:szCs w:val="15"/>
              </w:rPr>
              <w:t xml:space="preserve">1 hosts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Hosts before failure tolerance</w:t>
            </w:r>
          </w:p>
        </w:tc>
        <w:tc>
          <w:tcPr>
            <w:tcW w:w="3300" w:type="dxa"/>
            <w:shd w:val="clear" w:fill="F3F1EC"/>
            <w:noWrap/>
          </w:tcPr>
          <w:p>
            <w:pPr>
              <w:pStyle w:val="cell"/>
            </w:pPr>
            <w:r>
              <w:rPr>
                <w:sz w:val="15"/>
                <w:szCs w:val="15"/>
              </w:rPr>
              <w:t xml:space="preserve">max(CPU, memory, storage, GPU, VM density)</w:t>
            </w:r>
          </w:p>
        </w:tc>
        <w:tc>
          <w:tcPr>
            <w:tcW w:w="5000" w:type="dxa"/>
            <w:shd w:val="clear" w:fill="F3F1EC"/>
            <w:noWrap/>
          </w:tcPr>
          <w:p>
            <w:pPr>
              <w:pStyle w:val="cell"/>
            </w:pPr>
            <w:r>
              <w:rPr>
                <w:sz w:val="15"/>
                <w:szCs w:val="15"/>
              </w:rPr>
              <w:t xml:space="preserve">CPU = 1 hosts [Calculated]; Memory = 1 hosts [Calculated]; Storage (HCI) = 0 hosts [Calculated]; GPU = 0 hosts [Calculated]; VM density = 1 hosts [Calculated]</w:t>
            </w:r>
          </w:p>
        </w:tc>
        <w:tc>
          <w:tcPr>
            <w:tcW w:w="1600" w:type="dxa"/>
            <w:shd w:val="clear" w:fill="F3F1EC"/>
            <w:noWrap/>
          </w:tcPr>
          <w:p>
            <w:pPr>
              <w:pStyle w:val="cell"/>
            </w:pPr>
            <w:r>
              <w:rPr>
                <w:sz w:val="15"/>
                <w:szCs w:val="15"/>
              </w:rPr>
              <w:t xml:space="preserve">1 hosts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Clusters</w:t>
            </w:r>
          </w:p>
        </w:tc>
        <w:tc>
          <w:tcPr>
            <w:tcW w:w="3300" w:type="dxa"/>
            <w:noWrap/>
          </w:tcPr>
          <w:p>
            <w:pPr>
              <w:pStyle w:val="cell"/>
            </w:pPr>
            <w:r>
              <w:rPr>
                <w:sz w:val="15"/>
                <w:szCs w:val="15"/>
              </w:rPr>
              <w:t xml:space="preserve">ceil(hosts / (design maximum hosts per cluster − FTT))</w:t>
            </w:r>
          </w:p>
        </w:tc>
        <w:tc>
          <w:tcPr>
            <w:tcW w:w="5000" w:type="dxa"/>
            <w:noWrap/>
          </w:tcPr>
          <w:p>
            <w:pPr>
              <w:pStyle w:val="cell"/>
            </w:pPr>
            <w:r>
              <w:rPr>
                <w:sz w:val="15"/>
                <w:szCs w:val="15"/>
              </w:rPr>
              <w:t xml:space="preserve">Hosts before failure tolerance = 1 hosts [Calculated]; Design maximum hosts per cluster = 32 hosts [Assumption]; Hosts per cluster (maximum) = 64 hosts [Official]; Host failures to tolerate (FTT) = 1 hosts [Customer]</w:t>
            </w:r>
          </w:p>
        </w:tc>
        <w:tc>
          <w:tcPr>
            <w:tcW w:w="1600" w:type="dxa"/>
            <w:noWrap/>
          </w:tcPr>
          <w:p>
            <w:pPr>
              <w:pStyle w:val="cell"/>
            </w:pPr>
            <w:r>
              <w:rPr>
                <w:sz w:val="15"/>
                <w:szCs w:val="15"/>
              </w:rPr>
              <w:t xml:space="preserve">1 clusters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Hosts (N+1 per cluster, platform minimum applied)</w:t>
            </w:r>
          </w:p>
        </w:tc>
        <w:tc>
          <w:tcPr>
            <w:tcW w:w="3300" w:type="dxa"/>
            <w:shd w:val="clear" w:fill="F3F1EC"/>
            <w:noWrap/>
          </w:tcPr>
          <w:p>
            <w:pPr>
              <w:pStyle w:val="cell"/>
            </w:pPr>
            <w:r>
              <w:rPr>
                <w:sz w:val="15"/>
                <w:szCs w:val="15"/>
              </w:rPr>
              <w:t xml:space="preserve">clusters × ceil(max(base + clusters × FTT, clusters × platform minimum) / clusters)</w:t>
            </w:r>
          </w:p>
        </w:tc>
        <w:tc>
          <w:tcPr>
            <w:tcW w:w="5000" w:type="dxa"/>
            <w:shd w:val="clear" w:fill="F3F1EC"/>
            <w:noWrap/>
          </w:tcPr>
          <w:p>
            <w:pPr>
              <w:pStyle w:val="cell"/>
            </w:pPr>
            <w:r>
              <w:rPr>
                <w:sz w:val="15"/>
                <w:szCs w:val="15"/>
              </w:rPr>
              <w:t xml:space="preserve">Hosts before failure tolerance = 1 hosts [Calculated]; Clusters = 1 clusters [Calculated]; FTT per cluster = 1 hosts [Customer]; Platform minimum hosts per cluster = 2 hosts [Assumption]</w:t>
            </w:r>
          </w:p>
        </w:tc>
        <w:tc>
          <w:tcPr>
            <w:tcW w:w="1600" w:type="dxa"/>
            <w:shd w:val="clear" w:fill="F3F1EC"/>
            <w:noWrap/>
          </w:tcPr>
          <w:p>
            <w:pPr>
              <w:pStyle w:val="cell"/>
            </w:pPr>
            <w:r>
              <w:rPr>
                <w:sz w:val="15"/>
                <w:szCs w:val="15"/>
              </w:rPr>
              <w:t xml:space="preserve">2 hosts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CPU capacity used (all hosts up)</w:t>
            </w:r>
          </w:p>
        </w:tc>
        <w:tc>
          <w:tcPr>
            <w:tcW w:w="3300" w:type="dxa"/>
            <w:noWrap/>
          </w:tcPr>
          <w:p>
            <w:pPr>
              <w:pStyle w:val="cell"/>
            </w:pPr>
            <w:r>
              <w:rPr>
                <w:sz w:val="15"/>
                <w:szCs w:val="15"/>
              </w:rPr>
              <w:t xml:space="preserve">required cores / (hosts × usable cores) × 100</w:t>
            </w:r>
          </w:p>
        </w:tc>
        <w:tc>
          <w:tcPr>
            <w:tcW w:w="5000" w:type="dxa"/>
            <w:noWrap/>
          </w:tcPr>
          <w:p>
            <w:pPr>
              <w:pStyle w:val="cell"/>
            </w:pPr>
            <w:r>
              <w:rPr>
                <w:sz w:val="15"/>
                <w:szCs w:val="15"/>
              </w:rPr>
              <w:t xml:space="preserve">Required physical cores = 22 cores [Calculated]; Hosts = 2 hosts [Calculated]; Usable cores per host = 32 cores [Calculated]</w:t>
            </w:r>
          </w:p>
        </w:tc>
        <w:tc>
          <w:tcPr>
            <w:tcW w:w="1600" w:type="dxa"/>
            <w:noWrap/>
          </w:tcPr>
          <w:p>
            <w:pPr>
              <w:pStyle w:val="cell"/>
            </w:pPr>
            <w:r>
              <w:rPr>
                <w:sz w:val="15"/>
                <w:szCs w:val="15"/>
              </w:rPr>
              <w:t xml:space="preserve">34.4 %</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CPU capacity used with FTT hosts failed</w:t>
            </w:r>
          </w:p>
        </w:tc>
        <w:tc>
          <w:tcPr>
            <w:tcW w:w="3300" w:type="dxa"/>
            <w:shd w:val="clear" w:fill="F3F1EC"/>
            <w:noWrap/>
          </w:tcPr>
          <w:p>
            <w:pPr>
              <w:pStyle w:val="cell"/>
            </w:pPr>
            <w:r>
              <w:rPr>
                <w:sz w:val="15"/>
                <w:szCs w:val="15"/>
              </w:rPr>
              <w:t xml:space="preserve">required cores / ((hosts − clusters × FTT) × usable cores) × 100</w:t>
            </w:r>
          </w:p>
        </w:tc>
        <w:tc>
          <w:tcPr>
            <w:tcW w:w="5000" w:type="dxa"/>
            <w:shd w:val="clear" w:fill="F3F1EC"/>
            <w:noWrap/>
          </w:tcPr>
          <w:p>
            <w:pPr>
              <w:pStyle w:val="cell"/>
            </w:pPr>
            <w:r>
              <w:rPr>
                <w:sz w:val="15"/>
                <w:szCs w:val="15"/>
              </w:rPr>
              <w:t xml:space="preserve">Required physical cores = 22 cores [Calculated]; Surviving hosts = 1 hosts [Calculated]; Usable cores per host = 32 cores [Calculated]</w:t>
            </w:r>
          </w:p>
        </w:tc>
        <w:tc>
          <w:tcPr>
            <w:tcW w:w="1600" w:type="dxa"/>
            <w:shd w:val="clear" w:fill="F3F1EC"/>
            <w:noWrap/>
          </w:tcPr>
          <w:p>
            <w:pPr>
              <w:pStyle w:val="cell"/>
            </w:pPr>
            <w:r>
              <w:rPr>
                <w:sz w:val="15"/>
                <w:szCs w:val="15"/>
              </w:rPr>
              <w:t xml:space="preserve">68.8 %</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Memory used (all hosts up)</w:t>
            </w:r>
          </w:p>
        </w:tc>
        <w:tc>
          <w:tcPr>
            <w:tcW w:w="3300" w:type="dxa"/>
            <w:noWrap/>
          </w:tcPr>
          <w:p>
            <w:pPr>
              <w:pStyle w:val="cell"/>
            </w:pPr>
            <w:r>
              <w:rPr>
                <w:sz w:val="15"/>
                <w:szCs w:val="15"/>
              </w:rPr>
              <w:t xml:space="preserve">memory demand / (hosts × usable RAM) × 100</w:t>
            </w:r>
          </w:p>
        </w:tc>
        <w:tc>
          <w:tcPr>
            <w:tcW w:w="5000" w:type="dxa"/>
            <w:noWrap/>
          </w:tcPr>
          <w:p>
            <w:pPr>
              <w:pStyle w:val="cell"/>
            </w:pPr>
            <w:r>
              <w:rPr>
                <w:sz w:val="15"/>
                <w:szCs w:val="15"/>
              </w:rPr>
              <w:t xml:space="preserve">Memory demand = 122.15 GB [Calculated]; Hosts = 2 hosts [Calculated]; Usable RAM per host = 482.6 GB [Calculated]</w:t>
            </w:r>
          </w:p>
        </w:tc>
        <w:tc>
          <w:tcPr>
            <w:tcW w:w="1600" w:type="dxa"/>
            <w:noWrap/>
          </w:tcPr>
          <w:p>
            <w:pPr>
              <w:pStyle w:val="cell"/>
            </w:pPr>
            <w:r>
              <w:rPr>
                <w:sz w:val="15"/>
                <w:szCs w:val="15"/>
              </w:rPr>
              <w:t xml:space="preserve">12.7 %</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Memory used with FTT hosts failed</w:t>
            </w:r>
          </w:p>
        </w:tc>
        <w:tc>
          <w:tcPr>
            <w:tcW w:w="3300" w:type="dxa"/>
            <w:shd w:val="clear" w:fill="F3F1EC"/>
            <w:noWrap/>
          </w:tcPr>
          <w:p>
            <w:pPr>
              <w:pStyle w:val="cell"/>
            </w:pPr>
            <w:r>
              <w:rPr>
                <w:sz w:val="15"/>
                <w:szCs w:val="15"/>
              </w:rPr>
              <w:t xml:space="preserve">memory demand / ((hosts − clusters × FTT) × usable RAM) × 100</w:t>
            </w:r>
          </w:p>
        </w:tc>
        <w:tc>
          <w:tcPr>
            <w:tcW w:w="5000" w:type="dxa"/>
            <w:shd w:val="clear" w:fill="F3F1EC"/>
            <w:noWrap/>
          </w:tcPr>
          <w:p>
            <w:pPr>
              <w:pStyle w:val="cell"/>
            </w:pPr>
            <w:r>
              <w:rPr>
                <w:sz w:val="15"/>
                <w:szCs w:val="15"/>
              </w:rPr>
              <w:t xml:space="preserve">Memory demand = 122.15 GB [Calculated]; Surviving hosts = 1 hosts [Calculated]; Usable RAM per host = 482.6 GB [Calculated]</w:t>
            </w:r>
          </w:p>
        </w:tc>
        <w:tc>
          <w:tcPr>
            <w:tcW w:w="1600" w:type="dxa"/>
            <w:shd w:val="clear" w:fill="F3F1EC"/>
            <w:noWrap/>
          </w:tcPr>
          <w:p>
            <w:pPr>
              <w:pStyle w:val="cell"/>
            </w:pPr>
            <w:r>
              <w:rPr>
                <w:sz w:val="15"/>
                <w:szCs w:val="15"/>
              </w:rPr>
              <w:t xml:space="preserve">25.3 %</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vCPU to physical core ratio (all hosts)</w:t>
            </w:r>
          </w:p>
        </w:tc>
        <w:tc>
          <w:tcPr>
            <w:tcW w:w="3300" w:type="dxa"/>
            <w:noWrap/>
          </w:tcPr>
          <w:p>
            <w:pPr>
              <w:pStyle w:val="cell"/>
            </w:pPr>
            <w:r>
              <w:rPr>
                <w:sz w:val="15"/>
                <w:szCs w:val="15"/>
              </w:rPr>
              <w:t xml:space="preserve">total vCPU / (hosts × physical cores per host)</w:t>
            </w:r>
          </w:p>
        </w:tc>
        <w:tc>
          <w:tcPr>
            <w:tcW w:w="5000" w:type="dxa"/>
            <w:noWrap/>
          </w:tcPr>
          <w:p>
            <w:pPr>
              <w:pStyle w:val="cell"/>
            </w:pPr>
            <w:r>
              <w:rPr>
                <w:sz w:val="15"/>
                <w:szCs w:val="15"/>
              </w:rPr>
              <w:t xml:space="preserve">Total vCPU = 44 vCPU [Calculated]; Physical cores = 64 cores [Calculated]</w:t>
            </w:r>
          </w:p>
        </w:tc>
        <w:tc>
          <w:tcPr>
            <w:tcW w:w="1600" w:type="dxa"/>
            <w:noWrap/>
          </w:tcPr>
          <w:p>
            <w:pPr>
              <w:pStyle w:val="cell"/>
            </w:pPr>
            <w:r>
              <w:rPr>
                <w:sz w:val="15"/>
                <w:szCs w:val="15"/>
              </w:rPr>
              <w:t xml:space="preserve">0.69 :1</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Minimum physical cores per host for this host count</w:t>
            </w:r>
          </w:p>
        </w:tc>
        <w:tc>
          <w:tcPr>
            <w:tcW w:w="3300" w:type="dxa"/>
            <w:shd w:val="clear" w:fill="F3F1EC"/>
            <w:noWrap/>
          </w:tcPr>
          <w:p>
            <w:pPr>
              <w:pStyle w:val="cell"/>
            </w:pPr>
            <w:r>
              <w:rPr>
                <w:sz w:val="15"/>
                <w:szCs w:val="15"/>
              </w:rPr>
              <w:t xml:space="preserve">required cores / surviving hosts + reserved cores</w:t>
            </w:r>
          </w:p>
        </w:tc>
        <w:tc>
          <w:tcPr>
            <w:tcW w:w="5000" w:type="dxa"/>
            <w:shd w:val="clear" w:fill="F3F1EC"/>
            <w:noWrap/>
          </w:tcPr>
          <w:p>
            <w:pPr>
              <w:pStyle w:val="cell"/>
            </w:pPr>
            <w:r>
              <w:rPr>
                <w:sz w:val="15"/>
                <w:szCs w:val="15"/>
              </w:rPr>
              <w:t xml:space="preserve">Required physical cores = 22 cores [Calculated]; Surviving hosts = 1 hosts [Calculated]; Reserved cores per host = 0 cores [Calculated]</w:t>
            </w:r>
          </w:p>
        </w:tc>
        <w:tc>
          <w:tcPr>
            <w:tcW w:w="1600" w:type="dxa"/>
            <w:shd w:val="clear" w:fill="F3F1EC"/>
            <w:noWrap/>
          </w:tcPr>
          <w:p>
            <w:pPr>
              <w:pStyle w:val="cell"/>
            </w:pPr>
            <w:r>
              <w:rPr>
                <w:sz w:val="15"/>
                <w:szCs w:val="15"/>
              </w:rPr>
              <w:t xml:space="preserve">22 cores</w:t>
            </w:r>
          </w:p>
        </w:tc>
        <w:tc>
          <w:tcPr>
            <w:tcW w:w="1200" w:type="dxa"/>
            <w:shd w:val="clear" w:fill="F3F1EC"/>
            <w:noWrap/>
          </w:tcPr>
          <w:p>
            <w:pPr>
              <w:pStyle w:val="cell"/>
            </w:pPr>
            <w:r>
              <w:rPr>
                <w:sz w:val="15"/>
                <w:szCs w:val="15"/>
              </w:rPr>
              <w:t xml:space="preserve">Calculated</w:t>
            </w:r>
          </w:p>
        </w:tc>
      </w:tr>
    </w:tbl>
    <w:p>
      <w:pPr>
        <w:rPr>
          <w:sz w:val="8"/>
          <w:szCs w:val="8"/>
        </w:rPr>
      </w:pPr>
    </w:p>
    <w:p>
      <w:pPr>
        <w:pStyle w:val="Heading3"/>
      </w:pPr>
      <w:bookmarkStart w:id="43" w:name="_Toc43"/>
      <w:r>
        <w:t>Storage array</w:t>
      </w:r>
      <w:bookmarkEnd w:id="43"/>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Array usable capacity required</w:t>
            </w:r>
          </w:p>
        </w:tc>
        <w:tc>
          <w:tcPr>
            <w:tcW w:w="3300" w:type="dxa"/>
            <w:noWrap/>
          </w:tcPr>
          <w:p>
            <w:pPr>
              <w:pStyle w:val="cell"/>
            </w:pPr>
            <w:r>
              <w:rPr>
                <w:sz w:val="15"/>
                <w:szCs w:val="15"/>
              </w:rPr>
              <w:t xml:space="preserve">desktop/RDS/GPU/management datastores + file services on the array</w:t>
            </w:r>
          </w:p>
        </w:tc>
        <w:tc>
          <w:tcPr>
            <w:tcW w:w="5000" w:type="dxa"/>
            <w:noWrap/>
          </w:tcPr>
          <w:p>
            <w:pPr>
              <w:pStyle w:val="cell"/>
            </w:pPr>
            <w:r>
              <w:rPr>
                <w:sz w:val="15"/>
                <w:szCs w:val="15"/>
              </w:rPr>
              <w:t xml:space="preserve">VM datastores = 371,126 GB [Calculated]; File services on the array = 54,000 GB [Calculated]</w:t>
            </w:r>
          </w:p>
        </w:tc>
        <w:tc>
          <w:tcPr>
            <w:tcW w:w="1600" w:type="dxa"/>
            <w:noWrap/>
          </w:tcPr>
          <w:p>
            <w:pPr>
              <w:pStyle w:val="cell"/>
            </w:pPr>
            <w:r>
              <w:rPr>
                <w:sz w:val="15"/>
                <w:szCs w:val="15"/>
              </w:rPr>
              <w:t xml:space="preserve">425,126 GB</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Array raw capacity</w:t>
            </w:r>
          </w:p>
        </w:tc>
        <w:tc>
          <w:tcPr>
            <w:tcW w:w="3300" w:type="dxa"/>
            <w:shd w:val="clear" w:fill="F3F1EC"/>
            <w:noWrap/>
          </w:tcPr>
          <w:p>
            <w:pPr>
              <w:pStyle w:val="cell"/>
            </w:pPr>
            <w:r>
              <w:rPr>
                <w:sz w:val="15"/>
                <w:szCs w:val="15"/>
              </w:rPr>
              <w:t xml:space="preserve">usable / data reduction × RAID factor / (max consumption% / 100)</w:t>
            </w:r>
          </w:p>
        </w:tc>
        <w:tc>
          <w:tcPr>
            <w:tcW w:w="5000" w:type="dxa"/>
            <w:shd w:val="clear" w:fill="F3F1EC"/>
            <w:noWrap/>
          </w:tcPr>
          <w:p>
            <w:pPr>
              <w:pStyle w:val="cell"/>
            </w:pPr>
            <w:r>
              <w:rPr>
                <w:sz w:val="15"/>
                <w:szCs w:val="15"/>
              </w:rPr>
              <w:t xml:space="preserve">Usable capacity required = 415.16 TB [Calculated]; Data reduction = 1 :1 [Validate]; RAID / protection factor = 1.25 x [Validate]; Maximum planned consumption = 80 % [Assumption]</w:t>
            </w:r>
          </w:p>
        </w:tc>
        <w:tc>
          <w:tcPr>
            <w:tcW w:w="1600" w:type="dxa"/>
            <w:shd w:val="clear" w:fill="F3F1EC"/>
            <w:noWrap/>
          </w:tcPr>
          <w:p>
            <w:pPr>
              <w:pStyle w:val="cell"/>
            </w:pPr>
            <w:r>
              <w:rPr>
                <w:sz w:val="15"/>
                <w:szCs w:val="15"/>
              </w:rPr>
              <w:t xml:space="preserve">648.69 TB</w:t>
            </w:r>
          </w:p>
        </w:tc>
        <w:tc>
          <w:tcPr>
            <w:tcW w:w="1200" w:type="dxa"/>
            <w:shd w:val="clear" w:fill="F3F1EC"/>
            <w:noWrap/>
          </w:tcPr>
          <w:p>
            <w:pPr>
              <w:pStyle w:val="cell"/>
            </w:pPr>
            <w:r>
              <w:rPr>
                <w:sz w:val="15"/>
                <w:szCs w:val="15"/>
              </w:rPr>
              <w:t xml:space="preserve">Calculated</w:t>
            </w:r>
          </w:p>
        </w:tc>
      </w:tr>
    </w:tbl>
    <w:p>
      <w:pPr>
        <w:rPr>
          <w:sz w:val="8"/>
          <w:szCs w:val="8"/>
        </w:rPr>
      </w:pPr>
    </w:p>
    <w:p>
      <w:pPr>
        <w:pStyle w:val="Heading3"/>
      </w:pPr>
      <w:bookmarkStart w:id="44" w:name="_Toc44"/>
      <w:r>
        <w:t>Disaster recovery</w:t>
      </w:r>
      <w:bookmarkEnd w:id="44"/>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Secondary-site hosts</w:t>
            </w:r>
          </w:p>
        </w:tc>
        <w:tc>
          <w:tcPr>
            <w:tcW w:w="3300" w:type="dxa"/>
            <w:noWrap/>
          </w:tcPr>
          <w:p>
            <w:pPr>
              <w:pStyle w:val="cell"/>
            </w:pPr>
            <w:r>
              <w:rPr>
                <w:sz w:val="15"/>
                <w:szCs w:val="15"/>
              </w:rPr>
              <w:t xml:space="preserve">Σ ceil(primary hosts × DR capacity% / 100); management and DMZ clusters mirrored</w:t>
            </w:r>
          </w:p>
        </w:tc>
        <w:tc>
          <w:tcPr>
            <w:tcW w:w="5000" w:type="dxa"/>
            <w:noWrap/>
          </w:tcPr>
          <w:p>
            <w:pPr>
              <w:pStyle w:val="cell"/>
            </w:pPr>
            <w:r>
              <w:rPr>
                <w:sz w:val="15"/>
                <w:szCs w:val="15"/>
              </w:rPr>
              <w:t xml:space="preserve">DR capacity = 50 % [Customer]</w:t>
            </w:r>
          </w:p>
        </w:tc>
        <w:tc>
          <w:tcPr>
            <w:tcW w:w="1600" w:type="dxa"/>
            <w:noWrap/>
          </w:tcPr>
          <w:p>
            <w:pPr>
              <w:pStyle w:val="cell"/>
            </w:pPr>
            <w:r>
              <w:rPr>
                <w:sz w:val="15"/>
                <w:szCs w:val="15"/>
              </w:rPr>
              <w:t xml:space="preserve">19 hosts</w:t>
            </w:r>
          </w:p>
        </w:tc>
        <w:tc>
          <w:tcPr>
            <w:tcW w:w="1200" w:type="dxa"/>
            <w:noWrap/>
          </w:tcPr>
          <w:p>
            <w:pPr>
              <w:pStyle w:val="cell"/>
            </w:pPr>
            <w:r>
              <w:rPr>
                <w:sz w:val="15"/>
                <w:szCs w:val="15"/>
              </w:rPr>
              <w:t xml:space="preserve">Calculated</w:t>
            </w:r>
          </w:p>
        </w:tc>
      </w:tr>
    </w:tbl>
    <w:p>
      <w:pPr>
        <w:rPr>
          <w:sz w:val="8"/>
          <w:szCs w:val="8"/>
        </w:rPr>
      </w:pPr>
    </w:p>
    <w:p>
      <w:pPr>
        <w:pStyle w:val="Heading3"/>
      </w:pPr>
      <w:bookmarkStart w:id="45" w:name="_Toc45"/>
      <w:r>
        <w:t>Storage performance</w:t>
      </w:r>
      <w:bookmarkEnd w:id="45"/>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Steady-state IOPS (all workloads)</w:t>
            </w:r>
          </w:p>
        </w:tc>
        <w:tc>
          <w:tcPr>
            <w:tcW w:w="3300" w:type="dxa"/>
            <w:noWrap/>
          </w:tcPr>
          <w:p>
            <w:pPr>
              <w:pStyle w:val="cell"/>
            </w:pPr>
            <w:r>
              <w:rPr>
                <w:sz w:val="15"/>
                <w:szCs w:val="15"/>
              </w:rPr>
              <w:t xml:space="preserve">Σ workload steady-state IOPS</w:t>
            </w:r>
          </w:p>
        </w:tc>
        <w:tc>
          <w:tcPr>
            <w:tcW w:w="5000" w:type="dxa"/>
            <w:noWrap/>
          </w:tcPr>
          <w:p>
            <w:pPr>
              <w:pStyle w:val="cell"/>
            </w:pPr>
            <w:r>
              <w:rPr>
                <w:sz w:val="15"/>
                <w:szCs w:val="15"/>
              </w:rPr>
              <w:t xml:space="preserve">Engineering office users = 30,000 IOPS [Calculated]; CAD workstations (vGPU) = 3,750 IOPS [Calculated]; Software developers = 9,000 IOPS [Calculated]</w:t>
            </w:r>
          </w:p>
        </w:tc>
        <w:tc>
          <w:tcPr>
            <w:tcW w:w="1600" w:type="dxa"/>
            <w:noWrap/>
          </w:tcPr>
          <w:p>
            <w:pPr>
              <w:pStyle w:val="cell"/>
            </w:pPr>
            <w:r>
              <w:rPr>
                <w:sz w:val="15"/>
                <w:szCs w:val="15"/>
              </w:rPr>
              <w:t xml:space="preserve">42,750 IOPS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Read IOPS (steady state)</w:t>
            </w:r>
          </w:p>
        </w:tc>
        <w:tc>
          <w:tcPr>
            <w:tcW w:w="3300" w:type="dxa"/>
            <w:shd w:val="clear" w:fill="F3F1EC"/>
            <w:noWrap/>
          </w:tcPr>
          <w:p>
            <w:pPr>
              <w:pStyle w:val="cell"/>
            </w:pPr>
            <w:r>
              <w:rPr>
                <w:sz w:val="15"/>
                <w:szCs w:val="15"/>
              </w:rPr>
              <w:t xml:space="preserve">steady IOPS × read% / 100</w:t>
            </w:r>
          </w:p>
        </w:tc>
        <w:tc>
          <w:tcPr>
            <w:tcW w:w="5000" w:type="dxa"/>
            <w:shd w:val="clear" w:fill="F3F1EC"/>
            <w:noWrap/>
          </w:tcPr>
          <w:p>
            <w:pPr>
              <w:pStyle w:val="cell"/>
            </w:pPr>
            <w:r>
              <w:rPr>
                <w:sz w:val="15"/>
                <w:szCs w:val="15"/>
              </w:rPr>
              <w:t xml:space="preserve">Steady-state IOPS = 42,750 IOPS [Calculated]; Read share = 30 % [Assumption]</w:t>
            </w:r>
          </w:p>
        </w:tc>
        <w:tc>
          <w:tcPr>
            <w:tcW w:w="1600" w:type="dxa"/>
            <w:shd w:val="clear" w:fill="F3F1EC"/>
            <w:noWrap/>
          </w:tcPr>
          <w:p>
            <w:pPr>
              <w:pStyle w:val="cell"/>
            </w:pPr>
            <w:r>
              <w:rPr>
                <w:sz w:val="15"/>
                <w:szCs w:val="15"/>
              </w:rPr>
              <w:t xml:space="preserve">12,825 IOPS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Write IOPS (steady state)</w:t>
            </w:r>
          </w:p>
        </w:tc>
        <w:tc>
          <w:tcPr>
            <w:tcW w:w="3300" w:type="dxa"/>
            <w:noWrap/>
          </w:tcPr>
          <w:p>
            <w:pPr>
              <w:pStyle w:val="cell"/>
            </w:pPr>
            <w:r>
              <w:rPr>
                <w:sz w:val="15"/>
                <w:szCs w:val="15"/>
              </w:rPr>
              <w:t xml:space="preserve">steady IOPS − read IOPS</w:t>
            </w:r>
          </w:p>
        </w:tc>
        <w:tc>
          <w:tcPr>
            <w:tcW w:w="5000" w:type="dxa"/>
            <w:noWrap/>
          </w:tcPr>
          <w:p>
            <w:pPr>
              <w:pStyle w:val="cell"/>
            </w:pPr>
            <w:r>
              <w:rPr>
                <w:sz w:val="15"/>
                <w:szCs w:val="15"/>
              </w:rPr>
              <w:t xml:space="preserve">Steady-state IOPS = 42,750 IOPS [Calculated]; Read IOPS = 12,825 IOPS [Calculated]</w:t>
            </w:r>
          </w:p>
        </w:tc>
        <w:tc>
          <w:tcPr>
            <w:tcW w:w="1600" w:type="dxa"/>
            <w:noWrap/>
          </w:tcPr>
          <w:p>
            <w:pPr>
              <w:pStyle w:val="cell"/>
            </w:pPr>
            <w:r>
              <w:rPr>
                <w:sz w:val="15"/>
                <w:szCs w:val="15"/>
              </w:rPr>
              <w:t xml:space="preserve">29,925 IOPS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Logon storm IOPS (additional)</w:t>
            </w:r>
          </w:p>
        </w:tc>
        <w:tc>
          <w:tcPr>
            <w:tcW w:w="3300" w:type="dxa"/>
            <w:shd w:val="clear" w:fill="F3F1EC"/>
            <w:noWrap/>
          </w:tcPr>
          <w:p>
            <w:pPr>
              <w:pStyle w:val="cell"/>
            </w:pPr>
            <w:r>
              <w:rPr>
                <w:sz w:val="15"/>
                <w:szCs w:val="15"/>
              </w:rPr>
              <w:t xml:space="preserve">Σ workload logon storm IOPS</w:t>
            </w:r>
          </w:p>
        </w:tc>
        <w:tc>
          <w:tcPr>
            <w:tcW w:w="5000" w:type="dxa"/>
            <w:shd w:val="clear" w:fill="F3F1EC"/>
            <w:noWrap/>
          </w:tcPr>
          <w:p>
            <w:pPr>
              <w:pStyle w:val="cell"/>
            </w:pPr>
            <w:r>
              <w:rPr>
                <w:sz w:val="15"/>
                <w:szCs w:val="15"/>
              </w:rPr>
              <w:t xml:space="preserve">Engineering office users = 1,350 IOPS [Calculated]; CAD workstations (vGPU) = 150 IOPS [Calculated]; Software developers = 250 IOPS [Calculated]</w:t>
            </w:r>
          </w:p>
        </w:tc>
        <w:tc>
          <w:tcPr>
            <w:tcW w:w="1600" w:type="dxa"/>
            <w:shd w:val="clear" w:fill="F3F1EC"/>
            <w:noWrap/>
          </w:tcPr>
          <w:p>
            <w:pPr>
              <w:pStyle w:val="cell"/>
            </w:pPr>
            <w:r>
              <w:rPr>
                <w:sz w:val="15"/>
                <w:szCs w:val="15"/>
              </w:rPr>
              <w:t xml:space="preserve">1,750 IOPS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Boot / provisioning storm IOPS</w:t>
            </w:r>
          </w:p>
        </w:tc>
        <w:tc>
          <w:tcPr>
            <w:tcW w:w="3300" w:type="dxa"/>
            <w:noWrap/>
          </w:tcPr>
          <w:p>
            <w:pPr>
              <w:pStyle w:val="cell"/>
            </w:pPr>
            <w:r>
              <w:rPr>
                <w:sz w:val="15"/>
                <w:szCs w:val="15"/>
              </w:rPr>
              <w:t xml:space="preserve">Σ workload boot storm IOPS</w:t>
            </w:r>
          </w:p>
        </w:tc>
        <w:tc>
          <w:tcPr>
            <w:tcW w:w="5000" w:type="dxa"/>
            <w:noWrap/>
          </w:tcPr>
          <w:p>
            <w:pPr>
              <w:pStyle w:val="cell"/>
            </w:pPr>
            <w:r>
              <w:rPr>
                <w:sz w:val="15"/>
                <w:szCs w:val="15"/>
              </w:rPr>
              <w:t xml:space="preserve">Engineering office users = 25,000 IOPS [Calculated]; CAD workstations (vGPU) = 1,500 IOPS [Calculated]; Software developers = 4,000 IOPS [Calculated]</w:t>
            </w:r>
          </w:p>
        </w:tc>
        <w:tc>
          <w:tcPr>
            <w:tcW w:w="1600" w:type="dxa"/>
            <w:noWrap/>
          </w:tcPr>
          <w:p>
            <w:pPr>
              <w:pStyle w:val="cell"/>
            </w:pPr>
            <w:r>
              <w:rPr>
                <w:sz w:val="15"/>
                <w:szCs w:val="15"/>
              </w:rPr>
              <w:t xml:space="preserve">30,500 IOPS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Peak IOPS</w:t>
            </w:r>
          </w:p>
        </w:tc>
        <w:tc>
          <w:tcPr>
            <w:tcW w:w="3300" w:type="dxa"/>
            <w:shd w:val="clear" w:fill="F3F1EC"/>
            <w:noWrap/>
          </w:tcPr>
          <w:p>
            <w:pPr>
              <w:pStyle w:val="cell"/>
            </w:pPr>
            <w:r>
              <w:rPr>
                <w:sz w:val="15"/>
                <w:szCs w:val="15"/>
              </w:rPr>
              <w:t xml:space="preserve">max(steady + logon storm, boot storm)</w:t>
            </w:r>
          </w:p>
        </w:tc>
        <w:tc>
          <w:tcPr>
            <w:tcW w:w="5000" w:type="dxa"/>
            <w:shd w:val="clear" w:fill="F3F1EC"/>
            <w:noWrap/>
          </w:tcPr>
          <w:p>
            <w:pPr>
              <w:pStyle w:val="cell"/>
            </w:pPr>
            <w:r>
              <w:rPr>
                <w:sz w:val="15"/>
                <w:szCs w:val="15"/>
              </w:rPr>
              <w:t xml:space="preserve">Steady + logon storm = 44,500 IOPS [Calculated]; Boot storm = 30,500 IOPS [Calculated]</w:t>
            </w:r>
          </w:p>
        </w:tc>
        <w:tc>
          <w:tcPr>
            <w:tcW w:w="1600" w:type="dxa"/>
            <w:shd w:val="clear" w:fill="F3F1EC"/>
            <w:noWrap/>
          </w:tcPr>
          <w:p>
            <w:pPr>
              <w:pStyle w:val="cell"/>
            </w:pPr>
            <w:r>
              <w:rPr>
                <w:sz w:val="15"/>
                <w:szCs w:val="15"/>
              </w:rPr>
              <w:t xml:space="preserve">44,500 IOPS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Peak throughput</w:t>
            </w:r>
          </w:p>
        </w:tc>
        <w:tc>
          <w:tcPr>
            <w:tcW w:w="3300" w:type="dxa"/>
            <w:noWrap/>
          </w:tcPr>
          <w:p>
            <w:pPr>
              <w:pStyle w:val="cell"/>
            </w:pPr>
            <w:r>
              <w:rPr>
                <w:sz w:val="15"/>
                <w:szCs w:val="15"/>
              </w:rPr>
              <w:t xml:space="preserve">peak IOPS × I/O size KB / 1024</w:t>
            </w:r>
          </w:p>
        </w:tc>
        <w:tc>
          <w:tcPr>
            <w:tcW w:w="5000" w:type="dxa"/>
            <w:noWrap/>
          </w:tcPr>
          <w:p>
            <w:pPr>
              <w:pStyle w:val="cell"/>
            </w:pPr>
            <w:r>
              <w:rPr>
                <w:sz w:val="15"/>
                <w:szCs w:val="15"/>
              </w:rPr>
              <w:t xml:space="preserve">Peak IOPS = 44,500 IOPS [Calculated]; Average I/O size = 16 KB [Assumption]</w:t>
            </w:r>
          </w:p>
        </w:tc>
        <w:tc>
          <w:tcPr>
            <w:tcW w:w="1600" w:type="dxa"/>
            <w:noWrap/>
          </w:tcPr>
          <w:p>
            <w:pPr>
              <w:pStyle w:val="cell"/>
            </w:pPr>
            <w:r>
              <w:rPr>
                <w:sz w:val="15"/>
                <w:szCs w:val="15"/>
              </w:rPr>
              <w:t xml:space="preserve">695.3 MB/s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Storage connectivity bandwidth</w:t>
            </w:r>
          </w:p>
        </w:tc>
        <w:tc>
          <w:tcPr>
            <w:tcW w:w="3300" w:type="dxa"/>
            <w:shd w:val="clear" w:fill="F3F1EC"/>
            <w:noWrap/>
          </w:tcPr>
          <w:p>
            <w:pPr>
              <w:pStyle w:val="cell"/>
            </w:pPr>
            <w:r>
              <w:rPr>
                <w:sz w:val="15"/>
                <w:szCs w:val="15"/>
              </w:rPr>
              <w:t xml:space="preserve">ceil(VMs / 100) × Gbps per 100 VMs</w:t>
            </w:r>
          </w:p>
        </w:tc>
        <w:tc>
          <w:tcPr>
            <w:tcW w:w="5000" w:type="dxa"/>
            <w:shd w:val="clear" w:fill="F3F1EC"/>
            <w:noWrap/>
          </w:tcPr>
          <w:p>
            <w:pPr>
              <w:pStyle w:val="cell"/>
            </w:pPr>
            <w:r>
              <w:rPr>
                <w:sz w:val="15"/>
                <w:szCs w:val="15"/>
              </w:rPr>
              <w:t xml:space="preserve">VMs = 3,061 VMs [Calculated]; Bandwidth per 100 VMs = 1 Gbps [Official]</w:t>
            </w:r>
          </w:p>
        </w:tc>
        <w:tc>
          <w:tcPr>
            <w:tcW w:w="1600" w:type="dxa"/>
            <w:shd w:val="clear" w:fill="F3F1EC"/>
            <w:noWrap/>
          </w:tcPr>
          <w:p>
            <w:pPr>
              <w:pStyle w:val="cell"/>
            </w:pPr>
            <w:r>
              <w:rPr>
                <w:sz w:val="15"/>
                <w:szCs w:val="15"/>
              </w:rPr>
              <w:t xml:space="preserve">31 Gbps</w:t>
            </w:r>
          </w:p>
        </w:tc>
        <w:tc>
          <w:tcPr>
            <w:tcW w:w="1200" w:type="dxa"/>
            <w:shd w:val="clear" w:fill="F3F1EC"/>
            <w:noWrap/>
          </w:tcPr>
          <w:p>
            <w:pPr>
              <w:pStyle w:val="cell"/>
            </w:pPr>
            <w:r>
              <w:rPr>
                <w:sz w:val="15"/>
                <w:szCs w:val="15"/>
              </w:rPr>
              <w:t xml:space="preserve">Calculated</w:t>
            </w:r>
          </w:p>
        </w:tc>
      </w:tr>
    </w:tbl>
    <w:p>
      <w:pPr>
        <w:rPr>
          <w:sz w:val="8"/>
          <w:szCs w:val="8"/>
        </w:rPr>
      </w:pPr>
    </w:p>
    <w:p>
      <w:pPr>
        <w:pStyle w:val="Heading3"/>
      </w:pPr>
      <w:bookmarkStart w:id="46" w:name="_Toc46"/>
      <w:r>
        <w:t>Network</w:t>
      </w:r>
      <w:bookmarkEnd w:id="46"/>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Aggregate display bandwidth</w:t>
            </w:r>
          </w:p>
        </w:tc>
        <w:tc>
          <w:tcPr>
            <w:tcW w:w="3300" w:type="dxa"/>
            <w:noWrap/>
          </w:tcPr>
          <w:p>
            <w:pPr>
              <w:pStyle w:val="cell"/>
            </w:pPr>
            <w:r>
              <w:rPr>
                <w:sz w:val="15"/>
                <w:szCs w:val="15"/>
              </w:rPr>
              <w:t xml:space="preserve">Σ workload aggregate bandwidth</w:t>
            </w:r>
          </w:p>
        </w:tc>
        <w:tc>
          <w:tcPr>
            <w:tcW w:w="5000" w:type="dxa"/>
            <w:noWrap/>
          </w:tcPr>
          <w:p>
            <w:pPr>
              <w:pStyle w:val="cell"/>
            </w:pPr>
            <w:r>
              <w:rPr>
                <w:sz w:val="15"/>
                <w:szCs w:val="15"/>
              </w:rPr>
              <w:t xml:space="preserve">Engineering office users = 500 Mbps [Calculated]; CAD workstations (vGPU) = 937.5 Mbps [Calculated]; Software developers = 450 Mbps [Calculated]</w:t>
            </w:r>
          </w:p>
        </w:tc>
        <w:tc>
          <w:tcPr>
            <w:tcW w:w="1600" w:type="dxa"/>
            <w:noWrap/>
          </w:tcPr>
          <w:p>
            <w:pPr>
              <w:pStyle w:val="cell"/>
            </w:pPr>
            <w:r>
              <w:rPr>
                <w:sz w:val="15"/>
                <w:szCs w:val="15"/>
              </w:rPr>
              <w:t xml:space="preserve">1,887.5 Mbps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External (Internet) display bandwidth</w:t>
            </w:r>
          </w:p>
        </w:tc>
        <w:tc>
          <w:tcPr>
            <w:tcW w:w="3300" w:type="dxa"/>
            <w:shd w:val="clear" w:fill="F3F1EC"/>
            <w:noWrap/>
          </w:tcPr>
          <w:p>
            <w:pPr>
              <w:pStyle w:val="cell"/>
            </w:pPr>
            <w:r>
              <w:rPr>
                <w:sz w:val="15"/>
                <w:szCs w:val="15"/>
              </w:rPr>
              <w:t xml:space="preserve">Σ workload external bandwidth</w:t>
            </w:r>
          </w:p>
        </w:tc>
        <w:tc>
          <w:tcPr>
            <w:tcW w:w="5000" w:type="dxa"/>
            <w:shd w:val="clear" w:fill="F3F1EC"/>
            <w:noWrap/>
          </w:tcPr>
          <w:p>
            <w:pPr>
              <w:pStyle w:val="cell"/>
            </w:pPr>
            <w:r>
              <w:rPr>
                <w:sz w:val="15"/>
                <w:szCs w:val="15"/>
              </w:rPr>
              <w:t xml:space="preserve">Engineering office users = 100 Mbps [Calculated]; CAD workstations (vGPU) = 187.5 Mbps [Calculated]; Software developers = 90 Mbps [Calculated]</w:t>
            </w:r>
          </w:p>
        </w:tc>
        <w:tc>
          <w:tcPr>
            <w:tcW w:w="1600" w:type="dxa"/>
            <w:shd w:val="clear" w:fill="F3F1EC"/>
            <w:noWrap/>
          </w:tcPr>
          <w:p>
            <w:pPr>
              <w:pStyle w:val="cell"/>
            </w:pPr>
            <w:r>
              <w:rPr>
                <w:sz w:val="15"/>
                <w:szCs w:val="15"/>
              </w:rPr>
              <w:t xml:space="preserve">377.5 Mbps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Display bandwidth per active UAG</w:t>
            </w:r>
          </w:p>
        </w:tc>
        <w:tc>
          <w:tcPr>
            <w:tcW w:w="3300" w:type="dxa"/>
            <w:noWrap/>
          </w:tcPr>
          <w:p>
            <w:pPr>
              <w:pStyle w:val="cell"/>
            </w:pPr>
            <w:r>
              <w:rPr>
                <w:sz w:val="15"/>
                <w:szCs w:val="15"/>
              </w:rPr>
              <w:t xml:space="preserve">external bandwidth / active UAG appliances</w:t>
            </w:r>
          </w:p>
        </w:tc>
        <w:tc>
          <w:tcPr>
            <w:tcW w:w="5000" w:type="dxa"/>
            <w:noWrap/>
          </w:tcPr>
          <w:p>
            <w:pPr>
              <w:pStyle w:val="cell"/>
            </w:pPr>
            <w:r>
              <w:rPr>
                <w:sz w:val="15"/>
                <w:szCs w:val="15"/>
              </w:rPr>
              <w:t xml:space="preserve">External bandwidth = 377.5 Mbps [Calculated]; Active UAG appliances = 1 appliances [Calculated]</w:t>
            </w:r>
          </w:p>
        </w:tc>
        <w:tc>
          <w:tcPr>
            <w:tcW w:w="1600" w:type="dxa"/>
            <w:noWrap/>
          </w:tcPr>
          <w:p>
            <w:pPr>
              <w:pStyle w:val="cell"/>
            </w:pPr>
            <w:r>
              <w:rPr>
                <w:sz w:val="15"/>
                <w:szCs w:val="15"/>
              </w:rPr>
              <w:t xml:space="preserve">377.5 Mbps</w:t>
            </w:r>
          </w:p>
        </w:tc>
        <w:tc>
          <w:tcPr>
            <w:tcW w:w="1200" w:type="dxa"/>
            <w:noWrap/>
          </w:tcPr>
          <w:p>
            <w:pPr>
              <w:pStyle w:val="cell"/>
            </w:pPr>
            <w:r>
              <w:rPr>
                <w:sz w:val="15"/>
                <w:szCs w:val="15"/>
              </w:rPr>
              <w:t xml:space="preserve">Calculated</w:t>
            </w:r>
          </w:p>
        </w:tc>
      </w:tr>
    </w:tbl>
    <w:p>
      <w:pPr>
        <w:rPr>
          <w:sz w:val="8"/>
          <w:szCs w:val="8"/>
        </w:rPr>
      </w:pPr>
    </w:p>
    <w:p>
      <w:pPr>
        <w:pStyle w:val="Heading3"/>
      </w:pPr>
      <w:bookmarkStart w:id="47" w:name="_Toc47"/>
      <w:r>
        <w:t>Desktop cluster</w:t>
      </w:r>
      <w:bookmarkEnd w:id="47"/>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Display traffic per host (FTT hosts failed)</w:t>
            </w:r>
          </w:p>
        </w:tc>
        <w:tc>
          <w:tcPr>
            <w:tcW w:w="3300" w:type="dxa"/>
            <w:noWrap/>
          </w:tcPr>
          <w:p>
            <w:pPr>
              <w:pStyle w:val="cell"/>
            </w:pPr>
            <w:r>
              <w:rPr>
                <w:sz w:val="15"/>
                <w:szCs w:val="15"/>
              </w:rPr>
              <w:t xml:space="preserve">group display bandwidth / surviving hosts / 1000</w:t>
            </w:r>
          </w:p>
        </w:tc>
        <w:tc>
          <w:tcPr>
            <w:tcW w:w="5000" w:type="dxa"/>
            <w:noWrap/>
          </w:tcPr>
          <w:p>
            <w:pPr>
              <w:pStyle w:val="cell"/>
            </w:pPr>
            <w:r>
              <w:rPr>
                <w:sz w:val="15"/>
                <w:szCs w:val="15"/>
              </w:rPr>
              <w:t xml:space="preserve">Group display bandwidth = 950 Mbps [Calculated]; Surviving hosts = 21 hosts [Calculated]</w:t>
            </w:r>
          </w:p>
        </w:tc>
        <w:tc>
          <w:tcPr>
            <w:tcW w:w="1600" w:type="dxa"/>
            <w:noWrap/>
          </w:tcPr>
          <w:p>
            <w:pPr>
              <w:pStyle w:val="cell"/>
            </w:pPr>
            <w:r>
              <w:rPr>
                <w:sz w:val="15"/>
                <w:szCs w:val="15"/>
              </w:rPr>
              <w:t xml:space="preserve">0.05 Gbps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Required bandwidth per host</w:t>
            </w:r>
          </w:p>
        </w:tc>
        <w:tc>
          <w:tcPr>
            <w:tcW w:w="3300" w:type="dxa"/>
            <w:shd w:val="clear" w:fill="F3F1EC"/>
            <w:noWrap/>
          </w:tcPr>
          <w:p>
            <w:pPr>
              <w:pStyle w:val="cell"/>
            </w:pPr>
            <w:r>
              <w:rPr>
                <w:sz w:val="15"/>
                <w:szCs w:val="15"/>
              </w:rPr>
              <w:t xml:space="preserve">display + storage + vMotion + management</w:t>
            </w:r>
          </w:p>
        </w:tc>
        <w:tc>
          <w:tcPr>
            <w:tcW w:w="5000" w:type="dxa"/>
            <w:shd w:val="clear" w:fill="F3F1EC"/>
            <w:noWrap/>
          </w:tcPr>
          <w:p>
            <w:pPr>
              <w:pStyle w:val="cell"/>
            </w:pPr>
            <w:r>
              <w:rPr>
                <w:sz w:val="15"/>
                <w:szCs w:val="15"/>
              </w:rPr>
              <w:t xml:space="preserve">Display = 0.05 Gbps [Calculated]; Storage (Ethernet) = 0 Gbps [Calculated]; vMotion allowance = 10 Gbps [Assumption]; Management = 1 Gbps [Assumption]</w:t>
            </w:r>
          </w:p>
        </w:tc>
        <w:tc>
          <w:tcPr>
            <w:tcW w:w="1600" w:type="dxa"/>
            <w:shd w:val="clear" w:fill="F3F1EC"/>
            <w:noWrap/>
          </w:tcPr>
          <w:p>
            <w:pPr>
              <w:pStyle w:val="cell"/>
            </w:pPr>
            <w:r>
              <w:rPr>
                <w:sz w:val="15"/>
                <w:szCs w:val="15"/>
              </w:rPr>
              <w:t xml:space="preserve">11.05 Gbps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Usable uplink capacity per host with one switch/NIC path failed</w:t>
            </w:r>
          </w:p>
        </w:tc>
        <w:tc>
          <w:tcPr>
            <w:tcW w:w="3300" w:type="dxa"/>
            <w:noWrap/>
          </w:tcPr>
          <w:p>
            <w:pPr>
              <w:pStyle w:val="cell"/>
            </w:pPr>
            <w:r>
              <w:rPr>
                <w:sz w:val="15"/>
                <w:szCs w:val="15"/>
              </w:rPr>
              <w:t xml:space="preserve">(NIC ports / 2) × port speed × max utilization% / 100</w:t>
            </w:r>
          </w:p>
        </w:tc>
        <w:tc>
          <w:tcPr>
            <w:tcW w:w="5000" w:type="dxa"/>
            <w:noWrap/>
          </w:tcPr>
          <w:p>
            <w:pPr>
              <w:pStyle w:val="cell"/>
            </w:pPr>
            <w:r>
              <w:rPr>
                <w:sz w:val="15"/>
                <w:szCs w:val="15"/>
              </w:rPr>
              <w:t xml:space="preserve">NIC ports per host = 4 ports [Customer]; Port speed = 25 Gbps [Customer]; Maximum NIC utilization = 70 % [Assumption]</w:t>
            </w:r>
          </w:p>
        </w:tc>
        <w:tc>
          <w:tcPr>
            <w:tcW w:w="1600" w:type="dxa"/>
            <w:noWrap/>
          </w:tcPr>
          <w:p>
            <w:pPr>
              <w:pStyle w:val="cell"/>
            </w:pPr>
            <w:r>
              <w:rPr>
                <w:sz w:val="15"/>
                <w:szCs w:val="15"/>
              </w:rPr>
              <w:t xml:space="preserve">35 Gbps</w:t>
            </w:r>
          </w:p>
        </w:tc>
        <w:tc>
          <w:tcPr>
            <w:tcW w:w="1200" w:type="dxa"/>
            <w:noWrap/>
          </w:tcPr>
          <w:p>
            <w:pPr>
              <w:pStyle w:val="cell"/>
            </w:pPr>
            <w:r>
              <w:rPr>
                <w:sz w:val="15"/>
                <w:szCs w:val="15"/>
              </w:rPr>
              <w:t xml:space="preserve">Calculated</w:t>
            </w:r>
          </w:p>
        </w:tc>
      </w:tr>
    </w:tbl>
    <w:p>
      <w:pPr>
        <w:rPr>
          <w:sz w:val="8"/>
          <w:szCs w:val="8"/>
        </w:rPr>
      </w:pPr>
    </w:p>
    <w:p>
      <w:pPr>
        <w:pStyle w:val="Heading3"/>
      </w:pPr>
      <w:bookmarkStart w:id="48" w:name="_Toc48"/>
      <w:r>
        <w:t>GPU cluster</w:t>
      </w:r>
      <w:bookmarkEnd w:id="48"/>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Display traffic per host (FTT hosts failed)</w:t>
            </w:r>
          </w:p>
        </w:tc>
        <w:tc>
          <w:tcPr>
            <w:tcW w:w="3300" w:type="dxa"/>
            <w:noWrap/>
          </w:tcPr>
          <w:p>
            <w:pPr>
              <w:pStyle w:val="cell"/>
            </w:pPr>
            <w:r>
              <w:rPr>
                <w:sz w:val="15"/>
                <w:szCs w:val="15"/>
              </w:rPr>
              <w:t xml:space="preserve">group display bandwidth / surviving hosts / 1000</w:t>
            </w:r>
          </w:p>
        </w:tc>
        <w:tc>
          <w:tcPr>
            <w:tcW w:w="5000" w:type="dxa"/>
            <w:noWrap/>
          </w:tcPr>
          <w:p>
            <w:pPr>
              <w:pStyle w:val="cell"/>
            </w:pPr>
            <w:r>
              <w:rPr>
                <w:sz w:val="15"/>
                <w:szCs w:val="15"/>
              </w:rPr>
              <w:t xml:space="preserve">Group display bandwidth = 937.5 Mbps [Calculated]; Surviving hosts = 10 hosts [Calculated]</w:t>
            </w:r>
          </w:p>
        </w:tc>
        <w:tc>
          <w:tcPr>
            <w:tcW w:w="1600" w:type="dxa"/>
            <w:noWrap/>
          </w:tcPr>
          <w:p>
            <w:pPr>
              <w:pStyle w:val="cell"/>
            </w:pPr>
            <w:r>
              <w:rPr>
                <w:sz w:val="15"/>
                <w:szCs w:val="15"/>
              </w:rPr>
              <w:t xml:space="preserve">0.09 Gbps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Required bandwidth per host</w:t>
            </w:r>
          </w:p>
        </w:tc>
        <w:tc>
          <w:tcPr>
            <w:tcW w:w="3300" w:type="dxa"/>
            <w:shd w:val="clear" w:fill="F3F1EC"/>
            <w:noWrap/>
          </w:tcPr>
          <w:p>
            <w:pPr>
              <w:pStyle w:val="cell"/>
            </w:pPr>
            <w:r>
              <w:rPr>
                <w:sz w:val="15"/>
                <w:szCs w:val="15"/>
              </w:rPr>
              <w:t xml:space="preserve">display + storage + vMotion + management</w:t>
            </w:r>
          </w:p>
        </w:tc>
        <w:tc>
          <w:tcPr>
            <w:tcW w:w="5000" w:type="dxa"/>
            <w:shd w:val="clear" w:fill="F3F1EC"/>
            <w:noWrap/>
          </w:tcPr>
          <w:p>
            <w:pPr>
              <w:pStyle w:val="cell"/>
            </w:pPr>
            <w:r>
              <w:rPr>
                <w:sz w:val="15"/>
                <w:szCs w:val="15"/>
              </w:rPr>
              <w:t xml:space="preserve">Display = 0.09 Gbps [Calculated]; Storage (Ethernet) = 0 Gbps [Calculated]; vMotion allowance = 10 Gbps [Assumption]; Management = 1 Gbps [Assumption]</w:t>
            </w:r>
          </w:p>
        </w:tc>
        <w:tc>
          <w:tcPr>
            <w:tcW w:w="1600" w:type="dxa"/>
            <w:shd w:val="clear" w:fill="F3F1EC"/>
            <w:noWrap/>
          </w:tcPr>
          <w:p>
            <w:pPr>
              <w:pStyle w:val="cell"/>
            </w:pPr>
            <w:r>
              <w:rPr>
                <w:sz w:val="15"/>
                <w:szCs w:val="15"/>
              </w:rPr>
              <w:t xml:space="preserve">11.09 Gbps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Usable uplink capacity per host with one switch/NIC path failed</w:t>
            </w:r>
          </w:p>
        </w:tc>
        <w:tc>
          <w:tcPr>
            <w:tcW w:w="3300" w:type="dxa"/>
            <w:noWrap/>
          </w:tcPr>
          <w:p>
            <w:pPr>
              <w:pStyle w:val="cell"/>
            </w:pPr>
            <w:r>
              <w:rPr>
                <w:sz w:val="15"/>
                <w:szCs w:val="15"/>
              </w:rPr>
              <w:t xml:space="preserve">(NIC ports / 2) × port speed × max utilization% / 100</w:t>
            </w:r>
          </w:p>
        </w:tc>
        <w:tc>
          <w:tcPr>
            <w:tcW w:w="5000" w:type="dxa"/>
            <w:noWrap/>
          </w:tcPr>
          <w:p>
            <w:pPr>
              <w:pStyle w:val="cell"/>
            </w:pPr>
            <w:r>
              <w:rPr>
                <w:sz w:val="15"/>
                <w:szCs w:val="15"/>
              </w:rPr>
              <w:t xml:space="preserve">NIC ports per host = 4 ports [Customer]; Port speed = 25 Gbps [Customer]; Maximum NIC utilization = 70 % [Assumption]</w:t>
            </w:r>
          </w:p>
        </w:tc>
        <w:tc>
          <w:tcPr>
            <w:tcW w:w="1600" w:type="dxa"/>
            <w:noWrap/>
          </w:tcPr>
          <w:p>
            <w:pPr>
              <w:pStyle w:val="cell"/>
            </w:pPr>
            <w:r>
              <w:rPr>
                <w:sz w:val="15"/>
                <w:szCs w:val="15"/>
              </w:rPr>
              <w:t xml:space="preserve">35 Gbps</w:t>
            </w:r>
          </w:p>
        </w:tc>
        <w:tc>
          <w:tcPr>
            <w:tcW w:w="1200" w:type="dxa"/>
            <w:noWrap/>
          </w:tcPr>
          <w:p>
            <w:pPr>
              <w:pStyle w:val="cell"/>
            </w:pPr>
            <w:r>
              <w:rPr>
                <w:sz w:val="15"/>
                <w:szCs w:val="15"/>
              </w:rPr>
              <w:t xml:space="preserve">Calculated</w:t>
            </w:r>
          </w:p>
        </w:tc>
      </w:tr>
    </w:tbl>
    <w:p>
      <w:pPr>
        <w:rPr>
          <w:sz w:val="8"/>
          <w:szCs w:val="8"/>
        </w:rPr>
      </w:pPr>
    </w:p>
    <w:p>
      <w:pPr>
        <w:pStyle w:val="Heading3"/>
      </w:pPr>
      <w:bookmarkStart w:id="49" w:name="_Toc49"/>
      <w:r>
        <w:t>Management cluster</w:t>
      </w:r>
      <w:bookmarkEnd w:id="49"/>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Display traffic per host (FTT hosts failed)</w:t>
            </w:r>
          </w:p>
        </w:tc>
        <w:tc>
          <w:tcPr>
            <w:tcW w:w="3300" w:type="dxa"/>
            <w:noWrap/>
          </w:tcPr>
          <w:p>
            <w:pPr>
              <w:pStyle w:val="cell"/>
            </w:pPr>
            <w:r>
              <w:rPr>
                <w:sz w:val="15"/>
                <w:szCs w:val="15"/>
              </w:rPr>
              <w:t xml:space="preserve">group display bandwidth / surviving hosts / 1000</w:t>
            </w:r>
          </w:p>
        </w:tc>
        <w:tc>
          <w:tcPr>
            <w:tcW w:w="5000" w:type="dxa"/>
            <w:noWrap/>
          </w:tcPr>
          <w:p>
            <w:pPr>
              <w:pStyle w:val="cell"/>
            </w:pPr>
            <w:r>
              <w:rPr>
                <w:sz w:val="15"/>
                <w:szCs w:val="15"/>
              </w:rPr>
              <w:t xml:space="preserve">Group display bandwidth = 0 Mbps [Calculated]; Surviving hosts = 1 hosts [Calculated]</w:t>
            </w:r>
          </w:p>
        </w:tc>
        <w:tc>
          <w:tcPr>
            <w:tcW w:w="1600" w:type="dxa"/>
            <w:noWrap/>
          </w:tcPr>
          <w:p>
            <w:pPr>
              <w:pStyle w:val="cell"/>
            </w:pPr>
            <w:r>
              <w:rPr>
                <w:sz w:val="15"/>
                <w:szCs w:val="15"/>
              </w:rPr>
              <w:t xml:space="preserve">0 Gbps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Required bandwidth per host</w:t>
            </w:r>
          </w:p>
        </w:tc>
        <w:tc>
          <w:tcPr>
            <w:tcW w:w="3300" w:type="dxa"/>
            <w:shd w:val="clear" w:fill="F3F1EC"/>
            <w:noWrap/>
          </w:tcPr>
          <w:p>
            <w:pPr>
              <w:pStyle w:val="cell"/>
            </w:pPr>
            <w:r>
              <w:rPr>
                <w:sz w:val="15"/>
                <w:szCs w:val="15"/>
              </w:rPr>
              <w:t xml:space="preserve">display + storage + vMotion + management</w:t>
            </w:r>
          </w:p>
        </w:tc>
        <w:tc>
          <w:tcPr>
            <w:tcW w:w="5000" w:type="dxa"/>
            <w:shd w:val="clear" w:fill="F3F1EC"/>
            <w:noWrap/>
          </w:tcPr>
          <w:p>
            <w:pPr>
              <w:pStyle w:val="cell"/>
            </w:pPr>
            <w:r>
              <w:rPr>
                <w:sz w:val="15"/>
                <w:szCs w:val="15"/>
              </w:rPr>
              <w:t xml:space="preserve">Display = 0 Gbps [Calculated]; Storage (Ethernet) = 0 Gbps [Calculated]; vMotion allowance = 10 Gbps [Assumption]; Management = 1 Gbps [Assumption]</w:t>
            </w:r>
          </w:p>
        </w:tc>
        <w:tc>
          <w:tcPr>
            <w:tcW w:w="1600" w:type="dxa"/>
            <w:shd w:val="clear" w:fill="F3F1EC"/>
            <w:noWrap/>
          </w:tcPr>
          <w:p>
            <w:pPr>
              <w:pStyle w:val="cell"/>
            </w:pPr>
            <w:r>
              <w:rPr>
                <w:sz w:val="15"/>
                <w:szCs w:val="15"/>
              </w:rPr>
              <w:t xml:space="preserve">11 Gbps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Usable uplink capacity per host with one switch/NIC path failed</w:t>
            </w:r>
          </w:p>
        </w:tc>
        <w:tc>
          <w:tcPr>
            <w:tcW w:w="3300" w:type="dxa"/>
            <w:noWrap/>
          </w:tcPr>
          <w:p>
            <w:pPr>
              <w:pStyle w:val="cell"/>
            </w:pPr>
            <w:r>
              <w:rPr>
                <w:sz w:val="15"/>
                <w:szCs w:val="15"/>
              </w:rPr>
              <w:t xml:space="preserve">(NIC ports / 2) × port speed × max utilization% / 100</w:t>
            </w:r>
          </w:p>
        </w:tc>
        <w:tc>
          <w:tcPr>
            <w:tcW w:w="5000" w:type="dxa"/>
            <w:noWrap/>
          </w:tcPr>
          <w:p>
            <w:pPr>
              <w:pStyle w:val="cell"/>
            </w:pPr>
            <w:r>
              <w:rPr>
                <w:sz w:val="15"/>
                <w:szCs w:val="15"/>
              </w:rPr>
              <w:t xml:space="preserve">NIC ports per host = 4 ports [Customer]; Port speed = 25 Gbps [Customer]; Maximum NIC utilization = 70 % [Assumption]</w:t>
            </w:r>
          </w:p>
        </w:tc>
        <w:tc>
          <w:tcPr>
            <w:tcW w:w="1600" w:type="dxa"/>
            <w:noWrap/>
          </w:tcPr>
          <w:p>
            <w:pPr>
              <w:pStyle w:val="cell"/>
            </w:pPr>
            <w:r>
              <w:rPr>
                <w:sz w:val="15"/>
                <w:szCs w:val="15"/>
              </w:rPr>
              <w:t xml:space="preserve">35 Gbps</w:t>
            </w:r>
          </w:p>
        </w:tc>
        <w:tc>
          <w:tcPr>
            <w:tcW w:w="1200" w:type="dxa"/>
            <w:noWrap/>
          </w:tcPr>
          <w:p>
            <w:pPr>
              <w:pStyle w:val="cell"/>
            </w:pPr>
            <w:r>
              <w:rPr>
                <w:sz w:val="15"/>
                <w:szCs w:val="15"/>
              </w:rPr>
              <w:t xml:space="preserve">Calculated</w:t>
            </w:r>
          </w:p>
        </w:tc>
      </w:tr>
    </w:tbl>
    <w:p>
      <w:pPr>
        <w:rPr>
          <w:sz w:val="8"/>
          <w:szCs w:val="8"/>
        </w:rPr>
      </w:pPr>
    </w:p>
    <w:p>
      <w:pPr>
        <w:pStyle w:val="Heading3"/>
      </w:pPr>
      <w:bookmarkStart w:id="50" w:name="_Toc50"/>
      <w:r>
        <w:t>Switching</w:t>
      </w:r>
      <w:bookmarkEnd w:id="50"/>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Data ports per ToR switch (A/B)</w:t>
            </w:r>
          </w:p>
        </w:tc>
        <w:tc>
          <w:tcPr>
            <w:tcW w:w="3300" w:type="dxa"/>
            <w:noWrap/>
          </w:tcPr>
          <w:p>
            <w:pPr>
              <w:pStyle w:val="cell"/>
            </w:pPr>
            <w:r>
              <w:rPr>
                <w:sz w:val="15"/>
                <w:szCs w:val="15"/>
              </w:rPr>
              <w:t xml:space="preserve">ceil((host data ports + array Ethernet ports) / 2)</w:t>
            </w:r>
          </w:p>
        </w:tc>
        <w:tc>
          <w:tcPr>
            <w:tcW w:w="5000" w:type="dxa"/>
            <w:noWrap/>
          </w:tcPr>
          <w:p>
            <w:pPr>
              <w:pStyle w:val="cell"/>
            </w:pPr>
            <w:r>
              <w:rPr>
                <w:sz w:val="15"/>
                <w:szCs w:val="15"/>
              </w:rPr>
              <w:t xml:space="preserve">Host data ports = 140 ports [Calculated]; Array Ethernet ports = 0 ports [Calculated]</w:t>
            </w:r>
          </w:p>
        </w:tc>
        <w:tc>
          <w:tcPr>
            <w:tcW w:w="1600" w:type="dxa"/>
            <w:noWrap/>
          </w:tcPr>
          <w:p>
            <w:pPr>
              <w:pStyle w:val="cell"/>
            </w:pPr>
            <w:r>
              <w:rPr>
                <w:sz w:val="15"/>
                <w:szCs w:val="15"/>
              </w:rPr>
              <w:t xml:space="preserve">70 ports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ToR switch pairs</w:t>
            </w:r>
          </w:p>
        </w:tc>
        <w:tc>
          <w:tcPr>
            <w:tcW w:w="3300" w:type="dxa"/>
            <w:shd w:val="clear" w:fill="F3F1EC"/>
            <w:noWrap/>
          </w:tcPr>
          <w:p>
            <w:pPr>
              <w:pStyle w:val="cell"/>
            </w:pPr>
            <w:r>
              <w:rPr>
                <w:sz w:val="15"/>
                <w:szCs w:val="15"/>
              </w:rPr>
              <w:t xml:space="preserve">ceil(ports per switch / (switch ports − uplinks))</w:t>
            </w:r>
          </w:p>
        </w:tc>
        <w:tc>
          <w:tcPr>
            <w:tcW w:w="5000" w:type="dxa"/>
            <w:shd w:val="clear" w:fill="F3F1EC"/>
            <w:noWrap/>
          </w:tcPr>
          <w:p>
            <w:pPr>
              <w:pStyle w:val="cell"/>
            </w:pPr>
            <w:r>
              <w:rPr>
                <w:sz w:val="15"/>
                <w:szCs w:val="15"/>
              </w:rPr>
              <w:t xml:space="preserve">Data ports per switch = 70 ports [Calculated]; Ports per ToR switch = 48 ports [Customer]; Uplinks per switch = 4 ports [Assumption]</w:t>
            </w:r>
          </w:p>
        </w:tc>
        <w:tc>
          <w:tcPr>
            <w:tcW w:w="1600" w:type="dxa"/>
            <w:shd w:val="clear" w:fill="F3F1EC"/>
            <w:noWrap/>
          </w:tcPr>
          <w:p>
            <w:pPr>
              <w:pStyle w:val="cell"/>
            </w:pPr>
            <w:r>
              <w:rPr>
                <w:sz w:val="15"/>
                <w:szCs w:val="15"/>
              </w:rPr>
              <w:t xml:space="preserve">2 pairs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ToR uplink oversubscription</w:t>
            </w:r>
          </w:p>
        </w:tc>
        <w:tc>
          <w:tcPr>
            <w:tcW w:w="3300" w:type="dxa"/>
            <w:noWrap/>
          </w:tcPr>
          <w:p>
            <w:pPr>
              <w:pStyle w:val="cell"/>
            </w:pPr>
            <w:r>
              <w:rPr>
                <w:sz w:val="15"/>
                <w:szCs w:val="15"/>
              </w:rPr>
              <w:t xml:space="preserve">(downlink ports per switch × port speed) / (uplinks × uplink speed)</w:t>
            </w:r>
          </w:p>
        </w:tc>
        <w:tc>
          <w:tcPr>
            <w:tcW w:w="5000" w:type="dxa"/>
            <w:noWrap/>
          </w:tcPr>
          <w:p>
            <w:pPr>
              <w:pStyle w:val="cell"/>
            </w:pPr>
            <w:r>
              <w:rPr>
                <w:sz w:val="15"/>
                <w:szCs w:val="15"/>
              </w:rPr>
              <w:t xml:space="preserve">Downlink bandwidth per switch = 875 Gbps [Calculated]; Uplinks per switch = 4 ports [Assumption]; Uplink speed = 100 Gbps [Customer]</w:t>
            </w:r>
          </w:p>
        </w:tc>
        <w:tc>
          <w:tcPr>
            <w:tcW w:w="1600" w:type="dxa"/>
            <w:noWrap/>
          </w:tcPr>
          <w:p>
            <w:pPr>
              <w:pStyle w:val="cell"/>
            </w:pPr>
            <w:r>
              <w:rPr>
                <w:sz w:val="15"/>
                <w:szCs w:val="15"/>
              </w:rPr>
              <w:t xml:space="preserve">2.19 :1</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Out-of-band management ports</w:t>
            </w:r>
          </w:p>
        </w:tc>
        <w:tc>
          <w:tcPr>
            <w:tcW w:w="3300" w:type="dxa"/>
            <w:shd w:val="clear" w:fill="F3F1EC"/>
            <w:noWrap/>
          </w:tcPr>
          <w:p>
            <w:pPr>
              <w:pStyle w:val="cell"/>
            </w:pPr>
            <w:r>
              <w:rPr>
                <w:sz w:val="15"/>
                <w:szCs w:val="15"/>
              </w:rPr>
              <w:t xml:space="preserve">hosts × BMC ports + switch management ports + array management ports</w:t>
            </w:r>
          </w:p>
        </w:tc>
        <w:tc>
          <w:tcPr>
            <w:tcW w:w="5000" w:type="dxa"/>
            <w:shd w:val="clear" w:fill="F3F1EC"/>
            <w:noWrap/>
          </w:tcPr>
          <w:p>
            <w:pPr>
              <w:pStyle w:val="cell"/>
            </w:pPr>
            <w:r>
              <w:rPr>
                <w:sz w:val="15"/>
                <w:szCs w:val="15"/>
              </w:rPr>
              <w:t xml:space="preserve">Hosts = 35 hosts [Calculated]; BMC ports per host = 1 ports [Assumption]; Switch management ports = 4 ports [Calculated]</w:t>
            </w:r>
          </w:p>
        </w:tc>
        <w:tc>
          <w:tcPr>
            <w:tcW w:w="1600" w:type="dxa"/>
            <w:shd w:val="clear" w:fill="F3F1EC"/>
            <w:noWrap/>
          </w:tcPr>
          <w:p>
            <w:pPr>
              <w:pStyle w:val="cell"/>
            </w:pPr>
            <w:r>
              <w:rPr>
                <w:sz w:val="15"/>
                <w:szCs w:val="15"/>
              </w:rPr>
              <w:t xml:space="preserve">41 ports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Out-of-band switches</w:t>
            </w:r>
          </w:p>
        </w:tc>
        <w:tc>
          <w:tcPr>
            <w:tcW w:w="3300" w:type="dxa"/>
            <w:noWrap/>
          </w:tcPr>
          <w:p>
            <w:pPr>
              <w:pStyle w:val="cell"/>
            </w:pPr>
            <w:r>
              <w:rPr>
                <w:sz w:val="15"/>
                <w:szCs w:val="15"/>
              </w:rPr>
              <w:t xml:space="preserve">ceil(OOB ports / ports per OOB switch)</w:t>
            </w:r>
          </w:p>
        </w:tc>
        <w:tc>
          <w:tcPr>
            <w:tcW w:w="5000" w:type="dxa"/>
            <w:noWrap/>
          </w:tcPr>
          <w:p>
            <w:pPr>
              <w:pStyle w:val="cell"/>
            </w:pPr>
            <w:r>
              <w:rPr>
                <w:sz w:val="15"/>
                <w:szCs w:val="15"/>
              </w:rPr>
              <w:t xml:space="preserve">OOB ports = 41 ports [Calculated]; Ports per OOB switch = 48 ports [Customer]</w:t>
            </w:r>
          </w:p>
        </w:tc>
        <w:tc>
          <w:tcPr>
            <w:tcW w:w="1600" w:type="dxa"/>
            <w:noWrap/>
          </w:tcPr>
          <w:p>
            <w:pPr>
              <w:pStyle w:val="cell"/>
            </w:pPr>
            <w:r>
              <w:rPr>
                <w:sz w:val="15"/>
                <w:szCs w:val="15"/>
              </w:rPr>
              <w:t xml:space="preserve">1 switches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FC ports per fabric</w:t>
            </w:r>
          </w:p>
        </w:tc>
        <w:tc>
          <w:tcPr>
            <w:tcW w:w="3300" w:type="dxa"/>
            <w:shd w:val="clear" w:fill="F3F1EC"/>
            <w:noWrap/>
          </w:tcPr>
          <w:p>
            <w:pPr>
              <w:pStyle w:val="cell"/>
            </w:pPr>
            <w:r>
              <w:rPr>
                <w:sz w:val="15"/>
                <w:szCs w:val="15"/>
              </w:rPr>
              <w:t xml:space="preserve">hosts × HBA ports / 2 + array ports per fabric</w:t>
            </w:r>
          </w:p>
        </w:tc>
        <w:tc>
          <w:tcPr>
            <w:tcW w:w="5000" w:type="dxa"/>
            <w:shd w:val="clear" w:fill="F3F1EC"/>
            <w:noWrap/>
          </w:tcPr>
          <w:p>
            <w:pPr>
              <w:pStyle w:val="cell"/>
            </w:pPr>
            <w:r>
              <w:rPr>
                <w:sz w:val="15"/>
                <w:szCs w:val="15"/>
              </w:rPr>
              <w:t xml:space="preserve">Hosts = 35 hosts [Calculated]; HBA ports per host = 2 ports [Customer]; Array front-end ports per fabric = 4 ports [Validate]</w:t>
            </w:r>
          </w:p>
        </w:tc>
        <w:tc>
          <w:tcPr>
            <w:tcW w:w="1600" w:type="dxa"/>
            <w:shd w:val="clear" w:fill="F3F1EC"/>
            <w:noWrap/>
          </w:tcPr>
          <w:p>
            <w:pPr>
              <w:pStyle w:val="cell"/>
            </w:pPr>
            <w:r>
              <w:rPr>
                <w:sz w:val="15"/>
                <w:szCs w:val="15"/>
              </w:rPr>
              <w:t xml:space="preserve">39 ports</w:t>
            </w:r>
          </w:p>
        </w:tc>
        <w:tc>
          <w:tcPr>
            <w:tcW w:w="1200" w:type="dxa"/>
            <w:shd w:val="clear" w:fill="F3F1EC"/>
            <w:noWrap/>
          </w:tcPr>
          <w:p>
            <w:pPr>
              <w:pStyle w:val="cell"/>
            </w:pPr>
            <w:r>
              <w:rPr>
                <w:sz w:val="15"/>
                <w:szCs w:val="15"/>
              </w:rPr>
              <w:t xml:space="preserve">Calculated</w:t>
            </w:r>
          </w:p>
        </w:tc>
      </w:tr>
      <w:tr>
        <w:trPr>
          <w:cantSplit w:val="1"/>
        </w:trPr>
        <w:tc>
          <w:tcPr>
            <w:tcW w:w="2600" w:type="dxa"/>
            <w:noWrap/>
          </w:tcPr>
          <w:p>
            <w:pPr>
              <w:pStyle w:val="cell"/>
            </w:pPr>
            <w:r>
              <w:rPr>
                <w:sz w:val="15"/>
                <w:szCs w:val="15"/>
              </w:rPr>
              <w:t xml:space="preserve">FC switches (two fabrics)</w:t>
            </w:r>
          </w:p>
        </w:tc>
        <w:tc>
          <w:tcPr>
            <w:tcW w:w="3300" w:type="dxa"/>
            <w:noWrap/>
          </w:tcPr>
          <w:p>
            <w:pPr>
              <w:pStyle w:val="cell"/>
            </w:pPr>
            <w:r>
              <w:rPr>
                <w:sz w:val="15"/>
                <w:szCs w:val="15"/>
              </w:rPr>
              <w:t xml:space="preserve">2 × ceil(ports per fabric / ports per FC switch)</w:t>
            </w:r>
          </w:p>
        </w:tc>
        <w:tc>
          <w:tcPr>
            <w:tcW w:w="5000" w:type="dxa"/>
            <w:noWrap/>
          </w:tcPr>
          <w:p>
            <w:pPr>
              <w:pStyle w:val="cell"/>
            </w:pPr>
            <w:r>
              <w:rPr>
                <w:sz w:val="15"/>
                <w:szCs w:val="15"/>
              </w:rPr>
              <w:t xml:space="preserve">FC ports per fabric = 39 ports [Calculated]; Ports per FC switch = 48 ports [Customer]</w:t>
            </w:r>
          </w:p>
        </w:tc>
        <w:tc>
          <w:tcPr>
            <w:tcW w:w="1600" w:type="dxa"/>
            <w:noWrap/>
          </w:tcPr>
          <w:p>
            <w:pPr>
              <w:pStyle w:val="cell"/>
            </w:pPr>
            <w:r>
              <w:rPr>
                <w:sz w:val="15"/>
                <w:szCs w:val="15"/>
              </w:rPr>
              <w:t xml:space="preserve">2 switches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Ethernet transceivers</w:t>
            </w:r>
          </w:p>
        </w:tc>
        <w:tc>
          <w:tcPr>
            <w:tcW w:w="3300" w:type="dxa"/>
            <w:shd w:val="clear" w:fill="F3F1EC"/>
            <w:noWrap/>
          </w:tcPr>
          <w:p>
            <w:pPr>
              <w:pStyle w:val="cell"/>
            </w:pPr>
            <w:r>
              <w:rPr>
                <w:sz w:val="15"/>
                <w:szCs w:val="15"/>
              </w:rPr>
              <w:t xml:space="preserve">2 × uplink links</w:t>
            </w:r>
          </w:p>
        </w:tc>
        <w:tc>
          <w:tcPr>
            <w:tcW w:w="5000" w:type="dxa"/>
            <w:shd w:val="clear" w:fill="F3F1EC"/>
            <w:noWrap/>
          </w:tcPr>
          <w:p>
            <w:pPr>
              <w:pStyle w:val="cell"/>
            </w:pPr>
            <w:r>
              <w:rPr>
                <w:sz w:val="15"/>
                <w:szCs w:val="15"/>
              </w:rPr>
              <w:t xml:space="preserve">Host/array links = 140 links [Calculated]; Uplink links = 16 links [Calculated]; Host cabling = DAC [Customer]</w:t>
            </w:r>
          </w:p>
        </w:tc>
        <w:tc>
          <w:tcPr>
            <w:tcW w:w="1600" w:type="dxa"/>
            <w:shd w:val="clear" w:fill="F3F1EC"/>
            <w:noWrap/>
          </w:tcPr>
          <w:p>
            <w:pPr>
              <w:pStyle w:val="cell"/>
            </w:pPr>
            <w:r>
              <w:rPr>
                <w:sz w:val="15"/>
                <w:szCs w:val="15"/>
              </w:rPr>
              <w:t xml:space="preserve">32 transceivers</w:t>
            </w:r>
          </w:p>
        </w:tc>
        <w:tc>
          <w:tcPr>
            <w:tcW w:w="1200" w:type="dxa"/>
            <w:shd w:val="clear" w:fill="F3F1EC"/>
            <w:noWrap/>
          </w:tcPr>
          <w:p>
            <w:pPr>
              <w:pStyle w:val="cell"/>
            </w:pPr>
            <w:r>
              <w:rPr>
                <w:sz w:val="15"/>
                <w:szCs w:val="15"/>
              </w:rPr>
              <w:t xml:space="preserve">Calculated</w:t>
            </w:r>
          </w:p>
        </w:tc>
      </w:tr>
    </w:tbl>
    <w:p>
      <w:pPr>
        <w:rPr>
          <w:sz w:val="8"/>
          <w:szCs w:val="8"/>
        </w:rPr>
      </w:pPr>
    </w:p>
    <w:p>
      <w:pPr>
        <w:pStyle w:val="Heading3"/>
      </w:pPr>
      <w:bookmarkStart w:id="51" w:name="_Toc51"/>
      <w:r>
        <w:t>IP addressing</w:t>
      </w:r>
      <w:bookmarkEnd w:id="51"/>
    </w:p>
    <w:tbl>
      <w:tblGrid>
        <w:gridCol w:w="2600" w:type="dxa"/>
        <w:gridCol w:w="3300" w:type="dxa"/>
        <w:gridCol w:w="5000" w:type="dxa"/>
        <w:gridCol w:w="1600" w:type="dxa"/>
        <w:gridCol w:w="1200" w:type="dxa"/>
      </w:tblGrid>
      <w:tblPr>
        <w:tblStyle w:val="grid"/>
      </w:tblPr>
      <w:tr>
        <w:trPr>
          <w:tblHeader w:val="1"/>
          <w:cantSplit w:val="1"/>
        </w:trPr>
        <w:tc>
          <w:tcPr>
            <w:tcW w:w="2600" w:type="dxa"/>
            <w:shd w:val="clear" w:fill="0B0B0B"/>
            <w:noWrap/>
          </w:tcPr>
          <w:p>
            <w:pPr>
              <w:pStyle w:val="cell"/>
            </w:pPr>
            <w:r>
              <w:rPr>
                <w:color w:val="FFFFFF"/>
                <w:sz w:val="15"/>
                <w:szCs w:val="15"/>
                <w:b w:val="1"/>
                <w:bCs w:val="1"/>
              </w:rPr>
              <w:t xml:space="preserve">Step</w:t>
            </w:r>
          </w:p>
        </w:tc>
        <w:tc>
          <w:tcPr>
            <w:tcW w:w="3300" w:type="dxa"/>
            <w:shd w:val="clear" w:fill="0B0B0B"/>
            <w:noWrap/>
          </w:tcPr>
          <w:p>
            <w:pPr>
              <w:pStyle w:val="cell"/>
            </w:pPr>
            <w:r>
              <w:rPr>
                <w:color w:val="FFFFFF"/>
                <w:sz w:val="15"/>
                <w:szCs w:val="15"/>
                <w:b w:val="1"/>
                <w:bCs w:val="1"/>
              </w:rPr>
              <w:t xml:space="preserve">Formula</w:t>
            </w:r>
          </w:p>
        </w:tc>
        <w:tc>
          <w:tcPr>
            <w:tcW w:w="5000" w:type="dxa"/>
            <w:shd w:val="clear" w:fill="0B0B0B"/>
            <w:noWrap/>
          </w:tcPr>
          <w:p>
            <w:pPr>
              <w:pStyle w:val="cell"/>
            </w:pPr>
            <w:r>
              <w:rPr>
                <w:color w:val="FFFFFF"/>
                <w:sz w:val="15"/>
                <w:szCs w:val="15"/>
                <w:b w:val="1"/>
                <w:bCs w:val="1"/>
              </w:rPr>
              <w:t xml:space="preserve">Inputs</w:t>
            </w:r>
          </w:p>
        </w:tc>
        <w:tc>
          <w:tcPr>
            <w:tcW w:w="1600" w:type="dxa"/>
            <w:shd w:val="clear" w:fill="0B0B0B"/>
            <w:noWrap/>
          </w:tcPr>
          <w:p>
            <w:pPr>
              <w:pStyle w:val="cell"/>
            </w:pPr>
            <w:r>
              <w:rPr>
                <w:color w:val="FFFFFF"/>
                <w:sz w:val="15"/>
                <w:szCs w:val="15"/>
                <w:b w:val="1"/>
                <w:bCs w:val="1"/>
              </w:rPr>
              <w:t xml:space="preserve">Result</w:t>
            </w:r>
          </w:p>
        </w:tc>
        <w:tc>
          <w:tcPr>
            <w:tcW w:w="1200" w:type="dxa"/>
            <w:shd w:val="clear" w:fill="0B0B0B"/>
            <w:noWrap/>
          </w:tcPr>
          <w:p>
            <w:pPr>
              <w:pStyle w:val="cell"/>
            </w:pPr>
            <w:r>
              <w:rPr>
                <w:color w:val="FFFFFF"/>
                <w:sz w:val="15"/>
                <w:szCs w:val="15"/>
                <w:b w:val="1"/>
                <w:bCs w:val="1"/>
              </w:rPr>
              <w:t xml:space="preserve">Class</w:t>
            </w:r>
          </w:p>
        </w:tc>
      </w:tr>
      <w:tr>
        <w:trPr>
          <w:cantSplit w:val="1"/>
        </w:trPr>
        <w:tc>
          <w:tcPr>
            <w:tcW w:w="2600" w:type="dxa"/>
            <w:noWrap/>
          </w:tcPr>
          <w:p>
            <w:pPr>
              <w:pStyle w:val="cell"/>
            </w:pPr>
            <w:r>
              <w:rPr>
                <w:sz w:val="15"/>
                <w:szCs w:val="15"/>
              </w:rPr>
              <w:t xml:space="preserve">Desktop / RDS host IP addresses (DHCP)</w:t>
            </w:r>
          </w:p>
        </w:tc>
        <w:tc>
          <w:tcPr>
            <w:tcW w:w="3300" w:type="dxa"/>
            <w:noWrap/>
          </w:tcPr>
          <w:p>
            <w:pPr>
              <w:pStyle w:val="cell"/>
            </w:pPr>
            <w:r>
              <w:rPr>
                <w:sz w:val="15"/>
                <w:szCs w:val="15"/>
              </w:rPr>
              <w:t xml:space="preserve">ceil(desktops and RDS hosts × (1 + reserve% / 100))</w:t>
            </w:r>
          </w:p>
        </w:tc>
        <w:tc>
          <w:tcPr>
            <w:tcW w:w="5000" w:type="dxa"/>
            <w:noWrap/>
          </w:tcPr>
          <w:p>
            <w:pPr>
              <w:pStyle w:val="cell"/>
            </w:pPr>
            <w:r>
              <w:rPr>
                <w:sz w:val="15"/>
                <w:szCs w:val="15"/>
              </w:rPr>
              <w:t xml:space="preserve">Desktops and RDS hosts = 3,050 VMs [Calculated]; Scope reserve = 20 % [Assumption]</w:t>
            </w:r>
          </w:p>
        </w:tc>
        <w:tc>
          <w:tcPr>
            <w:tcW w:w="1600" w:type="dxa"/>
            <w:noWrap/>
          </w:tcPr>
          <w:p>
            <w:pPr>
              <w:pStyle w:val="cell"/>
            </w:pPr>
            <w:r>
              <w:rPr>
                <w:sz w:val="15"/>
                <w:szCs w:val="15"/>
              </w:rPr>
              <w:t xml:space="preserve">3,660 addresses</w:t>
            </w:r>
          </w:p>
        </w:tc>
        <w:tc>
          <w:tcPr>
            <w:tcW w:w="1200" w:type="dxa"/>
            <w:noWrap/>
          </w:tcPr>
          <w:p>
            <w:pPr>
              <w:pStyle w:val="cell"/>
            </w:pPr>
            <w:r>
              <w:rPr>
                <w:sz w:val="15"/>
                <w:szCs w:val="15"/>
              </w:rPr>
              <w:t xml:space="preserve">Calculated</w:t>
            </w:r>
          </w:p>
        </w:tc>
      </w:tr>
      <w:tr>
        <w:trPr>
          <w:cantSplit w:val="1"/>
        </w:trPr>
        <w:tc>
          <w:tcPr>
            <w:tcW w:w="2600" w:type="dxa"/>
            <w:shd w:val="clear" w:fill="F3F1EC"/>
            <w:noWrap/>
          </w:tcPr>
          <w:p>
            <w:pPr>
              <w:pStyle w:val="cell"/>
            </w:pPr>
            <w:r>
              <w:rPr>
                <w:sz w:val="15"/>
                <w:szCs w:val="15"/>
              </w:rPr>
              <w:t xml:space="preserve">Desktop subnets / DHCP scopes</w:t>
            </w:r>
          </w:p>
        </w:tc>
        <w:tc>
          <w:tcPr>
            <w:tcW w:w="3300" w:type="dxa"/>
            <w:shd w:val="clear" w:fill="F3F1EC"/>
            <w:noWrap/>
          </w:tcPr>
          <w:p>
            <w:pPr>
              <w:pStyle w:val="cell"/>
            </w:pPr>
            <w:r>
              <w:rPr>
                <w:sz w:val="15"/>
                <w:szCs w:val="15"/>
              </w:rPr>
              <w:t xml:space="preserve">ceil(addresses / usable addresses per /23)</w:t>
            </w:r>
          </w:p>
        </w:tc>
        <w:tc>
          <w:tcPr>
            <w:tcW w:w="5000" w:type="dxa"/>
            <w:shd w:val="clear" w:fill="F3F1EC"/>
            <w:noWrap/>
          </w:tcPr>
          <w:p>
            <w:pPr>
              <w:pStyle w:val="cell"/>
            </w:pPr>
            <w:r>
              <w:rPr>
                <w:sz w:val="15"/>
                <w:szCs w:val="15"/>
              </w:rPr>
              <w:t xml:space="preserve">Addresses required = 3,660 addresses [Calculated]; Usable addresses per /23 (network, broadcast, gateway excluded) = 509 addresses [Calculated]</w:t>
            </w:r>
          </w:p>
        </w:tc>
        <w:tc>
          <w:tcPr>
            <w:tcW w:w="1600" w:type="dxa"/>
            <w:shd w:val="clear" w:fill="F3F1EC"/>
            <w:noWrap/>
          </w:tcPr>
          <w:p>
            <w:pPr>
              <w:pStyle w:val="cell"/>
            </w:pPr>
            <w:r>
              <w:rPr>
                <w:sz w:val="15"/>
                <w:szCs w:val="15"/>
              </w:rPr>
              <w:t xml:space="preserve">8 subnets</w:t>
            </w:r>
          </w:p>
        </w:tc>
        <w:tc>
          <w:tcPr>
            <w:tcW w:w="1200" w:type="dxa"/>
            <w:shd w:val="clear" w:fill="F3F1EC"/>
            <w:noWrap/>
          </w:tcPr>
          <w:p>
            <w:pPr>
              <w:pStyle w:val="cell"/>
            </w:pPr>
            <w:r>
              <w:rPr>
                <w:sz w:val="15"/>
                <w:szCs w:val="15"/>
              </w:rPr>
              <w:t xml:space="preserve">Calculated</w:t>
            </w:r>
          </w:p>
        </w:tc>
      </w:tr>
    </w:tbl>
    <w:p>
      <w:pPr>
        <w:rPr>
          <w:sz w:val="8"/>
          <w:szCs w:val="8"/>
        </w:rPr>
      </w:pPr>
    </w:p>
    <w:sectPr>
      <w:footerReference w:type="default" r:id="rId39"/>
      <w:pgSz w:orient="landscape" w:w="16837.79527559055" w:h="11905.511811023622"/>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B6B66"/>
        <w:sz w:val="16"/>
        <w:szCs w:val="16"/>
      </w:rPr>
      <w:t xml:space="preserve">Omnissa Sizer by Niyyasoft — estimate for planning, not certified by Omnissa — page </w:t>
    </w:r>
    <w:r>
      <w:fldChar w:fldCharType="begin"/>
    </w:r>
    <w:r>
      <w:rPr>
        <w:color w:val="6B6B66"/>
        <w:sz w:val="16"/>
        <w:szCs w:val="16"/>
      </w:rPr>
      <w:instrText xml:space="preserve">PAGE</w:instrText>
    </w:r>
    <w:r>
      <w:fldChar w:fldCharType="separate"/>
    </w:r>
    <w:r>
      <w:fldChar w:fldCharType="end"/>
    </w:r>
    <w:r>
      <w:rPr>
        <w:color w:val="6B6B66"/>
        <w:sz w:val="16"/>
        <w:szCs w:val="16"/>
      </w:rPr>
      <w:t xml:space="preserve"> of </w:t>
    </w:r>
    <w:r>
      <w:fldChar w:fldCharType="begin"/>
    </w:r>
    <w:r>
      <w:rPr>
        <w:color w:val="6B6B66"/>
        <w:sz w:val="16"/>
        <w:szCs w:val="16"/>
      </w:rPr>
      <w:instrText xml:space="preserve">NUMPAGES</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B6B66"/>
        <w:sz w:val="16"/>
        <w:szCs w:val="16"/>
      </w:rPr>
      <w:t xml:space="preserve">Omnissa Sizer by Niyyasoft — estimate for planning, not certified by Omnissa — page </w:t>
    </w:r>
    <w:r>
      <w:fldChar w:fldCharType="begin"/>
    </w:r>
    <w:r>
      <w:rPr>
        <w:color w:val="6B6B66"/>
        <w:sz w:val="16"/>
        <w:szCs w:val="16"/>
      </w:rPr>
      <w:instrText xml:space="preserve">PAGE</w:instrText>
    </w:r>
    <w:r>
      <w:fldChar w:fldCharType="separate"/>
    </w:r>
    <w:r>
      <w:fldChar w:fldCharType="end"/>
    </w:r>
    <w:r>
      <w:rPr>
        <w:color w:val="6B6B66"/>
        <w:sz w:val="16"/>
        <w:szCs w:val="16"/>
      </w:rPr>
      <w:t xml:space="preserve"> of </w:t>
    </w:r>
    <w:r>
      <w:fldChar w:fldCharType="begin"/>
    </w:r>
    <w:r>
      <w:rPr>
        <w:color w:val="6B6B66"/>
        <w:sz w:val="16"/>
        <w:szCs w:val="16"/>
      </w:rPr>
      <w:instrText xml:space="preserve">NUMPAGES</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B6B66"/>
        <w:sz w:val="16"/>
        <w:szCs w:val="16"/>
      </w:rPr>
      <w:t xml:space="preserve">Omnissa Sizer by Niyyasoft — estimate for planning, not certified by Omnissa — page </w:t>
    </w:r>
    <w:r>
      <w:fldChar w:fldCharType="begin"/>
    </w:r>
    <w:r>
      <w:rPr>
        <w:color w:val="6B6B66"/>
        <w:sz w:val="16"/>
        <w:szCs w:val="16"/>
      </w:rPr>
      <w:instrText xml:space="preserve">PAGE</w:instrText>
    </w:r>
    <w:r>
      <w:fldChar w:fldCharType="separate"/>
    </w:r>
    <w:r>
      <w:fldChar w:fldCharType="end"/>
    </w:r>
    <w:r>
      <w:rPr>
        <w:color w:val="6B6B66"/>
        <w:sz w:val="16"/>
        <w:szCs w:val="16"/>
      </w:rPr>
      <w:t xml:space="preserve"> of </w:t>
    </w:r>
    <w:r>
      <w:fldChar w:fldCharType="begin"/>
    </w:r>
    <w:r>
      <w:rPr>
        <w:color w:val="6B6B66"/>
        <w:sz w:val="16"/>
        <w:szCs w:val="16"/>
      </w:rPr>
      <w:instrText xml:space="preserve">NUMPAGES</w:instrText>
    </w:r>
    <w:r>
      <w:fldChar w:fldCharType="separate"/>
    </w:r>
    <w:r>
      <w:fldChar w:fldCharType="end"/>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B6B66"/>
        <w:sz w:val="16"/>
        <w:szCs w:val="16"/>
      </w:rPr>
      <w:t xml:space="preserve">Omnissa Sizer by Niyyasoft — estimate for planning, not certified by Omnissa — page </w:t>
    </w:r>
    <w:r>
      <w:fldChar w:fldCharType="begin"/>
    </w:r>
    <w:r>
      <w:rPr>
        <w:color w:val="6B6B66"/>
        <w:sz w:val="16"/>
        <w:szCs w:val="16"/>
      </w:rPr>
      <w:instrText xml:space="preserve">PAGE</w:instrText>
    </w:r>
    <w:r>
      <w:fldChar w:fldCharType="separate"/>
    </w:r>
    <w:r>
      <w:fldChar w:fldCharType="end"/>
    </w:r>
    <w:r>
      <w:rPr>
        <w:color w:val="6B6B66"/>
        <w:sz w:val="16"/>
        <w:szCs w:val="16"/>
      </w:rPr>
      <w:t xml:space="preserve"> of </w:t>
    </w:r>
    <w:r>
      <w:fldChar w:fldCharType="begin"/>
    </w:r>
    <w:r>
      <w:rPr>
        <w:color w:val="6B6B66"/>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2FAB2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60" w:after="120"/>
    </w:pPr>
    <w:rPr>
      <w:color w:val="0B0B0B"/>
      <w:sz w:val="36"/>
      <w:szCs w:val="36"/>
      <w:b w:val="1"/>
      <w:bCs w:val="1"/>
    </w:rPr>
  </w:style>
  <w:style w:type="paragraph" w:styleId="Heading2">
    <w:link w:val="Heading2Char"/>
    <w:name w:val="heading 2"/>
    <w:basedOn w:val="Normal"/>
    <w:pPr>
      <w:keepNext w:val="1"/>
      <w:spacing w:before="240" w:after="80"/>
    </w:pPr>
    <w:rPr>
      <w:color w:val="0B0B0B"/>
      <w:sz w:val="26"/>
      <w:szCs w:val="26"/>
      <w:b w:val="1"/>
      <w:bCs w:val="1"/>
    </w:rPr>
  </w:style>
  <w:style w:type="paragraph" w:styleId="Heading3">
    <w:link w:val="Heading3Char"/>
    <w:name w:val="heading 3"/>
    <w:basedOn w:val="Normal"/>
    <w:pPr>
      <w:keepNext w:val="1"/>
      <w:spacing w:before="160" w:after="60"/>
    </w:pPr>
    <w:rPr>
      <w:color w:val="D6336C"/>
      <w:sz w:val="22"/>
      <w:szCs w:val="22"/>
      <w:b w:val="1"/>
      <w:bCs w:val="1"/>
    </w:rPr>
  </w:style>
  <w:style w:type="table" w:customStyle="1" w:styleId="grid">
    <w:name w:val="grid"/>
    <w:uiPriority w:val="99"/>
    <w:tblPr>
      <w:tblW w:w="0" w:type="auto"/>
      <w:tblLayout w:type="autofit"/>
      <w:tblCellMar>
        <w:top w:w="70" w:type="dxa"/>
        <w:left w:w="70" w:type="dxa"/>
        <w:right w:w="70" w:type="dxa"/>
        <w:bottom w:w="70" w:type="dxa"/>
      </w:tblCellMar>
      <w:tblBorders>
        <w:top w:val="single" w:sz="4" w:color="D9D5CC"/>
        <w:left w:val="single" w:sz="4" w:color="D9D5CC"/>
        <w:right w:val="single" w:sz="4" w:color="D9D5CC"/>
        <w:bottom w:val="single" w:sz="4" w:color="D9D5CC"/>
        <w:insideH w:val="single" w:sz="4" w:color="D9D5CC"/>
        <w:insideV w:val="single" w:sz="4" w:color="D9D5CC"/>
      </w:tblBorders>
    </w:tblPr>
    <w:tblStylePr w:type="firstRow">
      <w:tcPr>
        <w:tcPr>
          <w:shd w:val="clear" w:fill="0B0B0B"/>
        </w:tcPr>
      </w:tcPr>
    </w:tblStylePr>
  </w:style>
  <w:style w:type="paragraph" w:customStyle="1" w:styleId="cell">
    <w:name w:val="cell"/>
    <w:basedOn w:val="Normal"/>
    <w:pPr>
      <w:spacing w:before="0" w:after="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hyperlink" Target="https://learn.microsoft.com/en-us/troubleshoot/windows-server/networking/service-overview-and-network-port-requirements" TargetMode="External"/><Relationship Id="rId13" Type="http://schemas.openxmlformats.org/officeDocument/2006/relationships/hyperlink" Target="https://docs.nvidia.com/vgpu/latest/grid-vgpu-user-guide/virtual-gpu-types-grid-reference.html" TargetMode="External"/><Relationship Id="rId14" Type="http://schemas.openxmlformats.org/officeDocument/2006/relationships/hyperlink" Target="https://docs.omnissa.com/HorizonOverviewDeployment/Using3DGraphicsApplications" TargetMode="External"/><Relationship Id="rId15" Type="http://schemas.openxmlformats.org/officeDocument/2006/relationships/hyperlink" Target="https://docs.omnissa.com/HorizonOverviewDeployment/BlastExtreme" TargetMode="External"/><Relationship Id="rId16" Type="http://schemas.openxmlformats.org/officeDocument/2006/relationships/hyperlink" Target="https://docs.omnissa.com/Horizon-Security/TCPandUDPPortsforClientsandAgents" TargetMode="External"/><Relationship Id="rId17" Type="http://schemas.openxmlformats.org/officeDocument/2006/relationships/hyperlink" Target="https://configmax.omnissa.com/guest?vmwareproduct=Horizon&amp;release=Horizon%202606" TargetMode="External"/><Relationship Id="rId18" Type="http://schemas.openxmlformats.org/officeDocument/2006/relationships/hyperlink" Target="https://docs.omnissa.com/HorizonOverviewDeployment/HorizonConnectionServer" TargetMode="External"/><Relationship Id="rId19" Type="http://schemas.openxmlformats.org/officeDocument/2006/relationships/hyperlink" Target="https://docs.omnissa.com/HorizonOverviewDeployment/CloudPodArchitectureOverview" TargetMode="External"/><Relationship Id="rId20" Type="http://schemas.openxmlformats.org/officeDocument/2006/relationships/hyperlink" Target="https://docs.omnissa.com/HorizonOverviewDeployment/EstimatingCPURequirementsforVirtualMachineDesktops" TargetMode="External"/><Relationship Id="rId21" Type="http://schemas.openxmlformats.org/officeDocument/2006/relationships/hyperlink" Target="https://docs.omnissa.com/HorizonOverviewDeployment/HorizonConnectionServerMaximumsandConfiguration" TargetMode="External"/><Relationship Id="rId22" Type="http://schemas.openxmlformats.org/officeDocument/2006/relationships/hyperlink" Target="https://docs.omnissa.com/HorizonOverviewDeployment/DesktopTypes" TargetMode="External"/><Relationship Id="rId23" Type="http://schemas.openxmlformats.org/officeDocument/2006/relationships/hyperlink" Target="https://docs.omnissa.com/HorizonOverviewDeployment/ESXiNode" TargetMode="External"/><Relationship Id="rId24" Type="http://schemas.openxmlformats.org/officeDocument/2006/relationships/hyperlink" Target="https://kb.omnissa.com/s/article/78714" TargetMode="External"/><Relationship Id="rId25" Type="http://schemas.openxmlformats.org/officeDocument/2006/relationships/hyperlink" Target="https://kb.omnissa.com/s/article/78715" TargetMode="External"/><Relationship Id="rId26" Type="http://schemas.openxmlformats.org/officeDocument/2006/relationships/hyperlink" Target="https://docs.omnissa.com/HorizonOverviewDeployment/EstimatingMemoryRequirementsforVirtualMachineDesktops" TargetMode="External"/><Relationship Id="rId27" Type="http://schemas.openxmlformats.org/officeDocument/2006/relationships/hyperlink" Target="https://docs.omnissa.com/HorizonOverviewDeployment/MonitorsandScreenResolution" TargetMode="External"/><Relationship Id="rId28" Type="http://schemas.openxmlformats.org/officeDocument/2006/relationships/hyperlink" Target="https://docs.omnissa.com/HorizonOverviewDeployment/NetworkBandwidthConsiderations" TargetMode="External"/><Relationship Id="rId29" Type="http://schemas.openxmlformats.org/officeDocument/2006/relationships/hyperlink" Target="https://techzone.omnissa.com/resource/network-ports-horizon-8" TargetMode="External"/><Relationship Id="rId30" Type="http://schemas.openxmlformats.org/officeDocument/2006/relationships/hyperlink" Target="https://docs.omnissa.com/HorizonOverviewDeployment/Horizon8Pods" TargetMode="External"/><Relationship Id="rId31" Type="http://schemas.openxmlformats.org/officeDocument/2006/relationships/hyperlink" Target="https://docs.omnissa.com/HorizonOverviewDeployment/SharedStorageConsiderations" TargetMode="External"/><Relationship Id="rId32" Type="http://schemas.openxmlformats.org/officeDocument/2006/relationships/hyperlink" Target="https://docs.omnissa.com/HorizonOverviewDeployment/StorageBandwidthConsiderations" TargetMode="External"/><Relationship Id="rId33" Type="http://schemas.openxmlformats.org/officeDocument/2006/relationships/hyperlink" Target="https://docs.omnissa.com/HorizonOverviewDeployment/ChoosingtheAppropriateSystemDiskSize" TargetMode="External"/><Relationship Id="rId34" Type="http://schemas.openxmlformats.org/officeDocument/2006/relationships/hyperlink" Target="https://techzone.omnissa.com/resource/unified-access-gateway-architecture" TargetMode="External"/><Relationship Id="rId35" Type="http://schemas.openxmlformats.org/officeDocument/2006/relationships/hyperlink" Target="https://docs.omnissa.com/HorizonOverviewDeployment/vSphereClusters" TargetMode="External"/><Relationship Id="rId36" Type="http://schemas.openxmlformats.org/officeDocument/2006/relationships/footer" Target="footer4.xml"/><Relationship Id="rId37" Type="http://schemas.openxmlformats.org/officeDocument/2006/relationships/footer" Target="footer7.xml"/><Relationship Id="rId38" Type="http://schemas.openxmlformats.org/officeDocument/2006/relationships/footer" Target="footer10.xml"/><Relationship Id="rId39"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Omnissa Sizer by Niyyasoft</dc:creator>
  <dc:title>Horizon sizing report — Sample — Engineering design studio, three-tier FC with GPU</dc:title>
  <dc:description/>
  <dc:subject>Omnissa Horizon sizing and architecture</dc:subject>
  <cp:keywords/>
  <cp:category/>
  <cp:lastModifiedBy/>
  <dcterms:created xsi:type="dcterms:W3CDTF">2026-10-02T04:06:24+00:00</dcterms:created>
  <dcterms:modified xsi:type="dcterms:W3CDTF">2026-10-02T04:06:24+00:00</dcterms:modified>
</cp:coreProperties>
</file>

<file path=docProps/custom.xml><?xml version="1.0" encoding="utf-8"?>
<Properties xmlns="http://schemas.openxmlformats.org/officeDocument/2006/custom-properties" xmlns:vt="http://schemas.openxmlformats.org/officeDocument/2006/docPropsVTypes"/>
</file>