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  <w:r>
        <w:drawing>
          <wp:inline distT="0" distB="0" distL="0" distR="0">
            <wp:extent cx="1005840" cy="1005840"/>
            <wp:docPr id="1" name="Diagram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VxRail Sizing Report</w:t>
      </w:r>
    </w:p>
    <w:p>
      <w:pPr>
        <w:pStyle w:val="Subtitle"/>
      </w:pPr>
      <w:r>
        <w:t xml:space="preserve">VxRail refresh - core cluster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3024"/>
        <w:gridCol w:w="7056"/>
      </w:tblGrid>
      <w:tr>
        <w:trPr>
          <w:cantSplit/>
        </w:trPr>
        <w:tc>
          <w:tcPr>
            <w:tcW w:w="3024" w:type="dxa"/>
          </w:tcPr>
          <w:p>
            <w:pPr>
              <w:pStyle w:val="TableText"/>
            </w:pPr>
            <w:r>
              <w:t xml:space="preserve">Customer</w:t>
            </w:r>
          </w:p>
        </w:tc>
        <w:tc>
          <w:tcPr>
            <w:tcW w:w="7056" w:type="dxa"/>
          </w:tcPr>
          <w:p>
            <w:pPr>
              <w:pStyle w:val="TableText"/>
            </w:pPr>
            <w:r>
              <w:t xml:space="preserve">Niyyasoft</w:t>
            </w:r>
          </w:p>
        </w:tc>
      </w:tr>
      <w:tr>
        <w:trPr>
          <w:cantSplit/>
        </w:trPr>
        <w:tc>
          <w:tcPr>
            <w:tcW w:w="3024" w:type="dxa"/>
            <w:shd w:val="clear" w:color="auto" w:fill="F2F6FA"/>
          </w:tcPr>
          <w:p>
            <w:pPr>
              <w:pStyle w:val="TableText"/>
            </w:pPr>
            <w:r>
              <w:t xml:space="preserve">Prepared by</w:t>
            </w:r>
          </w:p>
        </w:tc>
        <w:tc>
          <w:tcPr>
            <w:tcW w:w="7056" w:type="dxa"/>
            <w:shd w:val="clear" w:color="auto" w:fill="F2F6FA"/>
          </w:tcPr>
          <w:p>
            <w:pPr>
              <w:pStyle w:val="TableText"/>
            </w:pPr>
            <w:r>
              <w:t xml:space="preserve">Niyyasoft</w:t>
            </w:r>
          </w:p>
        </w:tc>
      </w:tr>
      <w:tr>
        <w:trPr>
          <w:cantSplit/>
        </w:trPr>
        <w:tc>
          <w:tcPr>
            <w:tcW w:w="3024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7056" w:type="dxa"/>
          </w:tcPr>
          <w:p>
            <w:pPr>
              <w:pStyle w:val="TableText"/>
            </w:pPr>
            <w:r>
              <w:t xml:space="preserve">2026-09-20</w:t>
            </w:r>
          </w:p>
        </w:tc>
      </w:tr>
      <w:tr>
        <w:trPr>
          <w:cantSplit/>
        </w:trPr>
        <w:tc>
          <w:tcPr>
            <w:tcW w:w="3024" w:type="dxa"/>
            <w:shd w:val="clear" w:color="auto" w:fill="F2F6FA"/>
          </w:tcPr>
          <w:p>
            <w:pPr>
              <w:pStyle w:val="TableText"/>
            </w:pPr>
            <w:r>
              <w:t xml:space="preserve">Tool</w:t>
            </w:r>
          </w:p>
        </w:tc>
        <w:tc>
          <w:tcPr>
            <w:tcW w:w="7056" w:type="dxa"/>
            <w:shd w:val="clear" w:color="auto" w:fill="F2F6FA"/>
          </w:tcPr>
          <w:p>
            <w:pPr>
              <w:pStyle w:val="TableText"/>
            </w:pPr>
            <w:r>
              <w:t xml:space="preserve">VxRail Sizer (VXRS) 1.1.0</w:t>
            </w:r>
          </w:p>
        </w:tc>
      </w:tr>
    </w:tbl>
    <w:p>
      <w:pPr>
        <w:spacing w:after="60"/>
      </w:pPr>
    </w:p>
    <w:p>
      <w:pPr>
        <w:pStyle w:val="Note"/>
      </w:pPr>
      <w:r>
        <w:t xml:space="preserve">Planning estimate based on published Dell Technologies and VMware by Broadcom guidance. Validate with Dell before ordering.</w:t>
      </w:r>
    </w:p>
    <w:p>
      <w:r>
        <w:br w:type="page"/>
      </w:r>
    </w:p>
    <w:p>
      <w:pPr>
        <w:pStyle w:val="Heading1"/>
      </w:pPr>
      <w:r>
        <w:t xml:space="preserve">1. Executive summary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5 x VxRail VE-670</w:t>
      </w:r>
      <w:r>
        <w:t xml:space="preserve"> (PowerEdge R670, 1U) in a standard cluster, 5U of rack space.</w:t>
      </w:r>
    </w:p>
    <w:p>
      <w:pPr>
        <w:pStyle w:val="ListParagraph"/>
        <w:numPr>
          <w:ilvl w:val="0"/>
          <w:numId w:val="1"/>
        </w:numPr>
      </w:pPr>
      <w:r>
        <w:t xml:space="preserve">Per node: 1 x 48-core CPU, 768 GB memory, 4 x 1.92 TB NVMe, 4 x 25GbE networking.</w:t>
      </w:r>
    </w:p>
    <w:p>
      <w:pPr>
        <w:pStyle w:val="ListParagraph"/>
        <w:numPr>
          <w:ilvl w:val="0"/>
          <w:numId w:val="1"/>
        </w:numPr>
      </w:pPr>
      <w:r>
        <w:t xml:space="preserve">vSAN ESA, RAID-5 FTT=1 adaptive (2+1): 34.9 TiB raw, </w:t>
      </w:r>
      <w:r>
        <w:rPr>
          <w:b/>
        </w:rPr>
        <w:t xml:space="preserve">22.6 TiB usable</w:t>
      </w:r>
      <w:r>
        <w:t xml:space="preserve"> (1.5:1 data reduction assumed).</w:t>
      </w:r>
    </w:p>
    <w:p>
      <w:pPr>
        <w:pStyle w:val="ListParagraph"/>
        <w:numPr>
          <w:ilvl w:val="0"/>
          <w:numId w:val="1"/>
        </w:numPr>
      </w:pPr>
      <w:r>
        <w:t xml:space="preserve">Workload: 100 VMs, 542 vCPU, 2,167 GB RAM, 20.2 TiB storage including 3-year growth and management VMs.</w:t>
      </w:r>
    </w:p>
    <w:p>
      <w:pPr>
        <w:pStyle w:val="ListParagraph"/>
        <w:numPr>
          <w:ilvl w:val="0"/>
          <w:numId w:val="1"/>
        </w:numPr>
      </w:pPr>
      <w:r>
        <w:t xml:space="preserve">Utilisation after failure: CPU 78%, memory 78%; vSAN capacity 89%. Node count driven by cpu.</w:t>
      </w:r>
    </w:p>
    <w:p>
      <w:pPr>
        <w:pStyle w:val="ListParagraph"/>
        <w:numPr>
          <w:ilvl w:val="0"/>
          <w:numId w:val="1"/>
        </w:numPr>
      </w:pPr>
      <w:r>
        <w:t xml:space="preserve">VCF licensing: 240 cores (min 16 per CPU); vSAN add-on 0 TiB.</w:t>
      </w:r>
    </w:p>
    <w:p>
      <w:pPr>
        <w:pStyle w:val="ListParagraph"/>
        <w:numPr>
          <w:ilvl w:val="0"/>
          <w:numId w:val="1"/>
        </w:numPr>
      </w:pPr>
      <w:r>
        <w:t xml:space="preserve">Network: 2 x S5248F-ON ToR (VLT pair), N3248TE-ON out-of-band switch.</w:t>
      </w:r>
    </w:p>
    <w:p>
      <w:pPr>
        <w:pStyle w:val="Heading1"/>
      </w:pPr>
      <w:r>
        <w:t xml:space="preserve">2. Workloads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4032"/>
        <w:gridCol w:w="1210"/>
        <w:gridCol w:w="1411"/>
        <w:gridCol w:w="1613"/>
        <w:gridCol w:w="1814"/>
      </w:tblGrid>
      <w:tr>
        <w:trPr>
          <w:tblHeader/>
          <w:cantSplit/>
        </w:trPr>
        <w:tc>
          <w:tcPr>
            <w:tcW w:w="4032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Workload group</w:t>
            </w:r>
          </w:p>
        </w:tc>
        <w:tc>
          <w:tcPr>
            <w:tcW w:w="121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VMs</w:t>
            </w:r>
          </w:p>
        </w:tc>
        <w:tc>
          <w:tcPr>
            <w:tcW w:w="1411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vCPU</w:t>
            </w:r>
          </w:p>
        </w:tc>
        <w:tc>
          <w:tcPr>
            <w:tcW w:w="1613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RAM GB</w:t>
            </w:r>
          </w:p>
        </w:tc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Storage TiB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pStyle w:val="TableText"/>
            </w:pPr>
            <w:r>
              <w:t xml:space="preserve">General purpose VMs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100</w:t>
            </w:r>
          </w:p>
        </w:tc>
        <w:tc>
          <w:tcPr>
            <w:tcW w:w="1411" w:type="dxa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t xml:space="preserve">1,600.00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14.65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Demand including growth and management VMs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4637"/>
        <w:gridCol w:w="1814"/>
        <w:gridCol w:w="1814"/>
        <w:gridCol w:w="1814"/>
      </w:tblGrid>
      <w:tr>
        <w:trPr>
          <w:tblHeader/>
          <w:cantSplit/>
        </w:trPr>
        <w:tc>
          <w:tcPr>
            <w:tcW w:w="4637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Component</w:t>
            </w:r>
          </w:p>
        </w:tc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vCPU</w:t>
            </w:r>
          </w:p>
        </w:tc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RAM GB</w:t>
            </w:r>
          </w:p>
        </w:tc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Storage GB</w:t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pStyle w:val="TableText"/>
            </w:pPr>
            <w:r>
              <w:t xml:space="preserve">Workloads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1,600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15,000</w:t>
            </w:r>
          </w:p>
        </w:tc>
      </w:tr>
      <w:tr>
        <w:trPr>
          <w:cantSplit/>
        </w:trPr>
        <w:tc>
          <w:tcPr>
            <w:tcW w:w="4637" w:type="dxa"/>
            <w:shd w:val="clear" w:color="auto" w:fill="F2F6FA"/>
          </w:tcPr>
          <w:p>
            <w:pPr>
              <w:pStyle w:val="TableText"/>
            </w:pPr>
            <w:r>
              <w:t xml:space="preserve">Growth x1.331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530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4,965</w:t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pStyle w:val="TableText"/>
            </w:pPr>
            <w:r>
              <w:t xml:space="preserve">vCenter Server appliance (Small)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21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734</w:t>
            </w:r>
          </w:p>
        </w:tc>
      </w:tr>
      <w:tr>
        <w:trPr>
          <w:cantSplit/>
        </w:trPr>
        <w:tc>
          <w:tcPr>
            <w:tcW w:w="4637" w:type="dxa"/>
            <w:shd w:val="clear" w:color="auto" w:fill="F2F6FA"/>
          </w:tcPr>
          <w:p>
            <w:pPr>
              <w:pStyle w:val="TableText"/>
            </w:pPr>
            <w:r>
              <w:t xml:space="preserve">VxRail Manager VM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16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0</w:t>
            </w:r>
          </w:p>
        </w:tc>
      </w:tr>
      <w:tr>
        <w:trPr>
          <w:cantSplit/>
        </w:trPr>
        <w:tc>
          <w:tcPr>
            <w:tcW w:w="4637" w:type="dxa"/>
          </w:tcPr>
          <w:p>
            <w:pPr>
              <w:pStyle w:val="TableText"/>
            </w:pPr>
            <w:r>
              <w:rPr>
                <w:b/>
              </w:rPr>
              <w:t xml:space="preserve">Total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542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2,167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20,699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3. Design policies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4536"/>
        <w:gridCol w:w="5544"/>
      </w:tblGrid>
      <w:tr>
        <w:trPr>
          <w:tblHeader/>
          <w:cantSplit/>
        </w:trPr>
        <w:tc>
          <w:tcPr>
            <w:tcW w:w="453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Parameter</w:t>
            </w:r>
          </w:p>
        </w:tc>
        <w:tc>
          <w:tcPr>
            <w:tcW w:w="554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Value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Cluster type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standard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vSAN architecture / release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ESA / 9.0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Storage policy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RAID-5 FTT=1 adaptive (2+1)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Data reduction assumption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1.5:1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+1 host for rebuild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HA (compute)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N+1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vCPU : pCore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4:1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Max CPU utilisation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80%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vSAN CPU overhead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Memory overcommit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1:1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Max memory utilisation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90%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ESXi + vSAN memory reserve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Growth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10% per year for 3 years</w:t>
            </w:r>
          </w:p>
        </w:tc>
      </w:tr>
      <w:tr>
        <w:trPr>
          <w:cantSplit/>
        </w:trPr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vCenter on cluster</w:t>
            </w:r>
          </w:p>
        </w:tc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Small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Text"/>
            </w:pPr>
            <w:r>
              <w:t xml:space="preserve">VMware subscription</w:t>
            </w:r>
          </w:p>
        </w:tc>
        <w:tc>
          <w:tcPr>
            <w:tcW w:w="5544" w:type="dxa"/>
          </w:tcPr>
          <w:p>
            <w:pPr>
              <w:pStyle w:val="TableText"/>
            </w:pPr>
            <w:r>
              <w:t xml:space="preserve">VMware Cloud Foundation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4. Recommended VxRail configuration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3024"/>
        <w:gridCol w:w="1008"/>
        <w:gridCol w:w="6048"/>
      </w:tblGrid>
      <w:tr>
        <w:trPr>
          <w:tblHeader/>
          <w:cantSplit/>
        </w:trPr>
        <w:tc>
          <w:tcPr>
            <w:tcW w:w="302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008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6048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Detail</w:t>
            </w:r>
          </w:p>
        </w:tc>
      </w:tr>
      <w:tr>
        <w:trPr>
          <w:cantSplit/>
        </w:trPr>
        <w:tc>
          <w:tcPr>
            <w:tcW w:w="3024" w:type="dxa"/>
          </w:tcPr>
          <w:p>
            <w:pPr>
              <w:pStyle w:val="TableText"/>
            </w:pPr>
            <w:r>
              <w:t xml:space="preserve">VxRail VE-670 node</w:t>
            </w:r>
          </w:p>
        </w:tc>
        <w:tc>
          <w:tcPr>
            <w:tcW w:w="1008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6048" w:type="dxa"/>
          </w:tcPr>
          <w:p>
            <w:pPr>
              <w:pStyle w:val="TableText"/>
            </w:pPr>
            <w:r>
              <w:t xml:space="preserve">PowerEdge R670, 1U</w:t>
            </w:r>
          </w:p>
        </w:tc>
      </w:tr>
      <w:tr>
        <w:trPr>
          <w:cantSplit/>
        </w:trPr>
        <w:tc>
          <w:tcPr>
            <w:tcW w:w="3024" w:type="dxa"/>
            <w:shd w:val="clear" w:color="auto" w:fill="F2F6FA"/>
          </w:tcPr>
          <w:p>
            <w:pPr>
              <w:pStyle w:val="TableText"/>
            </w:pPr>
            <w:r>
              <w:t xml:space="preserve">Processor</w:t>
            </w:r>
          </w:p>
        </w:tc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6048" w:type="dxa"/>
            <w:shd w:val="clear" w:color="auto" w:fill="F2F6FA"/>
          </w:tcPr>
          <w:p>
            <w:pPr>
              <w:pStyle w:val="TableText"/>
            </w:pPr>
            <w:r>
              <w:t xml:space="preserve">1 x Intel Xeon 6 - 48 cores (48 cores) per node</w:t>
            </w:r>
          </w:p>
        </w:tc>
      </w:tr>
      <w:tr>
        <w:trPr>
          <w:cantSplit/>
        </w:trPr>
        <w:tc>
          <w:tcPr>
            <w:tcW w:w="3024" w:type="dxa"/>
          </w:tcPr>
          <w:p>
            <w:pPr>
              <w:pStyle w:val="TableText"/>
            </w:pPr>
            <w:r>
              <w:t xml:space="preserve">Memory</w:t>
            </w:r>
          </w:p>
        </w:tc>
        <w:tc>
          <w:tcPr>
            <w:tcW w:w="1008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6048" w:type="dxa"/>
          </w:tcPr>
          <w:p>
            <w:pPr>
              <w:pStyle w:val="TableText"/>
            </w:pPr>
            <w:r>
              <w:t xml:space="preserve">768 GB per node</w:t>
            </w:r>
          </w:p>
        </w:tc>
      </w:tr>
      <w:tr>
        <w:trPr>
          <w:cantSplit/>
        </w:trPr>
        <w:tc>
          <w:tcPr>
            <w:tcW w:w="3024" w:type="dxa"/>
            <w:shd w:val="clear" w:color="auto" w:fill="F2F6FA"/>
          </w:tcPr>
          <w:p>
            <w:pPr>
              <w:pStyle w:val="TableText"/>
            </w:pPr>
            <w:r>
              <w:t xml:space="preserve">vSAN ESA NVMe drives</w:t>
            </w:r>
          </w:p>
        </w:tc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6048" w:type="dxa"/>
            <w:shd w:val="clear" w:color="auto" w:fill="F2F6FA"/>
          </w:tcPr>
          <w:p>
            <w:pPr>
              <w:pStyle w:val="TableText"/>
            </w:pPr>
            <w:r>
              <w:t xml:space="preserve">4 x 1.92 TB NVMe per node</w:t>
            </w:r>
          </w:p>
        </w:tc>
      </w:tr>
      <w:tr>
        <w:trPr>
          <w:cantSplit/>
        </w:trPr>
        <w:tc>
          <w:tcPr>
            <w:tcW w:w="3024" w:type="dxa"/>
          </w:tcPr>
          <w:p>
            <w:pPr>
              <w:pStyle w:val="TableText"/>
            </w:pPr>
            <w:r>
              <w:t xml:space="preserve">Network ports</w:t>
            </w:r>
          </w:p>
        </w:tc>
        <w:tc>
          <w:tcPr>
            <w:tcW w:w="1008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6048" w:type="dxa"/>
          </w:tcPr>
          <w:p>
            <w:pPr>
              <w:pStyle w:val="TableText"/>
            </w:pPr>
            <w:r>
              <w:t xml:space="preserve">4 x 25GbE per node (OCP + PCIe)</w:t>
            </w:r>
          </w:p>
        </w:tc>
      </w:tr>
      <w:tr>
        <w:trPr>
          <w:cantSplit/>
        </w:trPr>
        <w:tc>
          <w:tcPr>
            <w:tcW w:w="3024" w:type="dxa"/>
            <w:shd w:val="clear" w:color="auto" w:fill="F2F6FA"/>
          </w:tcPr>
          <w:p>
            <w:pPr>
              <w:pStyle w:val="TableText"/>
            </w:pPr>
            <w:r>
              <w:t xml:space="preserve">Boot device</w:t>
            </w:r>
          </w:p>
        </w:tc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6048" w:type="dxa"/>
            <w:shd w:val="clear" w:color="auto" w:fill="F2F6FA"/>
          </w:tcPr>
          <w:p>
            <w:pPr>
              <w:pStyle w:val="TableText"/>
            </w:pPr>
            <w:r>
              <w:t xml:space="preserve">Dell BOSS (mirrored M.2) per node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Capacity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5544"/>
        <w:gridCol w:w="4536"/>
      </w:tblGrid>
      <w:tr>
        <w:trPr>
          <w:tblHeader/>
          <w:cantSplit/>
        </w:trPr>
        <w:tc>
          <w:tcPr>
            <w:tcW w:w="554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Metric</w:t>
            </w:r>
          </w:p>
        </w:tc>
        <w:tc>
          <w:tcPr>
            <w:tcW w:w="453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Value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Physical cores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Memory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3,840 GB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Raw capacity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38.40 TB (34.92 TiB)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Operations reserve + host rebuild reserve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-12.30 TiB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After protection (RAID-5 FTT=1 adaptive (2+1))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15.08 TiB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Effective usable (1.5:1)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22.63 TiB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Utilisation and node-count drivers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  <w:cantSplit/>
        </w:trPr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Dimension</w:t>
            </w:r>
          </w:p>
        </w:tc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Required</w:t>
            </w:r>
          </w:p>
        </w:tc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Utilisation</w:t>
            </w:r>
          </w:p>
        </w:tc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After failure</w:t>
            </w:r>
          </w:p>
        </w:tc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Nodes needed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pStyle w:val="TableText"/>
            </w:pPr>
            <w:r>
              <w:t xml:space="preserve">CPU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135.6 cores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62.8%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78.5%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Memory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2,167 GB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62.7%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78.4%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pStyle w:val="TableText"/>
            </w:pPr>
            <w:r>
              <w:t xml:space="preserve">Storage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20.2 TiB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89.3%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Policy / availability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—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4</w:t>
            </w:r>
          </w:p>
        </w:tc>
      </w:tr>
    </w:tbl>
    <w:p>
      <w:pPr>
        <w:spacing w:after="60"/>
      </w:pPr>
    </w:p>
    <w:p>
      <w:r>
        <w:t xml:space="preserve">vSAN ReadyNode profile: </w:t>
      </w:r>
      <w:r>
        <w:rPr>
          <w:b/>
        </w:rPr>
        <w:t xml:space="preserve">vSAN-HCI-SM</w:t>
      </w:r>
      <w:r>
        <w:t xml:space="preserve">.</w:t>
      </w:r>
    </w:p>
    <w:p>
      <w:pPr>
        <w:pStyle w:val="Heading2"/>
      </w:pPr>
      <w:r>
        <w:t xml:space="preserve">Alternatives considered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  <w:cantSplit/>
        </w:trPr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Model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Nodes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CPU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RAM/node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Storage/node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Licensed cores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VE-670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 x 48c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VP-770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 x 24c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VE-660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 x 48c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VP-760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 x 24c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VE-6615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 x 48c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VP-7625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 x 24c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768 GB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4 x 1.92 TB NVMe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240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5. VMware licensing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5544"/>
        <w:gridCol w:w="4536"/>
      </w:tblGrid>
      <w:tr>
        <w:trPr>
          <w:tblHeader/>
          <w:cantSplit/>
        </w:trPr>
        <w:tc>
          <w:tcPr>
            <w:tcW w:w="554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453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Value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Edition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VCF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Physical cores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Licensed cores (min 16/CPU)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240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Included vSAN (1 TiB/core)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240.00 TiB</w:t>
            </w:r>
          </w:p>
        </w:tc>
      </w:tr>
      <w:tr>
        <w:trPr>
          <w:cantSplit/>
        </w:trPr>
        <w:tc>
          <w:tcPr>
            <w:tcW w:w="5544" w:type="dxa"/>
          </w:tcPr>
          <w:p>
            <w:pPr>
              <w:pStyle w:val="TableText"/>
            </w:pPr>
            <w:r>
              <w:t xml:space="preserve">Raw vSAN capacity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34.92 TiB</w:t>
            </w:r>
          </w:p>
        </w:tc>
      </w:tr>
      <w:tr>
        <w:trPr>
          <w:cantSplit/>
        </w:trPr>
        <w:tc>
          <w:tcPr>
            <w:tcW w:w="5544" w:type="dxa"/>
            <w:shd w:val="clear" w:color="auto" w:fill="F2F6FA"/>
          </w:tcPr>
          <w:p>
            <w:pPr>
              <w:pStyle w:val="TableText"/>
            </w:pPr>
            <w:r>
              <w:t xml:space="preserve">vSAN add-on required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0 TiB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6. Network design</w:t>
      </w:r>
    </w:p>
    <w:p>
      <w:r>
        <w:rPr>
          <w:b/>
        </w:rPr>
        <w:t xml:space="preserve">Top-of-rack:</w:t>
      </w:r>
      <w:r>
        <w:t xml:space="preserve"> 2 x S5248F-ON (48 x 25GbE SFP28, 4 x 100GbE QSFP28, 2 x 200GbE QSFP28-DD). VLT: QSFP28-DD 1-2; uplinks: QSFP28 1-4, 2 x 100GbE per switch.</w:t>
      </w:r>
    </w:p>
    <w:p>
      <w:r>
        <w:rPr>
          <w:b/>
        </w:rPr>
        <w:t xml:space="preserve">Out-of-band:</w:t>
      </w:r>
      <w:r>
        <w:t xml:space="preserve"> N3248TE-ON (48 x 1GbE RJ45, 4 x 10GbE SFP+, 2 x 100GbE stacking) for iDRAC.</w:t>
      </w:r>
    </w:p>
    <w:p>
      <w:pPr>
        <w:pStyle w:val="ListParagraph"/>
        <w:numPr>
          <w:ilvl w:val="0"/>
          <w:numId w:val="1"/>
        </w:numPr>
      </w:pPr>
      <w:r>
        <w:t xml:space="preserve">✔ 10 of 48 25GbE node ports used on each S5248F-ON (21%).</w:t>
      </w:r>
    </w:p>
    <w:p>
      <w:pPr>
        <w:pStyle w:val="Heading2"/>
      </w:pPr>
      <w:r>
        <w:t xml:space="preserve">VLANs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3629"/>
        <w:gridCol w:w="1210"/>
        <w:gridCol w:w="2218"/>
        <w:gridCol w:w="1814"/>
        <w:gridCol w:w="1210"/>
      </w:tblGrid>
      <w:tr>
        <w:trPr>
          <w:tblHeader/>
          <w:cantSplit/>
        </w:trPr>
        <w:tc>
          <w:tcPr>
            <w:tcW w:w="3629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Network</w:t>
            </w:r>
          </w:p>
        </w:tc>
        <w:tc>
          <w:tcPr>
            <w:tcW w:w="121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VLAN</w:t>
            </w:r>
          </w:p>
        </w:tc>
        <w:tc>
          <w:tcPr>
            <w:tcW w:w="2218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Subnet</w:t>
            </w:r>
          </w:p>
        </w:tc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Gateway</w:t>
            </w:r>
          </w:p>
        </w:tc>
        <w:tc>
          <w:tcPr>
            <w:tcW w:w="121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MTU</w:t>
            </w:r>
          </w:p>
        </w:tc>
      </w:tr>
      <w:tr>
        <w:trPr>
          <w:cantSplit/>
        </w:trPr>
        <w:tc>
          <w:tcPr>
            <w:tcW w:w="3629" w:type="dxa"/>
          </w:tcPr>
          <w:p>
            <w:pPr>
              <w:pStyle w:val="TableText"/>
            </w:pPr>
            <w:r>
              <w:t xml:space="preserve">External management (ESXi, VxRail Manager, vCenter)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native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192.168.10.0/24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192.168.10.1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1500</w:t>
            </w:r>
          </w:p>
        </w:tc>
      </w:tr>
      <w:tr>
        <w:trPr>
          <w:cantSplit/>
        </w:trPr>
        <w:tc>
          <w:tcPr>
            <w:tcW w:w="3629" w:type="dxa"/>
            <w:shd w:val="clear" w:color="auto" w:fill="F2F6FA"/>
          </w:tcPr>
          <w:p>
            <w:pPr>
              <w:pStyle w:val="TableText"/>
            </w:pPr>
            <w:r>
              <w:t xml:space="preserve">VxRail internal management (node discovery)</w:t>
            </w:r>
          </w:p>
        </w:tc>
        <w:tc>
          <w:tcPr>
            <w:tcW w:w="1210" w:type="dxa"/>
            <w:shd w:val="clear" w:color="auto" w:fill="F2F6FA"/>
          </w:tcPr>
          <w:p>
            <w:pPr>
              <w:pStyle w:val="TableText"/>
            </w:pPr>
            <w:r>
              <w:t xml:space="preserve">3939</w:t>
            </w:r>
          </w:p>
        </w:tc>
        <w:tc>
          <w:tcPr>
            <w:tcW w:w="2218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10" w:type="dxa"/>
            <w:shd w:val="clear" w:color="auto" w:fill="F2F6FA"/>
          </w:tcPr>
          <w:p>
            <w:pPr>
              <w:pStyle w:val="TableText"/>
            </w:pPr>
            <w:r>
              <w:t xml:space="preserve">1500</w:t>
            </w:r>
          </w:p>
        </w:tc>
      </w:tr>
      <w:tr>
        <w:trPr>
          <w:cantSplit/>
        </w:trPr>
        <w:tc>
          <w:tcPr>
            <w:tcW w:w="3629" w:type="dxa"/>
          </w:tcPr>
          <w:p>
            <w:pPr>
              <w:pStyle w:val="TableText"/>
            </w:pPr>
            <w:r>
              <w:t xml:space="preserve">vSphere vMotion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192.168.20.0/24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9000</w:t>
            </w:r>
          </w:p>
        </w:tc>
      </w:tr>
      <w:tr>
        <w:trPr>
          <w:cantSplit/>
        </w:trPr>
        <w:tc>
          <w:tcPr>
            <w:tcW w:w="3629" w:type="dxa"/>
            <w:shd w:val="clear" w:color="auto" w:fill="F2F6FA"/>
          </w:tcPr>
          <w:p>
            <w:pPr>
              <w:pStyle w:val="TableText"/>
            </w:pPr>
            <w:r>
              <w:t xml:space="preserve">vSAN</w:t>
            </w:r>
          </w:p>
        </w:tc>
        <w:tc>
          <w:tcPr>
            <w:tcW w:w="1210" w:type="dxa"/>
            <w:shd w:val="clear" w:color="auto" w:fill="F2F6FA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2218" w:type="dxa"/>
            <w:shd w:val="clear" w:color="auto" w:fill="F2F6FA"/>
          </w:tcPr>
          <w:p>
            <w:pPr>
              <w:pStyle w:val="TableText"/>
            </w:pPr>
            <w:r>
              <w:t xml:space="preserve">192.168.30.0/24</w:t>
            </w:r>
          </w:p>
        </w:tc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10" w:type="dxa"/>
            <w:shd w:val="clear" w:color="auto" w:fill="F2F6FA"/>
          </w:tcPr>
          <w:p>
            <w:pPr>
              <w:pStyle w:val="TableText"/>
            </w:pPr>
            <w:r>
              <w:t xml:space="preserve">9000</w:t>
            </w:r>
          </w:p>
        </w:tc>
      </w:tr>
      <w:tr>
        <w:trPr>
          <w:cantSplit/>
        </w:trPr>
        <w:tc>
          <w:tcPr>
            <w:tcW w:w="3629" w:type="dxa"/>
          </w:tcPr>
          <w:p>
            <w:pPr>
              <w:pStyle w:val="TableText"/>
            </w:pPr>
            <w:r>
              <w:t xml:space="preserve">VM / guest network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100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192.168.100.0/24</w:t>
            </w:r>
          </w:p>
        </w:tc>
        <w:tc>
          <w:tcPr>
            <w:tcW w:w="1814" w:type="dxa"/>
          </w:tcPr>
          <w:p>
            <w:pPr>
              <w:pStyle w:val="TableText"/>
            </w:pPr>
            <w:r>
              <w:t xml:space="preserve">192.168.100.1</w:t>
            </w:r>
          </w:p>
        </w:tc>
        <w:tc>
          <w:tcPr>
            <w:tcW w:w="1210" w:type="dxa"/>
          </w:tcPr>
          <w:p>
            <w:pPr>
              <w:pStyle w:val="TableText"/>
            </w:pPr>
            <w:r>
              <w:t xml:space="preserve">1500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VDS teaming (VxRail default)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w="336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Traffic</w:t>
            </w:r>
          </w:p>
        </w:tc>
        <w:tc>
          <w:tcPr>
            <w:tcW w:w="336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Active</w:t>
            </w:r>
          </w:p>
        </w:tc>
        <w:tc>
          <w:tcPr>
            <w:tcW w:w="336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Standby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pStyle w:val="TableText"/>
            </w:pPr>
            <w:r>
              <w:t xml:space="preserve">Management / vCenter</w:t>
            </w:r>
          </w:p>
        </w:tc>
        <w:tc>
          <w:tcPr>
            <w:tcW w:w="3360" w:type="dx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3360" w:type="dxa"/>
          </w:tcPr>
          <w:p>
            <w:pPr>
              <w:pStyle w:val="TableText"/>
            </w:pPr>
            <w:r>
              <w:t xml:space="preserve">vmnic1</w:t>
            </w:r>
          </w:p>
        </w:tc>
      </w:tr>
      <w:tr>
        <w:trPr>
          <w:cantSplit/>
        </w:trPr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vMotion</w:t>
            </w:r>
          </w:p>
        </w:tc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vmnic2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pStyle w:val="TableText"/>
            </w:pPr>
            <w:r>
              <w:t xml:space="preserve">vSAN</w:t>
            </w:r>
          </w:p>
        </w:tc>
        <w:tc>
          <w:tcPr>
            <w:tcW w:w="3360" w:type="dx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3360" w:type="dxa"/>
          </w:tcPr>
          <w:p>
            <w:pPr>
              <w:pStyle w:val="TableText"/>
            </w:pPr>
            <w:r>
              <w:t xml:space="preserve">vmnic3</w:t>
            </w:r>
          </w:p>
        </w:tc>
      </w:tr>
      <w:tr>
        <w:trPr>
          <w:cantSplit/>
        </w:trPr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 networks</w:t>
            </w:r>
          </w:p>
        </w:tc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3360" w:type="dxa"/>
            <w:shd w:val="clear" w:color="auto" w:fill="F2F6FA"/>
          </w:tcPr>
          <w:p>
            <w:pPr>
              <w:pStyle w:val="TableText"/>
            </w:pPr>
            <w:r>
              <w:t xml:space="preserve">vmnic1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Switch configuration rules</w:t>
      </w:r>
    </w:p>
    <w:p>
      <w:pPr>
        <w:pStyle w:val="ListParagraph"/>
        <w:numPr>
          <w:ilvl w:val="0"/>
          <w:numId w:val="1"/>
        </w:numPr>
      </w:pPr>
      <w:r>
        <w:t xml:space="preserve">Use two or more ToR switches for production (a single switch is acceptable for test/dev and 2-node).</w:t>
      </w:r>
    </w:p>
    <w:p>
      <w:pPr>
        <w:pStyle w:val="ListParagraph"/>
        <w:numPr>
          <w:ilvl w:val="0"/>
          <w:numId w:val="1"/>
        </w:numPr>
      </w:pPr>
      <w:r>
        <w:t xml:space="preserve">Switch buffer: at least 16 MB per ASIC for 10GbE and 32 MB for 25GbE VxRail networks.</w:t>
      </w:r>
    </w:p>
    <w:p>
      <w:pPr>
        <w:pStyle w:val="ListParagraph"/>
        <w:numPr>
          <w:ilvl w:val="0"/>
          <w:numId w:val="1"/>
        </w:numPr>
      </w:pPr>
      <w:r>
        <w:t xml:space="preserve">Configure every node-facing port as a trunk carrying all VxRail VLANs; create the internal management VLAN (default 3939) before deployment.</w:t>
      </w:r>
    </w:p>
    <w:p>
      <w:pPr>
        <w:pStyle w:val="ListParagraph"/>
        <w:numPr>
          <w:ilvl w:val="0"/>
          <w:numId w:val="1"/>
        </w:numPr>
      </w:pPr>
      <w:r>
        <w:t xml:space="preserve">Allow IPv6 multicast on the internal management VLAN for node discovery; enable MLD snooping and querier if supported.</w:t>
      </w:r>
    </w:p>
    <w:p>
      <w:pPr>
        <w:pStyle w:val="ListParagraph"/>
        <w:numPr>
          <w:ilvl w:val="0"/>
          <w:numId w:val="1"/>
        </w:numPr>
      </w:pPr>
      <w:r>
        <w:t xml:space="preserve">Disable Ethernet flow control on 10GbE and faster ports; use PFC only for RoCE or FCoE.</w:t>
      </w:r>
    </w:p>
    <w:p>
      <w:pPr>
        <w:pStyle w:val="ListParagraph"/>
        <w:numPr>
          <w:ilvl w:val="0"/>
          <w:numId w:val="1"/>
        </w:numPr>
      </w:pPr>
      <w:r>
        <w:t xml:space="preserve">Set switch-port MTU to match the VDS (9000 when jumbo frames are used for vSAN/vMotion).</w:t>
      </w:r>
    </w:p>
    <w:p>
      <w:pPr>
        <w:pStyle w:val="ListParagraph"/>
        <w:numPr>
          <w:ilvl w:val="0"/>
          <w:numId w:val="1"/>
        </w:numPr>
      </w:pPr>
      <w:r>
        <w:t xml:space="preserve">IP-hash teaming is not supported. One LAG per cluster (two ports); across two switches requires VLT/MLAG with LACP individual.</w:t>
      </w:r>
    </w:p>
    <w:p>
      <w:pPr>
        <w:pStyle w:val="ListParagraph"/>
        <w:numPr>
          <w:ilvl w:val="0"/>
          <w:numId w:val="1"/>
        </w:numPr>
      </w:pPr>
      <w:r>
        <w:t xml:space="preserve">Ports cannot be added to VxRail networking after the build; do not mix RJ45 and SFP ports in one VxRail network.</w:t>
      </w:r>
    </w:p>
    <w:p>
      <w:pPr>
        <w:pStyle w:val="ListParagraph"/>
        <w:numPr>
          <w:ilvl w:val="0"/>
          <w:numId w:val="1"/>
        </w:numPr>
      </w:pPr>
      <w:r>
        <w:t xml:space="preserve">Pair ToR switches with VLT (same model) and connect iDRAC ports to a separate 1GbE out-of-band switch.</w:t>
      </w:r>
    </w:p>
    <w:p>
      <w:pPr>
        <w:jc w:val="center"/>
      </w:pPr>
      <w:r>
        <w:drawing>
          <wp:inline distT="0" distB="0" distL="0" distR="0">
            <wp:extent cx="6400800" cy="4587240"/>
            <wp:docPr id="2" name="Diagram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1 - Logical network design</w:t>
      </w:r>
    </w:p>
    <w:p>
      <w:pPr>
        <w:pStyle w:val="Heading2"/>
      </w:pPr>
      <w:r>
        <w:t xml:space="preserve">IP address plan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  <w:cantSplit/>
        </w:trPr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Name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Role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Management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vMotion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vSAN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iDRAC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Gateway (management)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Router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192.168.10.1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 Manager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192.168.10.10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vCenter Server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192.168.10.11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ESXi host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192.168.10.21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192.168.20.21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192.168.30.21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192.168.5.21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ESXi host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192.168.10.22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192.168.20.22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192.168.30.22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192.168.5.22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ESXi host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192.168.10.23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192.168.20.23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192.168.30.23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192.168.5.23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ESXi host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192.168.10.24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192.168.20.24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192.168.30.24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192.168.5.24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ESXi host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192.168.10.25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192.168.20.25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192.168.30.25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192.168.5.25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7. Physical connectivity</w:t>
      </w:r>
    </w:p>
    <w:p>
      <w:pPr>
        <w:jc w:val="center"/>
      </w:pPr>
      <w:r>
        <w:drawing>
          <wp:inline distT="0" distB="0" distL="0" distR="0">
            <wp:extent cx="6400800" cy="4397101"/>
            <wp:docPr id="3" name="Diagram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9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2 - Physical connectivity</w:t>
      </w:r>
    </w:p>
    <w:p>
      <w:pPr>
        <w:pStyle w:val="Heading2"/>
      </w:pPr>
      <w:r>
        <w:t xml:space="preserve">Port map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  <w:cantSplit/>
        </w:trPr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Node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Port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NIC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Switch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Switch port</w:t>
            </w:r>
          </w:p>
        </w:tc>
        <w:tc>
          <w:tcPr>
            <w:tcW w:w="168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Speed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OCP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OCP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PCIe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ethernet1/1/6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PCIe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ethernet1/1/6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 dedicated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oob-1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Gi 1/0/1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OCP port 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OCP port 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PCIe port 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ethernet1/1/7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PCIe port 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ethernet1/1/7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iDRAC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iDRAC dedicated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oob-1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Gi 1/0/2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OCP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OCP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PCIe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ethernet1/1/8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PCIe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ethernet1/1/8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 dedicated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oob-1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Gi 1/0/3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OCP port 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ethernet1/1/4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OCP port 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PCIe port 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ethernet1/1/9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PCIe port 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ethernet1/1/9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vxrail-04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iDRAC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iDRAC dedicated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oob-1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Gi 1/0/4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1GbE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OCP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vmnic1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OCP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vmnic2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PCIe port 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tor-a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ethernet1/1/10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vmnic3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PCIe port 2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tor-b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ethernet1/1/10</w:t>
            </w:r>
          </w:p>
        </w:tc>
        <w:tc>
          <w:tcPr>
            <w:tcW w:w="1680" w:type="dxa"/>
            <w:shd w:val="clear" w:color="auto" w:fill="F2F6FA"/>
          </w:tcPr>
          <w:p>
            <w:pPr>
              <w:pStyle w:val="TableText"/>
            </w:pPr>
            <w:r>
              <w:t xml:space="preserve">25GbE</w:t>
            </w:r>
          </w:p>
        </w:tc>
      </w:tr>
      <w:tr>
        <w:trPr>
          <w:cantSplit/>
        </w:trPr>
        <w:tc>
          <w:tcPr>
            <w:tcW w:w="1680" w:type="dxa"/>
          </w:tcPr>
          <w:p>
            <w:pPr>
              <w:pStyle w:val="TableText"/>
            </w:pPr>
            <w:r>
              <w:t xml:space="preserve">vxrail-05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iDRAC dedicated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oob-1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Gi 1/0/5</w:t>
            </w:r>
          </w:p>
        </w:tc>
        <w:tc>
          <w:tcPr>
            <w:tcW w:w="1680" w:type="dxa"/>
          </w:tcPr>
          <w:p>
            <w:pPr>
              <w:pStyle w:val="TableText"/>
            </w:pPr>
            <w:r>
              <w:t xml:space="preserve">1GbE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9. Rules applied and sources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1008"/>
        <w:gridCol w:w="4536"/>
        <w:gridCol w:w="2016"/>
        <w:gridCol w:w="2520"/>
      </w:tblGrid>
      <w:tr>
        <w:trPr>
          <w:tblHeader/>
          <w:cantSplit/>
        </w:trPr>
        <w:tc>
          <w:tcPr>
            <w:tcW w:w="1008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Type</w:t>
            </w:r>
          </w:p>
        </w:tc>
        <w:tc>
          <w:tcPr>
            <w:tcW w:w="453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Rule</w:t>
            </w:r>
          </w:p>
        </w:tc>
        <w:tc>
          <w:tcPr>
            <w:tcW w:w="201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Source</w:t>
            </w:r>
          </w:p>
        </w:tc>
        <w:tc>
          <w:tcPr>
            <w:tcW w:w="252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URL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vCenter Server appliance small: 4 vCPU, 21 GB RAM, 734 GB storage is included in the cluster demand.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vCenter Server Appliance Hardware Requirements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https://techdocs.broadcom.com/us/en/vmware-cis/vsphere/vsphere/8-0/vcenter-installation-and-setup/deploying-the-vcenter-server-appliance/vcenter-server-appliance-requirements/vcenter-server-appliance-hardware-requirements.html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VxRail Manager VM: 6 vCPU and 16 GB RAM reserved.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Dell KB 000223349 - VxRail Manager VM resources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https://www.dell.com/support/kbdoc/en-us/000223349/dell-vxrail-7-0-or-8-0-upgrade-error-error-while-extracting-the-composite-bundle-file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CPU demand = 542 vCPU ÷ 4:1 vCPU:pCore ratio = 135.6 physical cores (physical cores only, no hyper-threads).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vCPU to pCPU Ratio Guidelines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https://blogs.vmware.com/cloud-foundation/2025/06/04/vcpu-to-pcpu-ratio-guidelines/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10% of host CPU reserved for vSAN; hosts sized to 80% maximum CPU utilisation.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VMware vSAN Design Guide (VCF 9.1)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https://www.vmware.com/docs/vmware-vsan-design-guide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CPU utilisation: 80% is a reasonable ceiling and 90% should be treated as a warning.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Performance Best Practices for vSphere/ESXi/vCenter 9.0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https://www.vmware.com/docs/vsphere-esxi-vcenter-server-90-performance-best-practices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Memory: 10% per host reserved for ESXi/vSAN (planning assumption), 90% maximum utilisation, 1:1 memory overcommit.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Performance Best Practices for vSphere/ESXi/vCenter 9.0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https://www.vmware.com/docs/vsphere-esxi-vcenter-server-90-performance-best-practices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HA: compute sized so the cluster runs all workloads with 1 host(s) failed (N+1).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vSphere HA Cluster Resources Percentage Admission Control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https://techdocs.broadcom.com/us/en/vmware-cis/vsphere/vsphere/8-0/vsphere-availability/creating-and-using-vsphere-ha-clusters/vsphere-ha-admission-control/cluster-resources-percentage-admission-control.html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vSAN ESA nodes require at least 16 CPU cores and 128 GB memory.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Designing and Sizing vSAN Hosts (VCF 9.0)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https://techdocs.broadcom.com/us/en/vmware-cis/vcf/vcf-9-0-and-later/9-0/vsan-deployment-administration-and-monitoring/vsan-planning-and-deployment/designing-and-sizing-a-virtual-san-cluster/designing-and-sizing-virtual-san-hosts.html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Operations reserve + host rebuild reserve applied for standard clusters with 4+ nodes; slack space otherwise.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KB 326889 - vSAN capacity utilisation / operations reserve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https://knowledge.broadcom.com/external/article/326889/vsan-health-service-capacity-utilizatio.html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At least one more host than the storage-policy minimum, so vSAN can rebuild after a host failure.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Adaptive RAID-5 Erasure Coding with vSAN ESA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https://blogs.vmware.com/cloud-foundation/2022/09/08/adaptive-raid-5-erasure-coding-with-the-express-storage-architecture-in-vsan-8/</w:t>
            </w:r>
          </w:p>
        </w:tc>
      </w:tr>
      <w:tr>
        <w:trPr>
          <w:cantSplit/>
        </w:trPr>
        <w:tc>
          <w:tcPr>
            <w:tcW w:w="1008" w:type="dx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Data reduction assumption 1.5:1 (keep conservative).</w:t>
            </w:r>
          </w:p>
        </w:tc>
        <w:tc>
          <w:tcPr>
            <w:tcW w:w="2016" w:type="dxa"/>
          </w:tcPr>
          <w:p>
            <w:pPr>
              <w:pStyle w:val="TableText"/>
            </w:pPr>
            <w:r>
              <w:t xml:space="preserve">vSAN Space Efficiency Technologies (VCF 9.1)</w:t>
            </w:r>
          </w:p>
        </w:tc>
        <w:tc>
          <w:tcPr>
            <w:tcW w:w="2520" w:type="dxa"/>
          </w:tcPr>
          <w:p>
            <w:pPr>
              <w:pStyle w:val="TableText"/>
            </w:pPr>
            <w:r>
              <w:t xml:space="preserve">https://www.vmware.com/docs/vmw-vsan-space-efficiency</w:t>
            </w:r>
          </w:p>
        </w:tc>
      </w:tr>
      <w:tr>
        <w:trPr>
          <w:cantSplit/>
        </w:trPr>
        <w:tc>
          <w:tcPr>
            <w:tcW w:w="1008" w:type="dxa"/>
            <w:shd w:val="clear" w:color="auto" w:fill="F2F6FA"/>
          </w:tcPr>
          <w:p>
            <w:pPr>
              <w:pStyle w:val="TableText"/>
            </w:pPr>
            <w:r>
              <w:t xml:space="preserve">Rule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VCF: per-core subscription, minimum 16 cores per CPU; includes 1 TiB of vSAN raw capacity per licensed core.</w:t>
            </w:r>
          </w:p>
        </w:tc>
        <w:tc>
          <w:tcPr>
            <w:tcW w:w="2016" w:type="dxa"/>
            <w:shd w:val="clear" w:color="auto" w:fill="F2F6FA"/>
          </w:tcPr>
          <w:p>
            <w:pPr>
              <w:pStyle w:val="TableText"/>
            </w:pPr>
            <w:r>
              <w:t xml:space="preserve">KB 313548 - Counting cores for VCF and VVF, vSAN capacity</w:t>
            </w:r>
          </w:p>
        </w:tc>
        <w:tc>
          <w:tcPr>
            <w:tcW w:w="2520" w:type="dxa"/>
            <w:shd w:val="clear" w:color="auto" w:fill="F2F6FA"/>
          </w:tcPr>
          <w:p>
            <w:pPr>
              <w:pStyle w:val="TableText"/>
            </w:pPr>
            <w:r>
              <w:t xml:space="preserve">https://knowledge.broadcom.com/external/article/313548/counting-cores-for-vmware-cloud-foundati.html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References</w:t>
      </w:r>
    </w:p>
    <w:tbl>
      <w:tblPr>
        <w:tblStyle w:val="VxrsTable"/>
        <w:tblW w:w="5000" w:type="pct"/>
        <w:tblLook w:val="04A0" w:firstRow="1" w:lastRow="0" w:firstColumn="0" w:lastColumn="0" w:noHBand="0" w:noVBand="1"/>
      </w:tblPr>
      <w:tblGrid>
        <w:gridCol w:w="1814"/>
        <w:gridCol w:w="3730"/>
        <w:gridCol w:w="4536"/>
      </w:tblGrid>
      <w:tr>
        <w:trPr>
          <w:tblHeader/>
          <w:cantSplit/>
        </w:trPr>
        <w:tc>
          <w:tcPr>
            <w:tcW w:w="1814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Organisation</w:t>
            </w:r>
          </w:p>
        </w:tc>
        <w:tc>
          <w:tcPr>
            <w:tcW w:w="3730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Document</w:t>
            </w:r>
          </w:p>
        </w:tc>
        <w:tc>
          <w:tcPr>
            <w:tcW w:w="4536" w:type="dxa"/>
            <w:shd w:val="clear" w:color="auto" w:fill="0B6FB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URL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by Broadcom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VMware vSAN Design Guide (VCF 9.1)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https://www.vmware.com/docs/vmware-vsan-design-guide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VMware by Broadcom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vSAN Space Efficiency Technologies (VCF 9.1)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https://www.vmware.com/docs/vmw-vsan-space-efficiency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by Broadcom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vSAN Stretched Cluster Guide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https://www.vmware.com/docs/vsan-stretched-cluster-guide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VMware by Broadcom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vSAN 2-Node Cluster Guide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https://www.vmware.com/docs/vmw-vsan-2-node-cluster-guide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by Broadcom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Performance Best Practices for vSphere/ESXi/vCenter 9.0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https://www.vmware.com/docs/vsphere-esxi-vcenter-server-90-performance-best-practices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Using RAID 5 or RAID 6 Erasure Coding (vSAN 8)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https://techdocs.broadcom.com/us/en/vmware-cis/vsan/vsan/8-0/vsan-administration/increasing-space-efficiency-in-a-vsan-cluster/using-raid-5-6-erasure-coding-in-vsan-cluster.html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About vSAN Policies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https://techdocs.broadcom.com/us/en/vmware-cis/vsan/vsan/8-0/vsan-administration/using-vsan-policies/about-vsan-policies.html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Planning Capacity in vSAN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https://techdocs.broadcom.com/us/en/vmware-cis/vsan/vsan/8-0/planning-and-deployment/designing-and-sizing-a-virtual-san-cluster/sizing-a-virtual-san-datastore/planning-capacity-in-virtual-san.html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About Reserved Capacity in vSAN Cluster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https://techdocs.broadcom.com/us/en/vmware-cis/vsan/vsan/8-0/vsan-monitoring/monitor-the-vsan-cluster/about-reserved-capacity-in-vsan-cluster.html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Designing and Sizing vSAN Hosts (VCF 9.0)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https://techdocs.broadcom.com/us/en/vmware-cis/vcf/vcf-9-0-and-later/9-0/vsan-deployment-administration-and-monitoring/vsan-planning-and-deployment/designing-and-sizing-a-virtual-san-cluster/designing-and-sizing-virtual-san-hosts.html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Adaptive RAID-5 Erasure Coding with vSAN ESA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https://blogs.vmware.com/cloud-foundation/2022/09/08/adaptive-raid-5-erasure-coding-with-the-express-storage-architecture-in-vsan-8/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Auto-RAID in vSAN for VCF 9.1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https://blogs.vmware.com/cloud-foundation/2026/05/08/auto-raid-in-vsan-for-vcf-9-1/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Understanding Reserved Capacity Concepts in vSAN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https://blogs.vmware.com/cloud-foundation/2022/02/18/understanding-reserved-capacity-concepts-in-vsan/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Lower hardware requirements for vSAN (ReadyNode profiles)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https://blogs.vmware.com/cloud-foundation/2025/11/14/driving-down-storage-costs-with-lower-hardware-requirements-for-vsan/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vCPU to pCPU Ratio Guidelines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https://blogs.vmware.com/cloud-foundation/2025/06/04/vcpu-to-pcpu-ratio-guidelines/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VMware Blogs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vSAN Networking - Teaming for Performance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https://blogs.vmware.com/cloud-foundation/2025/05/27/vsan-networking-teaming-for-performance/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 Knowledge Base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KB 326889 - vSAN capacity utilisation / operations reserve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https://knowledge.broadcom.com/external/article/326889/vsan-health-service-capacity-utilizatio.html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Knowledge Base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KB 372311 - When 10Gb is used for the vSAN ESA network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https://knowledge.broadcom.com/external/article/372311/when-10gb-is-used-for-the-vsan-esa-netwo.html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vSphere HA Cluster Resources Percentage Admission Control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https://techdocs.broadcom.com/us/en/vmware-cis/vsphere/vsphere/8-0/vsphere-availability/creating-and-using-vsphere-ha-clusters/vsphere-ha-admission-control/cluster-resources-percentage-admission-control.html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vCenter Server Appliance Hardware Requirements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https://techdocs.broadcom.com/us/en/vmware-cis/vsphere/vsphere/8-0/vcenter-installation-and-setup/deploying-the-vcenter-server-appliance/vcenter-server-appliance-requirements/vcenter-server-appliance-hardware-requirements.html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KB 000223349 - VxRail Manager VM resources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https://www.dell.com/support/kbdoc/en-us/000223349/dell-vxrail-7-0-or-8-0-upgrade-error-error-while-extracting-the-composite-bundle-file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 TechDocs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Deploying a vSAN Witness Appliance (VCF 9.0)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https://techdocs.broadcom.com/us/en/vmware-cis/vcf/vcf-9-0-and-later/9-0/vsan-deployment-administration-and-monitoring/vsan-planning-and-deployment/working-with-virtual-san-stretched-cluster/deploying-a-witness-appliance.html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 Knowledge Base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KB 313548 - Counting cores for VCF and VVF, vSAN capacity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https://knowledge.broadcom.com/external/article/313548/counting-cores-for-vmware-cloud-foundati.html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Broadcom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VMware Cloud Foundation Specific Program Documentation (Feb 2026)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https://ftpdocs.broadcom.com/cadocs/0/VCF_SPD_February2026.pdf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Broadcom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VMware vSphere Foundation Specific Program Documentation (Feb 2026)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https://ftpdocs.broadcom.com/cadocs/0/VVF_SPD_February2026.pdf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KB 000310965 - VxRail licensing when upgrading 8.0 to 9.0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https://www.dell.com/support/kbdoc/en-us/000310965/vxrail-licensing-implication-when-upgrading-from-vxrail-8-0-x-to-9-0-x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VxRail Spec Sheet (H16763)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https://www.delltechnologies.com/asset/en-us/products/converged-infrastructure/technical-support/h16763-vxrail-spec-sheet.pdf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VxRail HCI (dell.com)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https://www.dell.com/en-us/shop/storage-servers-and-networking-for-business/sf/vxrail-hci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KB 000023374 - VxRail models to PowerEdge models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https://www.dell.com/support/kbdoc/en-us/000023374/vxrail-models-to-dell-poweredge-models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VxRail VE-660 Hardware Requirements and Specifications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https://www.dell.com/support/manuals/en-us/vxrail-appliance-series/vxr_p_ve-660/overview?guid=guid-f35a4f96-8dd3-447d-9aa5-bde09875b5e0&amp;lang=en-us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VxRail VP-760 / VS-760 Hardware Requirements and Specifications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https://www.dell.com/support/manuals/en-ae/vxrail-vs-760/vxr_p_vp-760/processor-specifications?guid=guid-475bbeee-90e2-49d3-9ea8-77b944618d37&amp;lang=en-us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VxRail VE-6615 Hardware Requirements and Specifications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https://www.dell.com/support/manuals/en-us/vxrail-appliance-series/vxr_p_ve-6615/processor-specifications?guid=guid-1f4a24cc-aae7-45c1-bd31-98b68ad6e806&amp;lang=en-us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VxRail VP-7625 Hardware Requirements and Specifications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https://www.dell.com/support/manuals/en-us/vxrail-appliance-series/vxr_p_vp-7625/system-overview?guid=guid-843048af-d602-4ea7-9cfa-0da6f0dcd8c7&amp;lang=en-us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VxRail VD-4000r Configurations and Features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https://www.dell.com/support/manuals/en-us/vxrail-appliance-series/vxr_p_vd-4000r/configurations-and-features?guid=guid-a0d09007-5051-4f88-960e-1224dc2786d5&amp;lang=en-us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VxRail Network Planning Guide (H15300.37, June 2026)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https://www.dell.com/support/manuals/en-us/vxrail-appliance-series/vxrail_planning_guide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Network Planning Guide - VLAN considerations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https://www.dell.com/support/manuals/en-us/vxrail-appliance-series/vxrail_planning_guide/vlan-considerations-for-vxrail-networks?guid=guid-9439187f-e0ea-4b10-9d0b-ec159023206e&amp;lang=en-us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Network Planning Guide - VxRail networking port options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https://www.dell.com/support/manuals/en-us/vxrail-appliance-series/vxrail_planning_guide/vxrail-networking-port-options?guid=guid-6cd21b35-fb08-473f-a287-783b3aed4df9&amp;lang=en-us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Network Planning Guide - Switch considerations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https://www.dell.com/support/manuals/en-us/vxrail-appliance-series/vxrail_planning_guide/switch-considerations?guid=guid-d04ee3b1-6c91-4fd8-b4d3-52a52102c471&amp;lang=en-us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Network Planning Guide - Teaming and failover policies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https://www.dell.com/support/manuals/en-us/vxrail-appliance-series/vxrail_planning_guide/teaming-and-failover-policies-for-vxrail-networks?guid=guid-c7125253-3003-45cd-8b52-9999f02e01e6&amp;lang=en-us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Network Planning Guide - Data center network MTU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https://www.dell.com/support/manuals/en-us/vxrail-appliance-series/vxrail_planning_guide/prepare-data-center-network-mtu?guid=guid-4d3e55b8-135f-4ef7-81a6-0301d139c204&amp;lang=en-us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Network Planning Guide - Node discovery and the Ethernet switch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https://www.dell.com/support/manuals/en-us/vxrail-appliance-series/vxrail_planning_guide/vxrail-node-discovery-and-the-ethernet-switch?guid=guid-41425c8d-482d-4c8a-b7f4-cd1a9c717286&amp;lang=en-us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Network Planning Guide - 2-node cluster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https://www.dell.com/support/manuals/en-us/vxrail-appliance-series/vxrail_planning_guide/2-node-cluster?guid=guid-519032f2-5b7e-43de-a822-823b4fb9b591&amp;lang=en-us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Network Planning Guide - Flow control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https://www.dell.com/support/manuals/en-us/vxrail-appliance-series/vxrail_planning_guide/enable-flow-control?guid=guid-dc6a78f5-a34a-4549-b59e-b39ac27ef785&amp;lang=en-us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VxRail Architecture Overview - vSAN ESA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https://www.dell.com/support/manuals/en-us/vxrail-appliance-series/vxrail_architecture_guide/vmware-vsan-esa-overview?guid=guid-8d1e6123-bbd1-425c-af5b-b089eabe8c25&amp;lang=en-us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VxRail 8.0.x Administration Guide - Expand a cluster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https://www.dell.com/support/manuals/en-us/vxrail-appliance-series/vxrail-8.x_admin_guide/expand-a-cluster?guid=guid-6f3b67ad-1445-4e6d-af86-7fdcd9a4f3de&amp;lang=en-us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KB 000203918 - Witness networking requirements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https://www.dell.com/support/kbdoc/en-us/000203918/vxrail-networking-requirements-for-a-vsan-witness-appliance-for-a-stretched-or-2-node-cluster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PowerSwitch S5200-ON Series Spec Sheet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https://www.delltechnologies.com/asset/en-us/products/networking/technical-support/dell_emc_networking-s5200_on_spec_sheet.pdf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PowerSwitch S5448F-ON Spec Sheet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https://www.delltechnologies.com/asset/en-us/products/networking/technical-support/dell-emc-powerswitch-s5448f-on-spec-sheet.pdf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PowerSwitch S4100-ON Series Spec Sheet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https://www.delltechnologies.com/asset/en-us/products/networking/technical-support/dell-networking-s4100-series-spec-sheet.pdf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PowerSwitch Z9432F-ON Spec Sheet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https://www.delltechnologies.com/asset/en-us/products/networking/technical-support/dell-emc-powerswitch-z9432f-spec-sheet.pdf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PowerSwitch Z9264F-ON Installation Guide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https://www.dell.com/support/manuals/en-us/networking-z9264f-on/z9264f-on_install_pub/introduction?guid=guid-641d4c2c-fce8-4960-8706-cd44603c7b26&amp;lang=en-us</w:t>
            </w:r>
          </w:p>
        </w:tc>
      </w:tr>
      <w:tr>
        <w:trPr>
          <w:cantSplit/>
        </w:trPr>
        <w:tc>
          <w:tcPr>
            <w:tcW w:w="1814" w:type="dxa"/>
            <w:shd w:val="clear" w:color="auto" w:fill="F2F6F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  <w:shd w:val="clear" w:color="auto" w:fill="F2F6FA"/>
          </w:tcPr>
          <w:p>
            <w:pPr>
              <w:pStyle w:val="TableText"/>
            </w:pPr>
            <w:r>
              <w:t xml:space="preserve">Dell PowerSwitch N3200-ON Series Spec Sheet</w:t>
            </w:r>
          </w:p>
        </w:tc>
        <w:tc>
          <w:tcPr>
            <w:tcW w:w="4536" w:type="dxa"/>
            <w:shd w:val="clear" w:color="auto" w:fill="F2F6FA"/>
          </w:tcPr>
          <w:p>
            <w:pPr>
              <w:pStyle w:val="TableText"/>
            </w:pPr>
            <w:r>
              <w:t xml:space="preserve">https://www.delltechnologies.com/asset/en-gb/products/networking/technical-support/dell-networking-n3200-powerswitch-specsheet.pdf</w:t>
            </w:r>
          </w:p>
        </w:tc>
      </w:tr>
      <w:tr>
        <w:trPr>
          <w:cantSplit/>
        </w:trPr>
        <w:tc>
          <w:tcPr>
            <w:tcW w:w="1814" w:type="dxa"/>
          </w:tcPr>
          <w:p>
            <w:pPr>
              <w:pStyle w:val="TableText"/>
            </w:pPr>
            <w:r>
              <w:t xml:space="preserve">Dell Technologies</w:t>
            </w:r>
          </w:p>
        </w:tc>
        <w:tc>
          <w:tcPr>
            <w:tcW w:w="3730" w:type="dxa"/>
          </w:tcPr>
          <w:p>
            <w:pPr>
              <w:pStyle w:val="TableText"/>
            </w:pPr>
            <w:r>
              <w:t xml:space="preserve">Dell PowerSwitch S3248T-ON Spec Sheet</w:t>
            </w:r>
          </w:p>
        </w:tc>
        <w:tc>
          <w:tcPr>
            <w:tcW w:w="4536" w:type="dxa"/>
          </w:tcPr>
          <w:p>
            <w:pPr>
              <w:pStyle w:val="TableText"/>
            </w:pPr>
            <w:r>
              <w:t xml:space="preserve">https://www.delltechnologies.com/asset/en-us/products/networking/technical-support/dell-powerswitch-s3248t-on-spec-sheet.pdf</w:t>
            </w:r>
          </w:p>
        </w:tc>
      </w:tr>
    </w:tbl>
    <w:p>
      <w:pPr>
        <w:spacing w:after="60"/>
      </w:pPr>
    </w:p>
    <w:p>
      <w:pPr>
        <w:pStyle w:val="Note"/>
      </w:pPr>
      <w:r>
        <w:t xml:space="preserve">VxRail Sizer is a planning aid and is not a Dell Technologies or Broadcom product.</w:t>
      </w:r>
    </w:p>
    <w:sectPr>
      <w:footerReference w:type="default" r:id="rId4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  <w:tabs>
        <w:tab w:val="right" w:pos="10080"/>
      </w:tabs>
    </w:pPr>
    <w:r>
      <w:t xml:space="preserve">VxRail Sizer (VXRS) · VxRail refresh - core cluster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1800" w:after="200"/>
    </w:pPr>
    <w:rPr>
      <w:b/>
      <w:color w:val="0B3B66"/>
      <w:sz w:val="56"/>
    </w:rPr>
  </w:style>
  <w:style w:type="paragraph" w:styleId="Subtitle">
    <w:name w:val="Subtitle"/>
    <w:basedOn w:val="Normal"/>
    <w:next w:val="Normal"/>
    <w:qFormat/>
    <w:rPr>
      <w:color w:val="5F6B7A"/>
      <w:sz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="Calibri" w:hAnsi="Calibri" w:eastAsia="Calibri" w:cs="Calibri"/>
      <w:b/>
      <w:color w:val="0B3B66"/>
      <w:sz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120"/>
      <w:outlineLvl w:val="1"/>
    </w:pPr>
    <w:rPr>
      <w:rFonts w:ascii="Calibri" w:hAnsi="Calibri" w:eastAsia="Calibri" w:cs="Calibri"/>
      <w:b/>
      <w:color w:val="0B6FB8"/>
      <w:sz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00" w:after="120"/>
      <w:outlineLvl w:val="2"/>
    </w:pPr>
    <w:rPr>
      <w:rFonts w:ascii="Calibri" w:hAnsi="Calibri" w:eastAsia="Calibri" w:cs="Calibri"/>
      <w:b/>
      <w:color w:val="1F2937"/>
      <w:sz w:val="22"/>
    </w:rPr>
  </w:style>
  <w:style w:type="paragraph" w:styleId="Caption">
    <w:name w:val="caption"/>
    <w:basedOn w:val="Normal"/>
    <w:qFormat/>
    <w:pPr>
      <w:jc w:val="center"/>
      <w:spacing w:after="240"/>
    </w:pPr>
    <w:rPr>
      <w:i/>
      <w:color w:val="5F6B7A"/>
      <w:sz w:val="18"/>
    </w:rPr>
  </w:style>
  <w:style w:type="paragraph" w:styleId="Note">
    <w:name w:val="Note"/>
    <w:basedOn w:val="Normal"/>
    <w:rPr>
      <w:i/>
      <w:color w:val="5F6B7A"/>
      <w:sz w:val="18"/>
    </w:rPr>
  </w:style>
  <w:style w:type="paragraph" w:styleId="ListParagraph">
    <w:name w:val="List Paragraph"/>
    <w:basedOn w:val="Normal"/>
    <w:pPr>
      <w:spacing w:after="60"/>
      <w:ind w:left="720"/>
    </w:pPr>
  </w:style>
  <w:style w:type="paragraph" w:styleId="TableText">
    <w:name w:val="Table Text"/>
    <w:basedOn w:val="Normal"/>
    <w:pPr>
      <w:spacing w:before="20" w:after="20" w:line="240" w:lineRule="auto"/>
    </w:pPr>
    <w:rPr>
      <w:sz w:val="18"/>
    </w:rPr>
  </w:style>
  <w:style w:type="paragraph" w:styleId="Footer">
    <w:name w:val="footer"/>
    <w:basedOn w:val="Normal"/>
    <w:rPr>
      <w:color w:val="5F6B7A"/>
      <w:sz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VxrsTable">
    <w:name w:val="VXRS Table"/>
    <w:basedOn w:val="TableNormal"/>
    <w:tblPr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CellMar>
        <w:top w:w="40" w:type="dxa"/>
        <w:left w:w="80" w:type="dxa"/>
        <w:bottom w:w="40" w:type="dxa"/>
        <w:right w:w="8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VxRail Sizer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VxRail refresh - core cluster - VxRail sizing report</dc:title>
  <dc:creator>Niyyasoft</dc:creator>
  <cp:lastModifiedBy>Niyyasoft</cp:lastModifiedBy>
  <dcterms:created xsi:type="dcterms:W3CDTF">2026-09-20T19:33:18Z</dcterms:created>
  <dcterms:modified xsi:type="dcterms:W3CDTF">2026-09-20T19:33:18Z</dcterms:modified>
</cp:coreProperties>
</file>