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0"/>
      </w:pPr>
      <w:r>
        <w:rPr>
          <w:sz w:val="22"/>
          <w:color w:val="7A8896"/>
        </w:rPr>
        <w:t xml:space="preserve">Niyaasoft</w:t>
      </w:r>
    </w:p>
    <w:p>
      <w:pPr>
        <w:pStyle w:val="Title"/>
      </w:pPr>
      <w:r>
        <w:t xml:space="preserve">WAF sizing and design</w:t>
      </w:r>
    </w:p>
    <w:p>
      <w:pPr>
        <w:pStyle w:val="Subtitle"/>
        <w:spacing w:after="320"/>
      </w:pPr>
      <w:r>
        <w:t xml:space="preserve">Public portal WAF refresh</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2820"/>
        <w:gridCol w:w="6580"/>
      </w:tblGrid>
      <w:tr>
        <w:tc>
          <w:tcPr>
            <w:tcW w:w="1500" w:type="pct"/>
            <w:shd w:val="clear" w:color="auto" w:fill="F4F7FA"/>
            <w:vAlign w:val="center"/>
          </w:tcPr>
          <w:p>
            <w:pPr>
              <w:spacing w:after="40"/>
              <w:shd w:val="clear" w:color="auto" w:fill="F4F7FA"/>
            </w:pPr>
            <w:r>
              <w:rPr>
                <w:b/>
                <w:sz w:val="19"/>
              </w:rPr>
              <w:t xml:space="preserve">Customer</w:t>
            </w:r>
          </w:p>
        </w:tc>
        <w:tc>
          <w:tcPr>
            <w:tcW w:w="3500" w:type="pct"/>
            <w:vAlign w:val="center"/>
          </w:tcPr>
          <w:p>
            <w:pPr>
              <w:spacing w:after="40"/>
            </w:pPr>
            <w:r>
              <w:rPr>
                <w:sz w:val="19"/>
              </w:rPr>
              <w:t xml:space="preserve">Niyyasoft</w:t>
            </w:r>
          </w:p>
        </w:tc>
      </w:tr>
      <w:tr>
        <w:tc>
          <w:tcPr>
            <w:tcW w:w="1500" w:type="pct"/>
            <w:shd w:val="clear" w:color="auto" w:fill="F4F7FA"/>
            <w:vAlign w:val="center"/>
          </w:tcPr>
          <w:p>
            <w:pPr>
              <w:spacing w:after="40"/>
              <w:shd w:val="clear" w:color="auto" w:fill="F4F7FA"/>
            </w:pPr>
            <w:r>
              <w:rPr>
                <w:b/>
                <w:sz w:val="19"/>
              </w:rPr>
              <w:t xml:space="preserve">Site / environment</w:t>
            </w:r>
          </w:p>
        </w:tc>
        <w:tc>
          <w:tcPr>
            <w:tcW w:w="3500" w:type="pct"/>
            <w:vAlign w:val="center"/>
          </w:tcPr>
          <w:p>
            <w:pPr>
              <w:spacing w:after="40"/>
            </w:pPr>
            <w:r>
              <w:rPr>
                <w:sz w:val="19"/>
              </w:rPr>
              <w:t xml:space="preserve">Riyadh DC</w:t>
            </w:r>
          </w:p>
        </w:tc>
      </w:tr>
      <w:tr>
        <w:tc>
          <w:tcPr>
            <w:tcW w:w="1500" w:type="pct"/>
            <w:shd w:val="clear" w:color="auto" w:fill="F4F7FA"/>
            <w:vAlign w:val="center"/>
          </w:tcPr>
          <w:p>
            <w:pPr>
              <w:spacing w:after="40"/>
              <w:shd w:val="clear" w:color="auto" w:fill="F4F7FA"/>
            </w:pPr>
            <w:r>
              <w:rPr>
                <w:b/>
                <w:sz w:val="19"/>
              </w:rPr>
              <w:t xml:space="preserve">Recommended platform</w:t>
            </w:r>
          </w:p>
        </w:tc>
        <w:tc>
          <w:tcPr>
            <w:tcW w:w="3500" w:type="pct"/>
            <w:vAlign w:val="center"/>
          </w:tcPr>
          <w:p>
            <w:pPr>
              <w:spacing w:after="40"/>
            </w:pPr>
            <w:r>
              <w:rPr>
                <w:sz w:val="19"/>
              </w:rPr>
              <w:t xml:space="preserve">NetScaler MPX 8930 (Premium)</w:t>
            </w:r>
          </w:p>
        </w:tc>
      </w:tr>
      <w:tr>
        <w:tc>
          <w:tcPr>
            <w:tcW w:w="1500" w:type="pct"/>
            <w:shd w:val="clear" w:color="auto" w:fill="F4F7FA"/>
            <w:vAlign w:val="center"/>
          </w:tcPr>
          <w:p>
            <w:pPr>
              <w:spacing w:after="40"/>
              <w:shd w:val="clear" w:color="auto" w:fill="F4F7FA"/>
            </w:pPr>
            <w:r>
              <w:rPr>
                <w:b/>
                <w:sz w:val="19"/>
              </w:rPr>
              <w:t xml:space="preserve">Deployment</w:t>
            </w:r>
          </w:p>
        </w:tc>
        <w:tc>
          <w:tcPr>
            <w:tcW w:w="3500" w:type="pct"/>
            <w:vAlign w:val="center"/>
          </w:tcPr>
          <w:p>
            <w:pPr>
              <w:spacing w:after="40"/>
            </w:pPr>
            <w:r>
              <w:rPr>
                <w:sz w:val="19"/>
              </w:rPr>
              <w:t xml:space="preserve">2 x 1U Rack, reverse proxy (full proxy)</w:t>
            </w:r>
          </w:p>
        </w:tc>
      </w:tr>
      <w:tr>
        <w:tc>
          <w:tcPr>
            <w:tcW w:w="1500" w:type="pct"/>
            <w:shd w:val="clear" w:color="auto" w:fill="F4F7FA"/>
            <w:vAlign w:val="center"/>
          </w:tcPr>
          <w:p>
            <w:pPr>
              <w:spacing w:after="40"/>
              <w:shd w:val="clear" w:color="auto" w:fill="F4F7FA"/>
            </w:pPr>
            <w:r>
              <w:rPr>
                <w:b/>
                <w:sz w:val="19"/>
              </w:rPr>
              <w:t xml:space="preserve">Prepared by</w:t>
            </w:r>
          </w:p>
        </w:tc>
        <w:tc>
          <w:tcPr>
            <w:tcW w:w="3500" w:type="pct"/>
            <w:vAlign w:val="center"/>
          </w:tcPr>
          <w:p>
            <w:pPr>
              <w:spacing w:after="40"/>
            </w:pPr>
            <w:r>
              <w:rPr>
                <w:sz w:val="19"/>
              </w:rPr>
              <w:t xml:space="preserve">Niyyasoft</w:t>
            </w:r>
          </w:p>
        </w:tc>
      </w:tr>
      <w:tr>
        <w:tc>
          <w:tcPr>
            <w:tcW w:w="1500" w:type="pct"/>
            <w:shd w:val="clear" w:color="auto" w:fill="F4F7FA"/>
            <w:vAlign w:val="center"/>
          </w:tcPr>
          <w:p>
            <w:pPr>
              <w:spacing w:after="40"/>
              <w:shd w:val="clear" w:color="auto" w:fill="F4F7FA"/>
            </w:pPr>
            <w:r>
              <w:rPr>
                <w:b/>
                <w:sz w:val="19"/>
              </w:rPr>
              <w:t xml:space="preserve">Date</w:t>
            </w:r>
          </w:p>
        </w:tc>
        <w:tc>
          <w:tcPr>
            <w:tcW w:w="3500" w:type="pct"/>
            <w:vAlign w:val="center"/>
          </w:tcPr>
          <w:p>
            <w:pPr>
              <w:spacing w:after="40"/>
            </w:pPr>
            <w:r>
              <w:rPr>
                <w:sz w:val="19"/>
              </w:rPr>
              <w:t xml:space="preserve">20 September 2026</w:t>
            </w:r>
          </w:p>
        </w:tc>
      </w:tr>
    </w:tbl>
    <w:p>
      <w:pPr>
        <w:spacing w:after="160"/>
      </w:pPr>
    </w:p>
    <w:p>
      <w:pPr>
        <w:pStyle w:val="Heading1"/>
      </w:pPr>
      <w:r>
        <w:t xml:space="preserve">Executive summary</w:t>
      </w:r>
    </w:p>
    <w:p>
      <w:pPr>
        <w:spacing w:after="160"/>
      </w:pPr>
      <w:r>
        <w:t xml:space="preserve">For Niyyasoft at Riyadh DC we recommend 2 units of the NetScaler MPX 8930 (Premium), running NetScaler Web App Firewall (AppFirewall) - Premium edition, deployed as an active/standby pair in reverse proxy (full proxy). Once the inspection options, growth and design headroom are applied, each unit has to carry 89K/s, 17.9 Gbps and 8K/s of new TLS handshakes. The NetScaler MPX 8930 (Premium) is rated at 420K/s and 24 Gbps, which puts it at approximately 74% of its capacity at the end of the term, with throughput as the limiting dimension. </w:t>
      </w:r>
    </w:p>
    <w:p>
      <w:pPr>
        <w:pStyle w:val="Heading2"/>
      </w:pPr>
      <w:r>
        <w:t xml:space="preserve">Points the reviewer should see</w:t>
      </w:r>
    </w:p>
    <w:p>
      <w:pPr>
        <w:numPr>
          <w:ilvl w:val="0"/>
          <w:numId w:val="1"/>
        </w:numPr>
      </w:pPr>
      <w:r>
        <w:rPr>
          <w:sz w:val="19"/>
        </w:rPr>
        <w:t xml:space="preserve">The Web App Firewall needs NetScaler Premium edition. A Standard or Advanced licence cannot run AppFirewall at any platform size, so an existing estate on those editions needs an edition upgrade as well as capacity.</w:t>
      </w:r>
    </w:p>
    <w:p>
      <w:pPr>
        <w:pStyle w:val="Heading1"/>
        <w:pageBreakBefore/>
      </w:pPr>
      <w:r>
        <w:t xml:space="preserve">1. Requirements</w:t>
      </w:r>
    </w:p>
    <w:p>
      <w:pPr>
        <w:spacing w:after="140"/>
      </w:pPr>
      <w:r>
        <w:t xml:space="preserve">The figures below are the inputs to the sizing. Anything marked as not measured was derived, and the assumption used is named in section 5.</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3384"/>
        <w:gridCol w:w="6016"/>
      </w:tblGrid>
      <w:tr>
        <w:tc>
          <w:tcPr>
            <w:tcW w:w="1800" w:type="pct"/>
            <w:shd w:val="clear" w:color="auto" w:fill="F4F7FA"/>
            <w:vAlign w:val="center"/>
          </w:tcPr>
          <w:p>
            <w:pPr>
              <w:spacing w:after="40"/>
              <w:shd w:val="clear" w:color="auto" w:fill="F4F7FA"/>
            </w:pPr>
            <w:r>
              <w:rPr>
                <w:b/>
                <w:sz w:val="19"/>
              </w:rPr>
              <w:t xml:space="preserve">Customer</w:t>
            </w:r>
          </w:p>
        </w:tc>
        <w:tc>
          <w:tcPr>
            <w:tcW w:w="3200" w:type="pct"/>
            <w:vAlign w:val="center"/>
          </w:tcPr>
          <w:p>
            <w:pPr>
              <w:spacing w:after="40"/>
            </w:pPr>
            <w:r>
              <w:rPr>
                <w:sz w:val="19"/>
              </w:rPr>
              <w:t xml:space="preserve">Niyyasoft</w:t>
            </w:r>
          </w:p>
        </w:tc>
      </w:tr>
      <w:tr>
        <w:tc>
          <w:tcPr>
            <w:tcW w:w="1800" w:type="pct"/>
            <w:shd w:val="clear" w:color="auto" w:fill="F4F7FA"/>
            <w:vAlign w:val="center"/>
          </w:tcPr>
          <w:p>
            <w:pPr>
              <w:spacing w:after="40"/>
              <w:shd w:val="clear" w:color="auto" w:fill="F4F7FA"/>
            </w:pPr>
            <w:r>
              <w:rPr>
                <w:b/>
                <w:sz w:val="19"/>
              </w:rPr>
              <w:t xml:space="preserve">Site / environment</w:t>
            </w:r>
          </w:p>
        </w:tc>
        <w:tc>
          <w:tcPr>
            <w:tcW w:w="3200" w:type="pct"/>
            <w:vAlign w:val="center"/>
          </w:tcPr>
          <w:p>
            <w:pPr>
              <w:spacing w:after="40"/>
            </w:pPr>
            <w:r>
              <w:rPr>
                <w:sz w:val="19"/>
              </w:rPr>
              <w:t xml:space="preserve">Riyadh DC</w:t>
            </w:r>
          </w:p>
        </w:tc>
      </w:tr>
      <w:tr>
        <w:tc>
          <w:tcPr>
            <w:tcW w:w="1800" w:type="pct"/>
            <w:shd w:val="clear" w:color="auto" w:fill="F4F7FA"/>
            <w:vAlign w:val="center"/>
          </w:tcPr>
          <w:p>
            <w:pPr>
              <w:spacing w:after="40"/>
              <w:shd w:val="clear" w:color="auto" w:fill="F4F7FA"/>
            </w:pPr>
            <w:r>
              <w:rPr>
                <w:b/>
                <w:sz w:val="19"/>
              </w:rPr>
              <w:t xml:space="preserve">Application profile</w:t>
            </w:r>
          </w:p>
        </w:tc>
        <w:tc>
          <w:tcPr>
            <w:tcW w:w="3200" w:type="pct"/>
            <w:vAlign w:val="center"/>
          </w:tcPr>
          <w:p>
            <w:pPr>
              <w:spacing w:after="40"/>
            </w:pPr>
            <w:r>
              <w:rPr>
                <w:sz w:val="19"/>
              </w:rPr>
              <w:t xml:space="preserve">E-commerce / public website</w:t>
            </w:r>
          </w:p>
        </w:tc>
      </w:tr>
      <w:tr>
        <w:tc>
          <w:tcPr>
            <w:tcW w:w="1800" w:type="pct"/>
            <w:shd w:val="clear" w:color="auto" w:fill="F4F7FA"/>
            <w:vAlign w:val="center"/>
          </w:tcPr>
          <w:p>
            <w:pPr>
              <w:spacing w:after="40"/>
              <w:shd w:val="clear" w:color="auto" w:fill="F4F7FA"/>
            </w:pPr>
            <w:r>
              <w:rPr>
                <w:b/>
                <w:sz w:val="19"/>
              </w:rPr>
              <w:t xml:space="preserve">Protected applications</w:t>
            </w:r>
          </w:p>
        </w:tc>
        <w:tc>
          <w:tcPr>
            <w:tcW w:w="3200" w:type="pct"/>
            <w:vAlign w:val="center"/>
          </w:tcPr>
          <w:p>
            <w:pPr>
              <w:spacing w:after="40"/>
            </w:pPr>
            <w:r>
              <w:rPr>
                <w:sz w:val="19"/>
              </w:rPr>
              <w:t xml:space="preserve">5 across 1 site</w:t>
            </w:r>
          </w:p>
        </w:tc>
      </w:tr>
      <w:tr>
        <w:tc>
          <w:tcPr>
            <w:tcW w:w="1800" w:type="pct"/>
            <w:shd w:val="clear" w:color="auto" w:fill="F4F7FA"/>
            <w:vAlign w:val="center"/>
          </w:tcPr>
          <w:p>
            <w:pPr>
              <w:spacing w:after="40"/>
              <w:shd w:val="clear" w:color="auto" w:fill="F4F7FA"/>
            </w:pPr>
            <w:r>
              <w:rPr>
                <w:b/>
                <w:sz w:val="19"/>
              </w:rPr>
              <w:t xml:space="preserve">Where the WAF sits</w:t>
            </w:r>
          </w:p>
        </w:tc>
        <w:tc>
          <w:tcPr>
            <w:tcW w:w="3200" w:type="pct"/>
            <w:vAlign w:val="center"/>
          </w:tcPr>
          <w:p>
            <w:pPr>
              <w:spacing w:after="40"/>
            </w:pPr>
            <w:r>
              <w:rPr>
                <w:sz w:val="19"/>
              </w:rPr>
              <w:t xml:space="preserve">Internet edge / public web apps</w:t>
            </w:r>
          </w:p>
        </w:tc>
      </w:tr>
      <w:tr>
        <w:tc>
          <w:tcPr>
            <w:tcW w:w="1800" w:type="pct"/>
            <w:shd w:val="clear" w:color="auto" w:fill="F4F7FA"/>
            <w:vAlign w:val="center"/>
          </w:tcPr>
          <w:p>
            <w:pPr>
              <w:spacing w:after="40"/>
              <w:shd w:val="clear" w:color="auto" w:fill="F4F7FA"/>
            </w:pPr>
            <w:r>
              <w:rPr>
                <w:b/>
                <w:sz w:val="19"/>
              </w:rPr>
              <w:t xml:space="preserve">Insertion mode</w:t>
            </w:r>
          </w:p>
        </w:tc>
        <w:tc>
          <w:tcPr>
            <w:tcW w:w="3200" w:type="pct"/>
            <w:vAlign w:val="center"/>
          </w:tcPr>
          <w:p>
            <w:pPr>
              <w:spacing w:after="40"/>
            </w:pPr>
            <w:r>
              <w:rPr>
                <w:sz w:val="19"/>
              </w:rPr>
              <w:t xml:space="preserve">Reverse proxy (full proxy)</w:t>
            </w:r>
          </w:p>
        </w:tc>
      </w:tr>
      <w:tr>
        <w:tc>
          <w:tcPr>
            <w:tcW w:w="1800" w:type="pct"/>
            <w:shd w:val="clear" w:color="auto" w:fill="F4F7FA"/>
            <w:vAlign w:val="center"/>
          </w:tcPr>
          <w:p>
            <w:pPr>
              <w:spacing w:after="40"/>
              <w:shd w:val="clear" w:color="auto" w:fill="F4F7FA"/>
            </w:pPr>
            <w:r>
              <w:rPr>
                <w:b/>
                <w:sz w:val="19"/>
              </w:rPr>
              <w:t xml:space="preserve">Measured peak request rate</w:t>
            </w:r>
          </w:p>
        </w:tc>
        <w:tc>
          <w:tcPr>
            <w:tcW w:w="3200" w:type="pct"/>
            <w:vAlign w:val="center"/>
          </w:tcPr>
          <w:p>
            <w:pPr>
              <w:spacing w:after="40"/>
            </w:pPr>
            <w:r>
              <w:rPr>
                <w:sz w:val="19"/>
              </w:rPr>
              <w:t xml:space="preserve">24K/s</w:t>
            </w:r>
          </w:p>
        </w:tc>
      </w:tr>
      <w:tr>
        <w:tc>
          <w:tcPr>
            <w:tcW w:w="1800" w:type="pct"/>
            <w:shd w:val="clear" w:color="auto" w:fill="F4F7FA"/>
            <w:vAlign w:val="center"/>
          </w:tcPr>
          <w:p>
            <w:pPr>
              <w:spacing w:after="40"/>
              <w:shd w:val="clear" w:color="auto" w:fill="F4F7FA"/>
            </w:pPr>
            <w:r>
              <w:rPr>
                <w:b/>
                <w:sz w:val="19"/>
              </w:rPr>
              <w:t xml:space="preserve">Measured peak throughput</w:t>
            </w:r>
          </w:p>
        </w:tc>
        <w:tc>
          <w:tcPr>
            <w:tcW w:w="3200" w:type="pct"/>
            <w:vAlign w:val="center"/>
          </w:tcPr>
          <w:p>
            <w:pPr>
              <w:spacing w:after="40"/>
            </w:pPr>
            <w:r>
              <w:rPr>
                <w:sz w:val="19"/>
              </w:rPr>
              <w:t xml:space="preserve">3.2 Gbps</w:t>
            </w:r>
          </w:p>
        </w:tc>
      </w:tr>
      <w:tr>
        <w:tc>
          <w:tcPr>
            <w:tcW w:w="1800" w:type="pct"/>
            <w:shd w:val="clear" w:color="auto" w:fill="F4F7FA"/>
            <w:vAlign w:val="center"/>
          </w:tcPr>
          <w:p>
            <w:pPr>
              <w:spacing w:after="40"/>
              <w:shd w:val="clear" w:color="auto" w:fill="F4F7FA"/>
            </w:pPr>
            <w:r>
              <w:rPr>
                <w:b/>
                <w:sz w:val="19"/>
              </w:rPr>
              <w:t xml:space="preserve">Concurrent users</w:t>
            </w:r>
          </w:p>
        </w:tc>
        <w:tc>
          <w:tcPr>
            <w:tcW w:w="3200" w:type="pct"/>
            <w:vAlign w:val="center"/>
          </w:tcPr>
          <w:p>
            <w:pPr>
              <w:spacing w:after="40"/>
            </w:pPr>
            <w:r>
              <w:rPr>
                <w:sz w:val="19"/>
              </w:rPr>
              <w:t xml:space="preserve">45,000</w:t>
            </w:r>
          </w:p>
        </w:tc>
      </w:tr>
      <w:tr>
        <w:tc>
          <w:tcPr>
            <w:tcW w:w="1800" w:type="pct"/>
            <w:shd w:val="clear" w:color="auto" w:fill="F4F7FA"/>
            <w:vAlign w:val="center"/>
          </w:tcPr>
          <w:p>
            <w:pPr>
              <w:spacing w:after="40"/>
              <w:shd w:val="clear" w:color="auto" w:fill="F4F7FA"/>
            </w:pPr>
            <w:r>
              <w:rPr>
                <w:b/>
                <w:sz w:val="19"/>
              </w:rPr>
              <w:t xml:space="preserve">Average transaction size</w:t>
            </w:r>
          </w:p>
        </w:tc>
        <w:tc>
          <w:tcPr>
            <w:tcW w:w="3200" w:type="pct"/>
            <w:vAlign w:val="center"/>
          </w:tcPr>
          <w:p>
            <w:pPr>
              <w:spacing w:after="40"/>
            </w:pPr>
            <w:r>
              <w:rPr>
                <w:sz w:val="19"/>
              </w:rPr>
              <w:t xml:space="preserve">25 KB</w:t>
            </w:r>
          </w:p>
        </w:tc>
      </w:tr>
      <w:tr>
        <w:tc>
          <w:tcPr>
            <w:tcW w:w="1800" w:type="pct"/>
            <w:shd w:val="clear" w:color="auto" w:fill="F4F7FA"/>
            <w:vAlign w:val="center"/>
          </w:tcPr>
          <w:p>
            <w:pPr>
              <w:spacing w:after="40"/>
              <w:shd w:val="clear" w:color="auto" w:fill="F4F7FA"/>
            </w:pPr>
            <w:r>
              <w:rPr>
                <w:b/>
                <w:sz w:val="19"/>
              </w:rPr>
              <w:t xml:space="preserve">Encrypted traffic</w:t>
            </w:r>
          </w:p>
        </w:tc>
        <w:tc>
          <w:tcPr>
            <w:tcW w:w="3200" w:type="pct"/>
            <w:vAlign w:val="center"/>
          </w:tcPr>
          <w:p>
            <w:pPr>
              <w:spacing w:after="40"/>
            </w:pPr>
            <w:r>
              <w:rPr>
                <w:sz w:val="19"/>
              </w:rPr>
              <w:t xml:space="preserve">100% over TLS, RSA 2048 keys</w:t>
            </w:r>
          </w:p>
        </w:tc>
      </w:tr>
      <w:tr>
        <w:tc>
          <w:tcPr>
            <w:tcW w:w="1800" w:type="pct"/>
            <w:shd w:val="clear" w:color="auto" w:fill="F4F7FA"/>
            <w:vAlign w:val="center"/>
          </w:tcPr>
          <w:p>
            <w:pPr>
              <w:spacing w:after="40"/>
              <w:shd w:val="clear" w:color="auto" w:fill="F4F7FA"/>
            </w:pPr>
            <w:r>
              <w:rPr>
                <w:b/>
                <w:sz w:val="19"/>
              </w:rPr>
              <w:t xml:space="preserve">Requests per TLS connection</w:t>
            </w:r>
          </w:p>
        </w:tc>
        <w:tc>
          <w:tcPr>
            <w:tcW w:w="3200" w:type="pct"/>
            <w:vAlign w:val="center"/>
          </w:tcPr>
          <w:p>
            <w:pPr>
              <w:spacing w:after="40"/>
            </w:pPr>
            <w:r>
              <w:rPr>
                <w:sz w:val="19"/>
              </w:rPr>
              <w:t xml:space="preserve">8</w:t>
            </w:r>
          </w:p>
        </w:tc>
      </w:tr>
      <w:tr>
        <w:tc>
          <w:tcPr>
            <w:tcW w:w="1800" w:type="pct"/>
            <w:shd w:val="clear" w:color="auto" w:fill="F4F7FA"/>
            <w:vAlign w:val="center"/>
          </w:tcPr>
          <w:p>
            <w:pPr>
              <w:spacing w:after="40"/>
              <w:shd w:val="clear" w:color="auto" w:fill="F4F7FA"/>
            </w:pPr>
            <w:r>
              <w:rPr>
                <w:b/>
                <w:sz w:val="19"/>
              </w:rPr>
              <w:t xml:space="preserve">Re-encrypt to back end</w:t>
            </w:r>
          </w:p>
        </w:tc>
        <w:tc>
          <w:tcPr>
            <w:tcW w:w="3200" w:type="pct"/>
            <w:vAlign w:val="center"/>
          </w:tcPr>
          <w:p>
            <w:pPr>
              <w:spacing w:after="40"/>
            </w:pPr>
            <w:r>
              <w:rPr>
                <w:sz w:val="19"/>
              </w:rPr>
              <w:t xml:space="preserve">No - clear text to the server pool</w:t>
            </w:r>
          </w:p>
        </w:tc>
      </w:tr>
      <w:tr>
        <w:tc>
          <w:tcPr>
            <w:tcW w:w="1800" w:type="pct"/>
            <w:shd w:val="clear" w:color="auto" w:fill="F4F7FA"/>
            <w:vAlign w:val="center"/>
          </w:tcPr>
          <w:p>
            <w:pPr>
              <w:spacing w:after="40"/>
              <w:shd w:val="clear" w:color="auto" w:fill="F4F7FA"/>
            </w:pPr>
            <w:r>
              <w:rPr>
                <w:b/>
                <w:sz w:val="19"/>
              </w:rPr>
              <w:t xml:space="preserve">Security capabilities</w:t>
            </w:r>
          </w:p>
        </w:tc>
        <w:tc>
          <w:tcPr>
            <w:tcW w:w="3200" w:type="pct"/>
            <w:vAlign w:val="center"/>
          </w:tcPr>
          <w:p>
            <w:pPr>
              <w:spacing w:after="40"/>
            </w:pPr>
            <w:r>
              <w:rPr>
                <w:sz w:val="19"/>
              </w:rPr>
              <w:t xml:space="preserve">Bot management and scraping defence; Application-layer (L7) DoS protection</w:t>
            </w:r>
          </w:p>
        </w:tc>
      </w:tr>
      <w:tr>
        <w:tc>
          <w:tcPr>
            <w:tcW w:w="1800" w:type="pct"/>
            <w:shd w:val="clear" w:color="auto" w:fill="F4F7FA"/>
            <w:vAlign w:val="center"/>
          </w:tcPr>
          <w:p>
            <w:pPr>
              <w:spacing w:after="40"/>
              <w:shd w:val="clear" w:color="auto" w:fill="F4F7FA"/>
            </w:pPr>
            <w:r>
              <w:rPr>
                <w:b/>
                <w:sz w:val="19"/>
              </w:rPr>
              <w:t xml:space="preserve">High availability</w:t>
            </w:r>
          </w:p>
        </w:tc>
        <w:tc>
          <w:tcPr>
            <w:tcW w:w="3200" w:type="pct"/>
            <w:vAlign w:val="center"/>
          </w:tcPr>
          <w:p>
            <w:pPr>
              <w:spacing w:after="40"/>
            </w:pPr>
            <w:r>
              <w:rPr>
                <w:sz w:val="19"/>
              </w:rPr>
              <w:t xml:space="preserve">Active / standby pair (2 units)</w:t>
            </w:r>
          </w:p>
        </w:tc>
      </w:tr>
      <w:tr>
        <w:tc>
          <w:tcPr>
            <w:tcW w:w="1800" w:type="pct"/>
            <w:shd w:val="clear" w:color="auto" w:fill="F4F7FA"/>
            <w:vAlign w:val="center"/>
          </w:tcPr>
          <w:p>
            <w:pPr>
              <w:spacing w:after="40"/>
              <w:shd w:val="clear" w:color="auto" w:fill="F4F7FA"/>
            </w:pPr>
            <w:r>
              <w:rPr>
                <w:b/>
                <w:sz w:val="19"/>
              </w:rPr>
              <w:t xml:space="preserve">Growth allowance</w:t>
            </w:r>
          </w:p>
        </w:tc>
        <w:tc>
          <w:tcPr>
            <w:tcW w:w="3200" w:type="pct"/>
            <w:vAlign w:val="center"/>
          </w:tcPr>
          <w:p>
            <w:pPr>
              <w:spacing w:after="40"/>
            </w:pPr>
            <w:r>
              <w:rPr>
                <w:sz w:val="19"/>
              </w:rPr>
              <w:t xml:space="preserve">20% a year for 3 years</w:t>
            </w:r>
          </w:p>
        </w:tc>
      </w:tr>
      <w:tr>
        <w:tc>
          <w:tcPr>
            <w:tcW w:w="1800" w:type="pct"/>
            <w:shd w:val="clear" w:color="auto" w:fill="F4F7FA"/>
            <w:vAlign w:val="center"/>
          </w:tcPr>
          <w:p>
            <w:pPr>
              <w:spacing w:after="40"/>
              <w:shd w:val="clear" w:color="auto" w:fill="F4F7FA"/>
            </w:pPr>
            <w:r>
              <w:rPr>
                <w:b/>
                <w:sz w:val="19"/>
              </w:rPr>
              <w:t xml:space="preserve">Design headroom</w:t>
            </w:r>
          </w:p>
        </w:tc>
        <w:tc>
          <w:tcPr>
            <w:tcW w:w="3200" w:type="pct"/>
            <w:vAlign w:val="center"/>
          </w:tcPr>
          <w:p>
            <w:pPr>
              <w:spacing w:after="40"/>
            </w:pPr>
            <w:r>
              <w:rPr>
                <w:sz w:val="19"/>
              </w:rPr>
              <w:t xml:space="preserve">35% spare at end of term</w:t>
            </w:r>
          </w:p>
        </w:tc>
      </w:tr>
      <w:tr>
        <w:tc>
          <w:tcPr>
            <w:tcW w:w="1800" w:type="pct"/>
            <w:shd w:val="clear" w:color="auto" w:fill="F4F7FA"/>
            <w:vAlign w:val="center"/>
          </w:tcPr>
          <w:p>
            <w:pPr>
              <w:spacing w:after="40"/>
              <w:shd w:val="clear" w:color="auto" w:fill="F4F7FA"/>
            </w:pPr>
            <w:r>
              <w:rPr>
                <w:b/>
                <w:sz w:val="19"/>
              </w:rPr>
              <w:t xml:space="preserve">Form factor</w:t>
            </w:r>
          </w:p>
        </w:tc>
        <w:tc>
          <w:tcPr>
            <w:tcW w:w="3200" w:type="pct"/>
            <w:vAlign w:val="center"/>
          </w:tcPr>
          <w:p>
            <w:pPr>
              <w:spacing w:after="40"/>
            </w:pPr>
            <w:r>
              <w:rPr>
                <w:sz w:val="19"/>
              </w:rPr>
              <w:t xml:space="preserve">Any (no preference)</w:t>
            </w:r>
          </w:p>
        </w:tc>
      </w:tr>
      <w:tr>
        <w:tc>
          <w:tcPr>
            <w:tcW w:w="1800" w:type="pct"/>
            <w:shd w:val="clear" w:color="auto" w:fill="F4F7FA"/>
            <w:vAlign w:val="center"/>
          </w:tcPr>
          <w:p>
            <w:pPr>
              <w:spacing w:after="40"/>
              <w:shd w:val="clear" w:color="auto" w:fill="F4F7FA"/>
            </w:pPr>
            <w:r>
              <w:rPr>
                <w:b/>
                <w:sz w:val="19"/>
              </w:rPr>
              <w:t xml:space="preserve">Compliance driver</w:t>
            </w:r>
          </w:p>
        </w:tc>
        <w:tc>
          <w:tcPr>
            <w:tcW w:w="3200" w:type="pct"/>
            <w:vAlign w:val="center"/>
          </w:tcPr>
          <w:p>
            <w:pPr>
              <w:spacing w:after="40"/>
            </w:pPr>
            <w:r>
              <w:rPr>
                <w:sz w:val="19"/>
              </w:rPr>
              <w:t xml:space="preserve">Not specified</w:t>
            </w:r>
          </w:p>
        </w:tc>
      </w:tr>
    </w:tbl>
    <w:p>
      <w:pPr>
        <w:spacing w:after="160"/>
      </w:pPr>
    </w:p>
    <w:p>
      <w:pPr>
        <w:pStyle w:val="Heading1"/>
      </w:pPr>
      <w:r>
        <w:t xml:space="preserve">2. How the size was calculated</w:t>
      </w:r>
    </w:p>
    <w:p>
      <w:pPr>
        <w:spacing w:after="140"/>
      </w:pPr>
      <w:r>
        <w:t xml:space="preserve">NetScaler sizes on system throughput, HTTP requests per second, SSL bulk throughput and SSL transactions per second at RSA-2048 or ECDSA P-256. AppFirewall runs in the packet-processing path, so the figure that matters is throughput and request rate with the firewall profile applied - typically a third of the system rating once signatures, learning and bot protection are on. Each step below is applied in order, and the result is the rating every candidate platform is measured against.</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2068"/>
        <w:gridCol w:w="1692"/>
        <w:gridCol w:w="5640"/>
      </w:tblGrid>
      <w:tr>
        <w:trPr>
          <w:tblHeader/>
        </w:trPr>
        <w:tc>
          <w:tcPr>
            <w:tcW w:w="1100" w:type="pct"/>
            <w:shd w:val="clear" w:color="auto" w:fill="452170"/>
            <w:vAlign w:val="center"/>
          </w:tcPr>
          <w:p>
            <w:pPr>
              <w:spacing w:after="40"/>
              <w:shd w:val="clear" w:color="auto" w:fill="452170"/>
            </w:pPr>
            <w:r>
              <w:rPr>
                <w:b/>
                <w:sz w:val="19"/>
                <w:color w:val="FFFFFF"/>
              </w:rPr>
              <w:t xml:space="preserve">Step</w:t>
            </w:r>
          </w:p>
        </w:tc>
        <w:tc>
          <w:tcPr>
            <w:tcW w:w="900" w:type="pct"/>
            <w:shd w:val="clear" w:color="auto" w:fill="452170"/>
            <w:vAlign w:val="center"/>
          </w:tcPr>
          <w:p>
            <w:pPr>
              <w:spacing w:after="40"/>
              <w:shd w:val="clear" w:color="auto" w:fill="452170"/>
            </w:pPr>
            <w:r>
              <w:rPr>
                <w:b/>
                <w:sz w:val="19"/>
                <w:color w:val="FFFFFF"/>
              </w:rPr>
              <w:t xml:space="preserve">Result</w:t>
            </w:r>
          </w:p>
        </w:tc>
        <w:tc>
          <w:tcPr>
            <w:tcW w:w="3000" w:type="pct"/>
            <w:shd w:val="clear" w:color="auto" w:fill="452170"/>
            <w:vAlign w:val="center"/>
          </w:tcPr>
          <w:p>
            <w:pPr>
              <w:spacing w:after="40"/>
              <w:shd w:val="clear" w:color="auto" w:fill="452170"/>
            </w:pPr>
            <w:r>
              <w:rPr>
                <w:b/>
                <w:sz w:val="19"/>
                <w:color w:val="FFFFFF"/>
              </w:rPr>
              <w:t xml:space="preserve">How it was reached</w:t>
            </w:r>
          </w:p>
        </w:tc>
      </w:tr>
      <w:tr>
        <w:tc>
          <w:tcPr>
            <w:tcW w:w="1100" w:type="pct"/>
            <w:vAlign w:val="center"/>
          </w:tcPr>
          <w:p>
            <w:pPr>
              <w:spacing w:after="40"/>
            </w:pPr>
            <w:r>
              <w:rPr>
                <w:sz w:val="19"/>
              </w:rPr>
              <w:t xml:space="preserve">Day-one request rate</w:t>
            </w:r>
          </w:p>
        </w:tc>
        <w:tc>
          <w:tcPr>
            <w:tcW w:w="900" w:type="pct"/>
            <w:vAlign w:val="center"/>
          </w:tcPr>
          <w:p>
            <w:pPr>
              <w:spacing w:after="40"/>
            </w:pPr>
            <w:r>
              <w:rPr>
                <w:sz w:val="19"/>
              </w:rPr>
              <w:t xml:space="preserve">24K/s</w:t>
            </w:r>
          </w:p>
        </w:tc>
        <w:tc>
          <w:tcPr>
            <w:tcW w:w="3000" w:type="pct"/>
            <w:vAlign w:val="center"/>
          </w:tcPr>
          <w:p>
            <w:pPr>
              <w:spacing w:after="40"/>
            </w:pPr>
            <w:r>
              <w:rPr>
                <w:sz w:val="19"/>
              </w:rPr>
              <w:t xml:space="preserve">The highest of every figure the form could produce, because a WAF has to survive the worst of them: 24K/s entered as the measured peak; 45,000 users x 0.5 req/s each = 23K/s; 3.2 Gbps at 25 KB per transaction = 16K/s.</w:t>
            </w:r>
          </w:p>
        </w:tc>
      </w:tr>
      <w:tr>
        <w:tc>
          <w:tcPr>
            <w:tcW w:w="1100" w:type="pct"/>
            <w:vAlign w:val="center"/>
          </w:tcPr>
          <w:p>
            <w:pPr>
              <w:spacing w:after="40"/>
            </w:pPr>
            <w:r>
              <w:rPr>
                <w:sz w:val="19"/>
              </w:rPr>
              <w:t xml:space="preserve">Day-one application throughput</w:t>
            </w:r>
          </w:p>
        </w:tc>
        <w:tc>
          <w:tcPr>
            <w:tcW w:w="900" w:type="pct"/>
            <w:vAlign w:val="center"/>
          </w:tcPr>
          <w:p>
            <w:pPr>
              <w:spacing w:after="40"/>
            </w:pPr>
            <w:r>
              <w:rPr>
                <w:sz w:val="19"/>
              </w:rPr>
              <w:t xml:space="preserve">4.8 Gbps</w:t>
            </w:r>
          </w:p>
        </w:tc>
        <w:tc>
          <w:tcPr>
            <w:tcW w:w="3000" w:type="pct"/>
            <w:vAlign w:val="center"/>
          </w:tcPr>
          <w:p>
            <w:pPr>
              <w:spacing w:after="40"/>
            </w:pPr>
            <w:r>
              <w:rPr>
                <w:sz w:val="19"/>
              </w:rPr>
              <w:t xml:space="preserve">24K/s x 25 KB x 8 bits = 4.8 Gbps.</w:t>
            </w:r>
          </w:p>
        </w:tc>
      </w:tr>
      <w:tr>
        <w:tc>
          <w:tcPr>
            <w:tcW w:w="1100" w:type="pct"/>
            <w:vAlign w:val="center"/>
          </w:tcPr>
          <w:p>
            <w:pPr>
              <w:spacing w:after="40"/>
            </w:pPr>
            <w:r>
              <w:rPr>
                <w:sz w:val="19"/>
              </w:rPr>
              <w:t xml:space="preserve">New TLS handshakes per second</w:t>
            </w:r>
          </w:p>
        </w:tc>
        <w:tc>
          <w:tcPr>
            <w:tcW w:w="900" w:type="pct"/>
            <w:vAlign w:val="center"/>
          </w:tcPr>
          <w:p>
            <w:pPr>
              <w:spacing w:after="40"/>
            </w:pPr>
            <w:r>
              <w:rPr>
                <w:sz w:val="19"/>
              </w:rPr>
              <w:t xml:space="preserve">3K/s (RSA 2048)</w:t>
            </w:r>
          </w:p>
        </w:tc>
        <w:tc>
          <w:tcPr>
            <w:tcW w:w="3000" w:type="pct"/>
            <w:vAlign w:val="center"/>
          </w:tcPr>
          <w:p>
            <w:pPr>
              <w:spacing w:after="40"/>
            </w:pPr>
            <w:r>
              <w:rPr>
                <w:sz w:val="19"/>
              </w:rPr>
              <w:t xml:space="preserve">24K/s / 8 requests per connection x 100% encrypted. This is the figure that sinks most WAF designs: handshake capacity runs out long before throughput does.</w:t>
            </w:r>
          </w:p>
        </w:tc>
      </w:tr>
      <w:tr>
        <w:tc>
          <w:tcPr>
            <w:tcW w:w="1100" w:type="pct"/>
            <w:vAlign w:val="center"/>
          </w:tcPr>
          <w:p>
            <w:pPr>
              <w:spacing w:after="40"/>
            </w:pPr>
            <w:r>
              <w:rPr>
                <w:sz w:val="19"/>
              </w:rPr>
              <w:t xml:space="preserve">Inspection cost factor</w:t>
            </w:r>
          </w:p>
        </w:tc>
        <w:tc>
          <w:tcPr>
            <w:tcW w:w="900" w:type="pct"/>
            <w:vAlign w:val="center"/>
          </w:tcPr>
          <w:p>
            <w:pPr>
              <w:spacing w:after="40"/>
            </w:pPr>
            <w:r>
              <w:rPr>
                <w:sz w:val="19"/>
              </w:rPr>
              <w:t xml:space="preserve">x1.40</w:t>
            </w:r>
          </w:p>
        </w:tc>
        <w:tc>
          <w:tcPr>
            <w:tcW w:w="3000" w:type="pct"/>
            <w:vAlign w:val="center"/>
          </w:tcPr>
          <w:p>
            <w:pPr>
              <w:spacing w:after="40"/>
            </w:pPr>
            <w:r>
              <w:rPr>
                <w:sz w:val="19"/>
              </w:rPr>
              <w:t xml:space="preserve">Base signature and protocol policy, plus: Bot management and scraping defence +25%, Application-layer (L7) DoS protection +15%. Vendor ratings are published with a standard policy, so a heavier policy has to be paid for in platform size.</w:t>
            </w:r>
          </w:p>
        </w:tc>
      </w:tr>
      <w:tr>
        <w:tc>
          <w:tcPr>
            <w:tcW w:w="1100" w:type="pct"/>
            <w:vAlign w:val="center"/>
          </w:tcPr>
          <w:p>
            <w:pPr>
              <w:spacing w:after="40"/>
            </w:pPr>
            <w:r>
              <w:rPr>
                <w:sz w:val="19"/>
              </w:rPr>
              <w:t xml:space="preserve">Insertion mode factor</w:t>
            </w:r>
          </w:p>
        </w:tc>
        <w:tc>
          <w:tcPr>
            <w:tcW w:w="900" w:type="pct"/>
            <w:vAlign w:val="center"/>
          </w:tcPr>
          <w:p>
            <w:pPr>
              <w:spacing w:after="40"/>
            </w:pPr>
            <w:r>
              <w:rPr>
                <w:sz w:val="19"/>
              </w:rPr>
              <w:t xml:space="preserve">x1.00</w:t>
            </w:r>
          </w:p>
        </w:tc>
        <w:tc>
          <w:tcPr>
            <w:tcW w:w="3000" w:type="pct"/>
            <w:vAlign w:val="center"/>
          </w:tcPr>
          <w:p>
            <w:pPr>
              <w:spacing w:after="40"/>
            </w:pPr>
            <w:r>
              <w:rPr>
                <w:sz w:val="19"/>
              </w:rPr>
              <w:t xml:space="preserve">Reverse proxy (full proxy). The WAF terminates the client connection and opens its own to the server. Full request and response inspection, TLS termination, header rewriting and response blocking. The default for all three vendors.</w:t>
            </w:r>
          </w:p>
        </w:tc>
      </w:tr>
      <w:tr>
        <w:tc>
          <w:tcPr>
            <w:tcW w:w="1100" w:type="pct"/>
            <w:vAlign w:val="center"/>
          </w:tcPr>
          <w:p>
            <w:pPr>
              <w:spacing w:after="40"/>
            </w:pPr>
            <w:r>
              <w:rPr>
                <w:sz w:val="19"/>
              </w:rPr>
              <w:t xml:space="preserve">Growth to end of term</w:t>
            </w:r>
          </w:p>
        </w:tc>
        <w:tc>
          <w:tcPr>
            <w:tcW w:w="900" w:type="pct"/>
            <w:vAlign w:val="center"/>
          </w:tcPr>
          <w:p>
            <w:pPr>
              <w:spacing w:after="40"/>
            </w:pPr>
            <w:r>
              <w:rPr>
                <w:sz w:val="19"/>
              </w:rPr>
              <w:t xml:space="preserve">x1.73</w:t>
            </w:r>
          </w:p>
        </w:tc>
        <w:tc>
          <w:tcPr>
            <w:tcW w:w="3000" w:type="pct"/>
            <w:vAlign w:val="center"/>
          </w:tcPr>
          <w:p>
            <w:pPr>
              <w:spacing w:after="40"/>
            </w:pPr>
            <w:r>
              <w:rPr>
                <w:sz w:val="19"/>
              </w:rPr>
              <w:t xml:space="preserve">20% a year compounded over 3 years. The platform is sized for the last year of its life, not the first.</w:t>
            </w:r>
          </w:p>
        </w:tc>
      </w:tr>
      <w:tr>
        <w:tc>
          <w:tcPr>
            <w:tcW w:w="1100" w:type="pct"/>
            <w:vAlign w:val="center"/>
          </w:tcPr>
          <w:p>
            <w:pPr>
              <w:spacing w:after="40"/>
            </w:pPr>
            <w:r>
              <w:rPr>
                <w:sz w:val="19"/>
              </w:rPr>
              <w:t xml:space="preserve">Design headroom</w:t>
            </w:r>
          </w:p>
        </w:tc>
        <w:tc>
          <w:tcPr>
            <w:tcW w:w="900" w:type="pct"/>
            <w:vAlign w:val="center"/>
          </w:tcPr>
          <w:p>
            <w:pPr>
              <w:spacing w:after="40"/>
            </w:pPr>
            <w:r>
              <w:rPr>
                <w:sz w:val="19"/>
              </w:rPr>
              <w:t xml:space="preserve">35% spare (divide by 0.65)</w:t>
            </w:r>
          </w:p>
        </w:tc>
        <w:tc>
          <w:tcPr>
            <w:tcW w:w="3000" w:type="pct"/>
            <w:vAlign w:val="center"/>
          </w:tcPr>
          <w:p>
            <w:pPr>
              <w:spacing w:after="40"/>
            </w:pPr>
            <w:r>
              <w:rPr>
                <w:sz w:val="19"/>
              </w:rPr>
              <w:t xml:space="preserve">The platform is sized to run at no more than 65% of its rating at the end of the term, leaving room for an attack, a failover and a policy that grows.</w:t>
            </w:r>
          </w:p>
        </w:tc>
      </w:tr>
      <w:tr>
        <w:tc>
          <w:tcPr>
            <w:tcW w:w="1100" w:type="pct"/>
            <w:vAlign w:val="center"/>
          </w:tcPr>
          <w:p>
            <w:pPr>
              <w:spacing w:after="40"/>
            </w:pPr>
            <w:r>
              <w:rPr>
                <w:sz w:val="19"/>
              </w:rPr>
              <w:t xml:space="preserve">Load carried by each unit</w:t>
            </w:r>
          </w:p>
        </w:tc>
        <w:tc>
          <w:tcPr>
            <w:tcW w:w="900" w:type="pct"/>
            <w:vAlign w:val="center"/>
          </w:tcPr>
          <w:p>
            <w:pPr>
              <w:spacing w:after="40"/>
            </w:pPr>
            <w:r>
              <w:rPr>
                <w:sz w:val="19"/>
              </w:rPr>
              <w:t xml:space="preserve">100% of total, across 2 units</w:t>
            </w:r>
          </w:p>
        </w:tc>
        <w:tc>
          <w:tcPr>
            <w:tcW w:w="3000" w:type="pct"/>
            <w:vAlign w:val="center"/>
          </w:tcPr>
          <w:p>
            <w:pPr>
              <w:spacing w:after="40"/>
            </w:pPr>
            <w:r>
              <w:rPr>
                <w:sz w:val="19"/>
              </w:rPr>
              <w:t xml:space="preserve">Active / standby pair. The standby unit carries the full load the moment the active one fails, so both are sized identically for 100%.</w:t>
            </w:r>
          </w:p>
        </w:tc>
      </w:tr>
      <w:tr>
        <w:tc>
          <w:tcPr>
            <w:tcW w:w="1100" w:type="pct"/>
            <w:vAlign w:val="center"/>
          </w:tcPr>
          <w:p>
            <w:pPr>
              <w:spacing w:after="40"/>
            </w:pPr>
            <w:r>
              <w:rPr>
                <w:sz w:val="19"/>
              </w:rPr>
              <w:t xml:space="preserve">Concurrent connections</w:t>
            </w:r>
          </w:p>
        </w:tc>
        <w:tc>
          <w:tcPr>
            <w:tcW w:w="900" w:type="pct"/>
            <w:vAlign w:val="center"/>
          </w:tcPr>
          <w:p>
            <w:pPr>
              <w:spacing w:after="40"/>
            </w:pPr>
            <w:r>
              <w:rPr>
                <w:sz w:val="19"/>
              </w:rPr>
              <w:t xml:space="preserve">479K</w:t>
            </w:r>
          </w:p>
        </w:tc>
        <w:tc>
          <w:tcPr>
            <w:tcW w:w="3000" w:type="pct"/>
            <w:vAlign w:val="center"/>
          </w:tcPr>
          <w:p>
            <w:pPr>
              <w:spacing w:after="40"/>
            </w:pPr>
            <w:r>
              <w:rPr>
                <w:sz w:val="19"/>
              </w:rPr>
              <w:t xml:space="preserve">180,000 entered, then grown and de-rated like everything else.</w:t>
            </w:r>
          </w:p>
        </w:tc>
      </w:tr>
      <w:tr>
        <w:tc>
          <w:tcPr>
            <w:tcW w:w="1100" w:type="pct"/>
            <w:vAlign w:val="center"/>
          </w:tcPr>
          <w:p>
            <w:pPr>
              <w:spacing w:after="40"/>
            </w:pPr>
            <w:r>
              <w:rPr>
                <w:sz w:val="19"/>
              </w:rPr>
              <w:t xml:space="preserve">Required per-unit rating</w:t>
            </w:r>
          </w:p>
        </w:tc>
        <w:tc>
          <w:tcPr>
            <w:tcW w:w="900" w:type="pct"/>
            <w:vAlign w:val="center"/>
          </w:tcPr>
          <w:p>
            <w:pPr>
              <w:spacing w:after="40"/>
            </w:pPr>
            <w:r>
              <w:rPr>
                <w:sz w:val="19"/>
              </w:rPr>
              <w:t xml:space="preserve">89K/s / 17.9 Gbps / 8K/s TLS</w:t>
            </w:r>
          </w:p>
        </w:tc>
        <w:tc>
          <w:tcPr>
            <w:tcW w:w="3000" w:type="pct"/>
            <w:vAlign w:val="center"/>
          </w:tcPr>
          <w:p>
            <w:pPr>
              <w:spacing w:after="40"/>
            </w:pPr>
            <w:r>
              <w:rPr>
                <w:sz w:val="19"/>
              </w:rPr>
              <w:t xml:space="preserve">Day-one figures x 1.40 inspection x 1.00 mode x 1.73 growth / 0.65 headroom x 1.00 HA share. Every model below is measured against these four numbers.</w:t>
            </w:r>
          </w:p>
        </w:tc>
      </w:tr>
    </w:tbl>
    <w:p>
      <w:pPr>
        <w:spacing w:after="160"/>
      </w:pPr>
    </w:p>
    <w:p>
      <w:pPr>
        <w:pStyle w:val="Heading1"/>
        <w:pageBreakBefore/>
      </w:pPr>
      <w:r>
        <w:t xml:space="preserve">3. The recommended platform</w:t>
      </w:r>
    </w:p>
    <w:p>
      <w:pPr>
        <w:spacing w:after="120"/>
      </w:pPr>
      <w:r>
        <w:t xml:space="preserve">One box does load balancing, GSLB, TLS offload, caching, compression, bot management and the WAF, with a single licence edition covering the lot. Pooled capacity means throughput can be moved between appliances and form factors as the estate changes, which no other vendor here matches as cleanly.</w:t>
      </w:r>
    </w:p>
    <w:p>
      <w:pPr>
        <w:spacing w:after="160"/>
      </w:pPr>
      <w:r>
        <w:rPr>
          <w:i/>
          <w:sz w:val="19"/>
        </w:rPr>
        <w:t xml:space="preserve">Worth knowing: The WAF needs Premium edition. Standard and Advanced licences will not run AppFirewall, so an upgrade to Premium is part of the sizing answer whenever an existing Standard or Advanced estate is being extended. VPX throughput is licensed, not physical - a VPX 3000 will not pass more than 3 Gbps whatever the host can do.</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3008"/>
        <w:gridCol w:w="6392"/>
      </w:tblGrid>
      <w:tr>
        <w:tc>
          <w:tcPr>
            <w:tcW w:w="1600" w:type="pct"/>
            <w:shd w:val="clear" w:color="auto" w:fill="F4F7FA"/>
            <w:vAlign w:val="center"/>
          </w:tcPr>
          <w:p>
            <w:pPr>
              <w:spacing w:after="40"/>
              <w:shd w:val="clear" w:color="auto" w:fill="F4F7FA"/>
            </w:pPr>
            <w:r>
              <w:rPr>
                <w:b/>
                <w:sz w:val="19"/>
              </w:rPr>
              <w:t xml:space="preserve">Vendor</w:t>
            </w:r>
          </w:p>
        </w:tc>
        <w:tc>
          <w:tcPr>
            <w:tcW w:w="3400" w:type="pct"/>
            <w:vAlign w:val="center"/>
          </w:tcPr>
          <w:p>
            <w:pPr>
              <w:spacing w:after="40"/>
            </w:pPr>
            <w:r>
              <w:rPr>
                <w:sz w:val="19"/>
              </w:rPr>
              <w:t xml:space="preserve">Citrix NetScaler - NetScaler Web App Firewall (AppFirewall) - Premium edition</w:t>
            </w:r>
          </w:p>
        </w:tc>
      </w:tr>
      <w:tr>
        <w:tc>
          <w:tcPr>
            <w:tcW w:w="1600" w:type="pct"/>
            <w:shd w:val="clear" w:color="auto" w:fill="F4F7FA"/>
            <w:vAlign w:val="center"/>
          </w:tcPr>
          <w:p>
            <w:pPr>
              <w:spacing w:after="40"/>
              <w:shd w:val="clear" w:color="auto" w:fill="F4F7FA"/>
            </w:pPr>
            <w:r>
              <w:rPr>
                <w:b/>
                <w:sz w:val="19"/>
              </w:rPr>
              <w:t xml:space="preserve">Model</w:t>
            </w:r>
          </w:p>
        </w:tc>
        <w:tc>
          <w:tcPr>
            <w:tcW w:w="3400" w:type="pct"/>
            <w:vAlign w:val="center"/>
          </w:tcPr>
          <w:p>
            <w:pPr>
              <w:spacing w:after="40"/>
            </w:pPr>
            <w:r>
              <w:rPr>
                <w:sz w:val="19"/>
              </w:rPr>
              <w:t xml:space="preserve">NetScaler MPX 8930 (Premium)</w:t>
            </w:r>
          </w:p>
        </w:tc>
      </w:tr>
      <w:tr>
        <w:tc>
          <w:tcPr>
            <w:tcW w:w="1600" w:type="pct"/>
            <w:shd w:val="clear" w:color="auto" w:fill="F4F7FA"/>
            <w:vAlign w:val="center"/>
          </w:tcPr>
          <w:p>
            <w:pPr>
              <w:spacing w:after="40"/>
              <w:shd w:val="clear" w:color="auto" w:fill="F4F7FA"/>
            </w:pPr>
            <w:r>
              <w:rPr>
                <w:b/>
                <w:sz w:val="19"/>
              </w:rPr>
              <w:t xml:space="preserve">Product family</w:t>
            </w:r>
          </w:p>
        </w:tc>
        <w:tc>
          <w:tcPr>
            <w:tcW w:w="3400" w:type="pct"/>
            <w:vAlign w:val="center"/>
          </w:tcPr>
          <w:p>
            <w:pPr>
              <w:spacing w:after="40"/>
            </w:pPr>
            <w:r>
              <w:rPr>
                <w:sz w:val="19"/>
              </w:rPr>
              <w:t xml:space="preserve">MPX 8900</w:t>
            </w:r>
          </w:p>
        </w:tc>
      </w:tr>
      <w:tr>
        <w:tc>
          <w:tcPr>
            <w:tcW w:w="1600" w:type="pct"/>
            <w:shd w:val="clear" w:color="auto" w:fill="F4F7FA"/>
            <w:vAlign w:val="center"/>
          </w:tcPr>
          <w:p>
            <w:pPr>
              <w:spacing w:after="40"/>
              <w:shd w:val="clear" w:color="auto" w:fill="F4F7FA"/>
            </w:pPr>
            <w:r>
              <w:rPr>
                <w:b/>
                <w:sz w:val="19"/>
              </w:rPr>
              <w:t xml:space="preserve">Form factor</w:t>
            </w:r>
          </w:p>
        </w:tc>
        <w:tc>
          <w:tcPr>
            <w:tcW w:w="3400" w:type="pct"/>
            <w:vAlign w:val="center"/>
          </w:tcPr>
          <w:p>
            <w:pPr>
              <w:spacing w:after="40"/>
            </w:pPr>
            <w:r>
              <w:rPr>
                <w:sz w:val="19"/>
              </w:rPr>
              <w:t xml:space="preserve">1U Rack (x2)</w:t>
            </w:r>
          </w:p>
        </w:tc>
      </w:tr>
      <w:tr>
        <w:tc>
          <w:tcPr>
            <w:tcW w:w="1600" w:type="pct"/>
            <w:shd w:val="clear" w:color="auto" w:fill="F4F7FA"/>
            <w:vAlign w:val="center"/>
          </w:tcPr>
          <w:p>
            <w:pPr>
              <w:spacing w:after="40"/>
              <w:shd w:val="clear" w:color="auto" w:fill="F4F7FA"/>
            </w:pPr>
            <w:r>
              <w:rPr>
                <w:b/>
                <w:sz w:val="19"/>
              </w:rPr>
              <w:t xml:space="preserve">WAF request rate</w:t>
            </w:r>
          </w:p>
        </w:tc>
        <w:tc>
          <w:tcPr>
            <w:tcW w:w="3400" w:type="pct"/>
            <w:vAlign w:val="center"/>
          </w:tcPr>
          <w:p>
            <w:pPr>
              <w:spacing w:after="40"/>
            </w:pPr>
            <w:r>
              <w:rPr>
                <w:sz w:val="19"/>
              </w:rPr>
              <w:t xml:space="preserve">420K/s</w:t>
            </w:r>
          </w:p>
        </w:tc>
      </w:tr>
      <w:tr>
        <w:tc>
          <w:tcPr>
            <w:tcW w:w="1600" w:type="pct"/>
            <w:shd w:val="clear" w:color="auto" w:fill="F4F7FA"/>
            <w:vAlign w:val="center"/>
          </w:tcPr>
          <w:p>
            <w:pPr>
              <w:spacing w:after="40"/>
              <w:shd w:val="clear" w:color="auto" w:fill="F4F7FA"/>
            </w:pPr>
            <w:r>
              <w:rPr>
                <w:b/>
                <w:sz w:val="19"/>
              </w:rPr>
              <w:t xml:space="preserve">WAF throughput</w:t>
            </w:r>
          </w:p>
        </w:tc>
        <w:tc>
          <w:tcPr>
            <w:tcW w:w="3400" w:type="pct"/>
            <w:vAlign w:val="center"/>
          </w:tcPr>
          <w:p>
            <w:pPr>
              <w:spacing w:after="40"/>
            </w:pPr>
            <w:r>
              <w:rPr>
                <w:sz w:val="19"/>
              </w:rPr>
              <w:t xml:space="preserve">24 Gbps</w:t>
            </w:r>
          </w:p>
        </w:tc>
      </w:tr>
      <w:tr>
        <w:tc>
          <w:tcPr>
            <w:tcW w:w="1600" w:type="pct"/>
            <w:shd w:val="clear" w:color="auto" w:fill="F4F7FA"/>
            <w:vAlign w:val="center"/>
          </w:tcPr>
          <w:p>
            <w:pPr>
              <w:spacing w:after="40"/>
              <w:shd w:val="clear" w:color="auto" w:fill="F4F7FA"/>
            </w:pPr>
            <w:r>
              <w:rPr>
                <w:b/>
                <w:sz w:val="19"/>
              </w:rPr>
              <w:t xml:space="preserve">L7 throughput without WAF</w:t>
            </w:r>
          </w:p>
        </w:tc>
        <w:tc>
          <w:tcPr>
            <w:tcW w:w="3400" w:type="pct"/>
            <w:vAlign w:val="center"/>
          </w:tcPr>
          <w:p>
            <w:pPr>
              <w:spacing w:after="40"/>
            </w:pPr>
            <w:r>
              <w:rPr>
                <w:sz w:val="19"/>
              </w:rPr>
              <w:t xml:space="preserve">55 Gbps</w:t>
            </w:r>
          </w:p>
        </w:tc>
      </w:tr>
      <w:tr>
        <w:tc>
          <w:tcPr>
            <w:tcW w:w="1600" w:type="pct"/>
            <w:shd w:val="clear" w:color="auto" w:fill="F4F7FA"/>
            <w:vAlign w:val="center"/>
          </w:tcPr>
          <w:p>
            <w:pPr>
              <w:spacing w:after="40"/>
              <w:shd w:val="clear" w:color="auto" w:fill="F4F7FA"/>
            </w:pPr>
            <w:r>
              <w:rPr>
                <w:b/>
                <w:sz w:val="19"/>
              </w:rPr>
              <w:t xml:space="preserve">TLS handshakes/sec</w:t>
            </w:r>
          </w:p>
        </w:tc>
        <w:tc>
          <w:tcPr>
            <w:tcW w:w="3400" w:type="pct"/>
            <w:vAlign w:val="center"/>
          </w:tcPr>
          <w:p>
            <w:pPr>
              <w:spacing w:after="40"/>
            </w:pPr>
            <w:r>
              <w:rPr>
                <w:sz w:val="19"/>
              </w:rPr>
              <w:t xml:space="preserve">28K/s RSA 2048, 72K/s ECDSA P-256 (sized on RSA)</w:t>
            </w:r>
          </w:p>
        </w:tc>
      </w:tr>
      <w:tr>
        <w:tc>
          <w:tcPr>
            <w:tcW w:w="1600" w:type="pct"/>
            <w:shd w:val="clear" w:color="auto" w:fill="F4F7FA"/>
            <w:vAlign w:val="center"/>
          </w:tcPr>
          <w:p>
            <w:pPr>
              <w:spacing w:after="40"/>
              <w:shd w:val="clear" w:color="auto" w:fill="F4F7FA"/>
            </w:pPr>
            <w:r>
              <w:rPr>
                <w:b/>
                <w:sz w:val="19"/>
              </w:rPr>
              <w:t xml:space="preserve">Bulk TLS throughput</w:t>
            </w:r>
          </w:p>
        </w:tc>
        <w:tc>
          <w:tcPr>
            <w:tcW w:w="3400" w:type="pct"/>
            <w:vAlign w:val="center"/>
          </w:tcPr>
          <w:p>
            <w:pPr>
              <w:spacing w:after="40"/>
            </w:pPr>
            <w:r>
              <w:rPr>
                <w:sz w:val="19"/>
              </w:rPr>
              <w:t xml:space="preserve">26 Gbps</w:t>
            </w:r>
          </w:p>
        </w:tc>
      </w:tr>
      <w:tr>
        <w:tc>
          <w:tcPr>
            <w:tcW w:w="1600" w:type="pct"/>
            <w:shd w:val="clear" w:color="auto" w:fill="F4F7FA"/>
            <w:vAlign w:val="center"/>
          </w:tcPr>
          <w:p>
            <w:pPr>
              <w:spacing w:after="40"/>
              <w:shd w:val="clear" w:color="auto" w:fill="F4F7FA"/>
            </w:pPr>
            <w:r>
              <w:rPr>
                <w:b/>
                <w:sz w:val="19"/>
              </w:rPr>
              <w:t xml:space="preserve">Concurrent connections</w:t>
            </w:r>
          </w:p>
        </w:tc>
        <w:tc>
          <w:tcPr>
            <w:tcW w:w="3400" w:type="pct"/>
            <w:vAlign w:val="center"/>
          </w:tcPr>
          <w:p>
            <w:pPr>
              <w:spacing w:after="40"/>
            </w:pPr>
            <w:r>
              <w:rPr>
                <w:sz w:val="19"/>
              </w:rPr>
              <w:t xml:space="preserve">24M</w:t>
            </w:r>
          </w:p>
        </w:tc>
      </w:tr>
      <w:tr>
        <w:tc>
          <w:tcPr>
            <w:tcW w:w="1600" w:type="pct"/>
            <w:shd w:val="clear" w:color="auto" w:fill="F4F7FA"/>
            <w:vAlign w:val="center"/>
          </w:tcPr>
          <w:p>
            <w:pPr>
              <w:spacing w:after="40"/>
              <w:shd w:val="clear" w:color="auto" w:fill="F4F7FA"/>
            </w:pPr>
            <w:r>
              <w:rPr>
                <w:b/>
                <w:sz w:val="19"/>
              </w:rPr>
              <w:t xml:space="preserve">Rated applications</w:t>
            </w:r>
          </w:p>
        </w:tc>
        <w:tc>
          <w:tcPr>
            <w:tcW w:w="3400" w:type="pct"/>
            <w:vAlign w:val="center"/>
          </w:tcPr>
          <w:p>
            <w:pPr>
              <w:spacing w:after="40"/>
            </w:pPr>
            <w:r>
              <w:rPr>
                <w:sz w:val="19"/>
              </w:rPr>
              <w:t xml:space="preserve">80</w:t>
            </w:r>
          </w:p>
        </w:tc>
      </w:tr>
      <w:tr>
        <w:tc>
          <w:tcPr>
            <w:tcW w:w="1600" w:type="pct"/>
            <w:shd w:val="clear" w:color="auto" w:fill="F4F7FA"/>
            <w:vAlign w:val="center"/>
          </w:tcPr>
          <w:p>
            <w:pPr>
              <w:spacing w:after="40"/>
              <w:shd w:val="clear" w:color="auto" w:fill="F4F7FA"/>
            </w:pPr>
            <w:r>
              <w:rPr>
                <w:b/>
                <w:sz w:val="19"/>
              </w:rPr>
              <w:t xml:space="preserve">Interfaces</w:t>
            </w:r>
          </w:p>
        </w:tc>
        <w:tc>
          <w:tcPr>
            <w:tcW w:w="3400" w:type="pct"/>
            <w:vAlign w:val="center"/>
          </w:tcPr>
          <w:p>
            <w:pPr>
              <w:spacing w:after="40"/>
            </w:pPr>
            <w:r>
              <w:rPr>
                <w:sz w:val="19"/>
              </w:rPr>
              <w:t xml:space="preserve">8x 10GbE SFP+, 4x 25GbE SFP28</w:t>
            </w:r>
          </w:p>
        </w:tc>
      </w:tr>
      <w:tr>
        <w:tc>
          <w:tcPr>
            <w:tcW w:w="1600" w:type="pct"/>
            <w:shd w:val="clear" w:color="auto" w:fill="F4F7FA"/>
            <w:vAlign w:val="center"/>
          </w:tcPr>
          <w:p>
            <w:pPr>
              <w:spacing w:after="40"/>
              <w:shd w:val="clear" w:color="auto" w:fill="F4F7FA"/>
            </w:pPr>
            <w:r>
              <w:rPr>
                <w:b/>
                <w:sz w:val="19"/>
              </w:rPr>
              <w:t xml:space="preserve">High availability</w:t>
            </w:r>
          </w:p>
        </w:tc>
        <w:tc>
          <w:tcPr>
            <w:tcW w:w="3400" w:type="pct"/>
            <w:vAlign w:val="center"/>
          </w:tcPr>
          <w:p>
            <w:pPr>
              <w:spacing w:after="40"/>
            </w:pPr>
            <w:r>
              <w:rPr>
                <w:sz w:val="19"/>
              </w:rPr>
              <w:t xml:space="preserve">Active/Passive, Cluster</w:t>
            </w:r>
          </w:p>
        </w:tc>
      </w:tr>
      <w:tr>
        <w:tc>
          <w:tcPr>
            <w:tcW w:w="1600" w:type="pct"/>
            <w:shd w:val="clear" w:color="auto" w:fill="F4F7FA"/>
            <w:vAlign w:val="center"/>
          </w:tcPr>
          <w:p>
            <w:pPr>
              <w:spacing w:after="40"/>
              <w:shd w:val="clear" w:color="auto" w:fill="F4F7FA"/>
            </w:pPr>
            <w:r>
              <w:rPr>
                <w:b/>
                <w:sz w:val="19"/>
              </w:rPr>
              <w:t xml:space="preserve">Operating system</w:t>
            </w:r>
          </w:p>
        </w:tc>
        <w:tc>
          <w:tcPr>
            <w:tcW w:w="3400" w:type="pct"/>
            <w:vAlign w:val="center"/>
          </w:tcPr>
          <w:p>
            <w:pPr>
              <w:spacing w:after="40"/>
            </w:pPr>
            <w:r>
              <w:rPr>
                <w:sz w:val="19"/>
              </w:rPr>
              <w:t xml:space="preserve">NetScaler (Citrix ADC) firmware</w:t>
            </w:r>
          </w:p>
        </w:tc>
      </w:tr>
      <w:tr>
        <w:tc>
          <w:tcPr>
            <w:tcW w:w="1600" w:type="pct"/>
            <w:shd w:val="clear" w:color="auto" w:fill="F4F7FA"/>
            <w:vAlign w:val="center"/>
          </w:tcPr>
          <w:p>
            <w:pPr>
              <w:spacing w:after="40"/>
              <w:shd w:val="clear" w:color="auto" w:fill="F4F7FA"/>
            </w:pPr>
            <w:r>
              <w:rPr>
                <w:b/>
                <w:sz w:val="19"/>
              </w:rPr>
              <w:t xml:space="preserve">Management</w:t>
            </w:r>
          </w:p>
        </w:tc>
        <w:tc>
          <w:tcPr>
            <w:tcW w:w="3400" w:type="pct"/>
            <w:vAlign w:val="center"/>
          </w:tcPr>
          <w:p>
            <w:pPr>
              <w:spacing w:after="40"/>
            </w:pPr>
            <w:r>
              <w:rPr>
                <w:sz w:val="19"/>
              </w:rPr>
              <w:t xml:space="preserve">NetScaler Console (formerly Citrix ADM), on-premises or cloud</w:t>
            </w:r>
          </w:p>
        </w:tc>
      </w:tr>
      <w:tr>
        <w:tc>
          <w:tcPr>
            <w:tcW w:w="1600" w:type="pct"/>
            <w:shd w:val="clear" w:color="auto" w:fill="F4F7FA"/>
            <w:vAlign w:val="center"/>
          </w:tcPr>
          <w:p>
            <w:pPr>
              <w:spacing w:after="40"/>
              <w:shd w:val="clear" w:color="auto" w:fill="F4F7FA"/>
            </w:pPr>
            <w:r>
              <w:rPr>
                <w:b/>
                <w:sz w:val="19"/>
              </w:rPr>
              <w:t xml:space="preserve">Positioning</w:t>
            </w:r>
          </w:p>
        </w:tc>
        <w:tc>
          <w:tcPr>
            <w:tcW w:w="3400" w:type="pct"/>
            <w:vAlign w:val="center"/>
          </w:tcPr>
          <w:p>
            <w:pPr>
              <w:spacing w:after="40"/>
            </w:pPr>
            <w:r>
              <w:rPr>
                <w:sz w:val="19"/>
              </w:rPr>
              <w:t xml:space="preserve">Top of the MPX 8900 range.</w:t>
            </w:r>
          </w:p>
        </w:tc>
      </w:tr>
    </w:tbl>
    <w:p>
      <w:pPr>
        <w:spacing w:after="160"/>
      </w:pPr>
    </w:p>
    <w:p>
      <w:pPr>
        <w:pStyle w:val="Heading1"/>
      </w:pPr>
      <w:r>
        <w:t xml:space="preserve">4. Inspection design</w:t>
      </w:r>
    </w:p>
    <w:p>
      <w:pPr>
        <w:spacing w:after="140"/>
      </w:pPr>
      <w:r>
        <w:t xml:space="preserve">These are the stages a request passes through, in order, with the options this design enables. Each stage costs processing capacity, which is why the inspection factor in section 2 is what it is.</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752"/>
        <w:gridCol w:w="2820"/>
        <w:gridCol w:w="5828"/>
      </w:tblGrid>
      <w:tr>
        <w:trPr>
          <w:tblHeader/>
        </w:trPr>
        <w:tc>
          <w:tcPr>
            <w:tcW w:w="400" w:type="pct"/>
            <w:shd w:val="clear" w:color="auto" w:fill="452170"/>
            <w:vAlign w:val="center"/>
          </w:tcPr>
          <w:p>
            <w:pPr>
              <w:spacing w:after="40"/>
              <w:shd w:val="clear" w:color="auto" w:fill="452170"/>
            </w:pPr>
            <w:r>
              <w:rPr>
                <w:b/>
                <w:sz w:val="19"/>
                <w:color w:val="FFFFFF"/>
              </w:rPr>
              <w:t xml:space="preserve">#</w:t>
            </w:r>
          </w:p>
        </w:tc>
        <w:tc>
          <w:tcPr>
            <w:tcW w:w="1500" w:type="pct"/>
            <w:shd w:val="clear" w:color="auto" w:fill="452170"/>
            <w:vAlign w:val="center"/>
          </w:tcPr>
          <w:p>
            <w:pPr>
              <w:spacing w:after="40"/>
              <w:shd w:val="clear" w:color="auto" w:fill="452170"/>
            </w:pPr>
            <w:r>
              <w:rPr>
                <w:b/>
                <w:sz w:val="19"/>
                <w:color w:val="FFFFFF"/>
              </w:rPr>
              <w:t xml:space="preserve">Stage</w:t>
            </w:r>
          </w:p>
        </w:tc>
        <w:tc>
          <w:tcPr>
            <w:tcW w:w="3100" w:type="pct"/>
            <w:shd w:val="clear" w:color="auto" w:fill="452170"/>
            <w:vAlign w:val="center"/>
          </w:tcPr>
          <w:p>
            <w:pPr>
              <w:spacing w:after="40"/>
              <w:shd w:val="clear" w:color="auto" w:fill="452170"/>
            </w:pPr>
            <w:r>
              <w:rPr>
                <w:b/>
                <w:sz w:val="19"/>
                <w:color w:val="FFFFFF"/>
              </w:rPr>
              <w:t xml:space="preserve">What it does</w:t>
            </w:r>
          </w:p>
        </w:tc>
      </w:tr>
      <w:tr>
        <w:tc>
          <w:tcPr>
            <w:tcW w:w="400" w:type="pct"/>
            <w:vAlign w:val="center"/>
          </w:tcPr>
          <w:p>
            <w:pPr>
              <w:spacing w:after="40"/>
            </w:pPr>
            <w:r>
              <w:rPr>
                <w:sz w:val="19"/>
              </w:rPr>
              <w:t xml:space="preserve">1</w:t>
            </w:r>
          </w:p>
        </w:tc>
        <w:tc>
          <w:tcPr>
            <w:tcW w:w="1500" w:type="pct"/>
            <w:vAlign w:val="center"/>
          </w:tcPr>
          <w:p>
            <w:pPr>
              <w:spacing w:after="40"/>
            </w:pPr>
            <w:r>
              <w:rPr>
                <w:sz w:val="19"/>
              </w:rPr>
              <w:t xml:space="preserve">Accept and TCP/TLS terminate</w:t>
            </w:r>
          </w:p>
        </w:tc>
        <w:tc>
          <w:tcPr>
            <w:tcW w:w="3100" w:type="pct"/>
            <w:vAlign w:val="center"/>
          </w:tcPr>
          <w:p>
            <w:pPr>
              <w:spacing w:after="40"/>
            </w:pPr>
            <w:r>
              <w:rPr>
                <w:sz w:val="19"/>
              </w:rPr>
              <w:t xml:space="preserve">100% TLS, RSA 2048</w:t>
            </w:r>
          </w:p>
        </w:tc>
      </w:tr>
      <w:tr>
        <w:tc>
          <w:tcPr>
            <w:tcW w:w="400" w:type="pct"/>
            <w:vAlign w:val="center"/>
          </w:tcPr>
          <w:p>
            <w:pPr>
              <w:spacing w:after="40"/>
            </w:pPr>
            <w:r>
              <w:rPr>
                <w:sz w:val="19"/>
              </w:rPr>
              <w:t xml:space="preserve">2</w:t>
            </w:r>
          </w:p>
        </w:tc>
        <w:tc>
          <w:tcPr>
            <w:tcW w:w="1500" w:type="pct"/>
            <w:vAlign w:val="center"/>
          </w:tcPr>
          <w:p>
            <w:pPr>
              <w:spacing w:after="40"/>
            </w:pPr>
            <w:r>
              <w:rPr>
                <w:sz w:val="19"/>
              </w:rPr>
              <w:t xml:space="preserve">L7 DoS defence</w:t>
            </w:r>
          </w:p>
        </w:tc>
        <w:tc>
          <w:tcPr>
            <w:tcW w:w="3100" w:type="pct"/>
            <w:vAlign w:val="center"/>
          </w:tcPr>
          <w:p>
            <w:pPr>
              <w:spacing w:after="40"/>
            </w:pPr>
            <w:r>
              <w:rPr>
                <w:sz w:val="19"/>
              </w:rPr>
              <w:t xml:space="preserve">Behavioural rate and pattern control</w:t>
            </w:r>
          </w:p>
        </w:tc>
      </w:tr>
      <w:tr>
        <w:tc>
          <w:tcPr>
            <w:tcW w:w="400" w:type="pct"/>
            <w:vAlign w:val="center"/>
          </w:tcPr>
          <w:p>
            <w:pPr>
              <w:spacing w:after="40"/>
            </w:pPr>
            <w:r>
              <w:rPr>
                <w:sz w:val="19"/>
              </w:rPr>
              <w:t xml:space="preserve">3</w:t>
            </w:r>
          </w:p>
        </w:tc>
        <w:tc>
          <w:tcPr>
            <w:tcW w:w="1500" w:type="pct"/>
            <w:vAlign w:val="center"/>
          </w:tcPr>
          <w:p>
            <w:pPr>
              <w:spacing w:after="40"/>
            </w:pPr>
            <w:r>
              <w:rPr>
                <w:sz w:val="19"/>
              </w:rPr>
              <w:t xml:space="preserve">Bot management</w:t>
            </w:r>
          </w:p>
        </w:tc>
        <w:tc>
          <w:tcPr>
            <w:tcW w:w="3100" w:type="pct"/>
            <w:vAlign w:val="center"/>
          </w:tcPr>
          <w:p>
            <w:pPr>
              <w:spacing w:after="40"/>
            </w:pPr>
            <w:r>
              <w:rPr>
                <w:sz w:val="19"/>
              </w:rPr>
              <w:t xml:space="preserve">Fingerprint, challenge, rate limit</w:t>
            </w:r>
          </w:p>
        </w:tc>
      </w:tr>
      <w:tr>
        <w:tc>
          <w:tcPr>
            <w:tcW w:w="400" w:type="pct"/>
            <w:vAlign w:val="center"/>
          </w:tcPr>
          <w:p>
            <w:pPr>
              <w:spacing w:after="40"/>
            </w:pPr>
            <w:r>
              <w:rPr>
                <w:sz w:val="19"/>
              </w:rPr>
              <w:t xml:space="preserve">4</w:t>
            </w:r>
          </w:p>
        </w:tc>
        <w:tc>
          <w:tcPr>
            <w:tcW w:w="1500" w:type="pct"/>
            <w:vAlign w:val="center"/>
          </w:tcPr>
          <w:p>
            <w:pPr>
              <w:spacing w:after="40"/>
            </w:pPr>
            <w:r>
              <w:rPr>
                <w:sz w:val="19"/>
              </w:rPr>
              <w:t xml:space="preserve">Protocol compliance</w:t>
            </w:r>
          </w:p>
        </w:tc>
        <w:tc>
          <w:tcPr>
            <w:tcW w:w="3100" w:type="pct"/>
            <w:vAlign w:val="center"/>
          </w:tcPr>
          <w:p>
            <w:pPr>
              <w:spacing w:after="40"/>
            </w:pPr>
            <w:r>
              <w:rPr>
                <w:sz w:val="19"/>
              </w:rPr>
              <w:t xml:space="preserve">RFC checks, method and length limits</w:t>
            </w:r>
          </w:p>
        </w:tc>
      </w:tr>
      <w:tr>
        <w:tc>
          <w:tcPr>
            <w:tcW w:w="400" w:type="pct"/>
            <w:vAlign w:val="center"/>
          </w:tcPr>
          <w:p>
            <w:pPr>
              <w:spacing w:after="40"/>
            </w:pPr>
            <w:r>
              <w:rPr>
                <w:sz w:val="19"/>
              </w:rPr>
              <w:t xml:space="preserve">5</w:t>
            </w:r>
          </w:p>
        </w:tc>
        <w:tc>
          <w:tcPr>
            <w:tcW w:w="1500" w:type="pct"/>
            <w:vAlign w:val="center"/>
          </w:tcPr>
          <w:p>
            <w:pPr>
              <w:spacing w:after="40"/>
            </w:pPr>
            <w:r>
              <w:rPr>
                <w:sz w:val="19"/>
              </w:rPr>
              <w:t xml:space="preserve">Signatures and policy</w:t>
            </w:r>
          </w:p>
        </w:tc>
        <w:tc>
          <w:tcPr>
            <w:tcW w:w="3100" w:type="pct"/>
            <w:vAlign w:val="center"/>
          </w:tcPr>
          <w:p>
            <w:pPr>
              <w:spacing w:after="40"/>
            </w:pPr>
            <w:r>
              <w:rPr>
                <w:sz w:val="19"/>
              </w:rPr>
              <w:t xml:space="preserve">Injection, XSS, traversal, CVE rules</w:t>
            </w:r>
          </w:p>
        </w:tc>
      </w:tr>
      <w:tr>
        <w:tc>
          <w:tcPr>
            <w:tcW w:w="400" w:type="pct"/>
            <w:vAlign w:val="center"/>
          </w:tcPr>
          <w:p>
            <w:pPr>
              <w:spacing w:after="40"/>
            </w:pPr>
            <w:r>
              <w:rPr>
                <w:sz w:val="19"/>
              </w:rPr>
              <w:t xml:space="preserve">6</w:t>
            </w:r>
          </w:p>
        </w:tc>
        <w:tc>
          <w:tcPr>
            <w:tcW w:w="1500" w:type="pct"/>
            <w:vAlign w:val="center"/>
          </w:tcPr>
          <w:p>
            <w:pPr>
              <w:spacing w:after="40"/>
            </w:pPr>
            <w:r>
              <w:rPr>
                <w:sz w:val="19"/>
              </w:rPr>
              <w:t xml:space="preserve">Forward to server pool</w:t>
            </w:r>
          </w:p>
        </w:tc>
        <w:tc>
          <w:tcPr>
            <w:tcW w:w="3100" w:type="pct"/>
            <w:vAlign w:val="center"/>
          </w:tcPr>
          <w:p>
            <w:pPr>
              <w:spacing w:after="40"/>
            </w:pPr>
            <w:r>
              <w:rPr>
                <w:sz w:val="19"/>
              </w:rPr>
              <w:t xml:space="preserve">Single pool, no load balancing</w:t>
            </w:r>
          </w:p>
        </w:tc>
      </w:tr>
    </w:tbl>
    <w:p>
      <w:pPr>
        <w:spacing w:after="160"/>
      </w:pPr>
    </w:p>
    <w:p>
      <w:pPr>
        <w:spacing w:after="160"/>
      </w:pPr>
      <w:r>
        <w:t xml:space="preserve">A request that violates the policy is blocked before it reaches the application, a support ID (not the reason) is returned to the client, and the full transaction is logged for the audit trail.</w:t>
      </w:r>
    </w:p>
    <w:p>
      <w:pPr>
        <w:pStyle w:val="Heading1"/>
        <w:pageBreakBefore/>
      </w:pPr>
      <w:r>
        <w:t xml:space="preserve">5. Licensing and bill of materials</w:t>
      </w:r>
    </w:p>
    <w:p>
      <w:pPr>
        <w:spacing w:after="140"/>
      </w:pPr>
      <w:r>
        <w:t xml:space="preserve">Every line below is here because of something in section 1. This is the shape of the order, not a quotation: term, support tier and discount all change the commercial outcome.</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2820"/>
        <w:gridCol w:w="1222"/>
        <w:gridCol w:w="658"/>
        <w:gridCol w:w="4700"/>
      </w:tblGrid>
      <w:tr>
        <w:trPr>
          <w:tblHeader/>
        </w:trPr>
        <w:tc>
          <w:tcPr>
            <w:tcW w:w="1500" w:type="pct"/>
            <w:shd w:val="clear" w:color="auto" w:fill="452170"/>
            <w:vAlign w:val="center"/>
          </w:tcPr>
          <w:p>
            <w:pPr>
              <w:spacing w:after="40"/>
              <w:shd w:val="clear" w:color="auto" w:fill="452170"/>
            </w:pPr>
            <w:r>
              <w:rPr>
                <w:b/>
                <w:sz w:val="19"/>
                <w:color w:val="FFFFFF"/>
              </w:rPr>
              <w:t xml:space="preserve">Item</w:t>
            </w:r>
          </w:p>
        </w:tc>
        <w:tc>
          <w:tcPr>
            <w:tcW w:w="650" w:type="pct"/>
            <w:shd w:val="clear" w:color="auto" w:fill="452170"/>
            <w:vAlign w:val="center"/>
          </w:tcPr>
          <w:p>
            <w:pPr>
              <w:spacing w:after="40"/>
              <w:shd w:val="clear" w:color="auto" w:fill="452170"/>
            </w:pPr>
            <w:r>
              <w:rPr>
                <w:b/>
                <w:sz w:val="19"/>
                <w:color w:val="FFFFFF"/>
              </w:rPr>
              <w:t xml:space="preserve">Type</w:t>
            </w:r>
          </w:p>
        </w:tc>
        <w:tc>
          <w:tcPr>
            <w:tcW w:w="350" w:type="pct"/>
            <w:shd w:val="clear" w:color="auto" w:fill="452170"/>
            <w:vAlign w:val="center"/>
          </w:tcPr>
          <w:p>
            <w:pPr>
              <w:spacing w:after="40"/>
              <w:shd w:val="clear" w:color="auto" w:fill="452170"/>
            </w:pPr>
            <w:r>
              <w:rPr>
                <w:b/>
                <w:sz w:val="19"/>
                <w:color w:val="FFFFFF"/>
              </w:rPr>
              <w:t xml:space="preserve">Qty</w:t>
            </w:r>
          </w:p>
        </w:tc>
        <w:tc>
          <w:tcPr>
            <w:tcW w:w="2500" w:type="pct"/>
            <w:shd w:val="clear" w:color="auto" w:fill="452170"/>
            <w:vAlign w:val="center"/>
          </w:tcPr>
          <w:p>
            <w:pPr>
              <w:spacing w:after="40"/>
              <w:shd w:val="clear" w:color="auto" w:fill="452170"/>
            </w:pPr>
            <w:r>
              <w:rPr>
                <w:b/>
                <w:sz w:val="19"/>
                <w:color w:val="FFFFFF"/>
              </w:rPr>
              <w:t xml:space="preserve">Why it is on the list</w:t>
            </w:r>
          </w:p>
        </w:tc>
      </w:tr>
      <w:tr>
        <w:tc>
          <w:tcPr>
            <w:tcW w:w="1500" w:type="pct"/>
            <w:vAlign w:val="center"/>
          </w:tcPr>
          <w:p>
            <w:pPr>
              <w:spacing w:after="40"/>
            </w:pPr>
            <w:r>
              <w:rPr>
                <w:sz w:val="19"/>
              </w:rPr>
              <w:t xml:space="preserve">NetScaler MPX 8930 (Premium)</w:t>
            </w:r>
          </w:p>
        </w:tc>
        <w:tc>
          <w:tcPr>
            <w:tcW w:w="650" w:type="pct"/>
            <w:vAlign w:val="center"/>
          </w:tcPr>
          <w:p>
            <w:pPr>
              <w:spacing w:after="40"/>
            </w:pPr>
            <w:r>
              <w:rPr>
                <w:sz w:val="19"/>
              </w:rPr>
              <w:t xml:space="preserve">Platform</w:t>
            </w:r>
          </w:p>
        </w:tc>
        <w:tc>
          <w:tcPr>
            <w:tcW w:w="350" w:type="pct"/>
            <w:vAlign w:val="center"/>
          </w:tcPr>
          <w:p>
            <w:pPr>
              <w:spacing w:after="40"/>
            </w:pPr>
            <w:r>
              <w:rPr>
                <w:sz w:val="19"/>
              </w:rPr>
              <w:t xml:space="preserve">2</w:t>
            </w:r>
          </w:p>
        </w:tc>
        <w:tc>
          <w:tcPr>
            <w:tcW w:w="2500" w:type="pct"/>
            <w:vAlign w:val="center"/>
          </w:tcPr>
          <w:p>
            <w:pPr>
              <w:spacing w:after="40"/>
            </w:pPr>
            <w:r>
              <w:rPr>
                <w:sz w:val="19"/>
              </w:rPr>
              <w:t xml:space="preserve">Active / standby pair, each unit sized for 100% of the load.</w:t>
            </w:r>
          </w:p>
        </w:tc>
      </w:tr>
      <w:tr>
        <w:tc>
          <w:tcPr>
            <w:tcW w:w="1500" w:type="pct"/>
            <w:vAlign w:val="center"/>
          </w:tcPr>
          <w:p>
            <w:pPr>
              <w:spacing w:after="40"/>
            </w:pPr>
            <w:r>
              <w:rPr>
                <w:sz w:val="19"/>
              </w:rPr>
              <w:t xml:space="preserve">NetScaler Premium edition</w:t>
            </w:r>
          </w:p>
        </w:tc>
        <w:tc>
          <w:tcPr>
            <w:tcW w:w="650" w:type="pct"/>
            <w:vAlign w:val="center"/>
          </w:tcPr>
          <w:p>
            <w:pPr>
              <w:spacing w:after="40"/>
            </w:pPr>
            <w:r>
              <w:rPr>
                <w:sz w:val="19"/>
              </w:rPr>
              <w:t xml:space="preserve">Module</w:t>
            </w:r>
          </w:p>
        </w:tc>
        <w:tc>
          <w:tcPr>
            <w:tcW w:w="350" w:type="pct"/>
            <w:vAlign w:val="center"/>
          </w:tcPr>
          <w:p>
            <w:pPr>
              <w:spacing w:after="40"/>
            </w:pPr>
            <w:r>
              <w:rPr>
                <w:sz w:val="19"/>
              </w:rPr>
              <w:t xml:space="preserve">2</w:t>
            </w:r>
          </w:p>
        </w:tc>
        <w:tc>
          <w:tcPr>
            <w:tcW w:w="2500" w:type="pct"/>
            <w:vAlign w:val="center"/>
          </w:tcPr>
          <w:p>
            <w:pPr>
              <w:spacing w:after="40"/>
            </w:pPr>
            <w:r>
              <w:rPr>
                <w:sz w:val="19"/>
              </w:rPr>
              <w:t xml:space="preserve">Mandatory on every deployment of this platform.</w:t>
            </w:r>
          </w:p>
        </w:tc>
      </w:tr>
      <w:tr>
        <w:tc>
          <w:tcPr>
            <w:tcW w:w="1500" w:type="pct"/>
            <w:vAlign w:val="center"/>
          </w:tcPr>
          <w:p>
            <w:pPr>
              <w:spacing w:after="40"/>
            </w:pPr>
            <w:r>
              <w:rPr>
                <w:sz w:val="19"/>
              </w:rPr>
              <w:t xml:space="preserve">Platform licence (MPX / SDX / VPX / BLX / CPX)</w:t>
            </w:r>
          </w:p>
        </w:tc>
        <w:tc>
          <w:tcPr>
            <w:tcW w:w="650" w:type="pct"/>
            <w:vAlign w:val="center"/>
          </w:tcPr>
          <w:p>
            <w:pPr>
              <w:spacing w:after="40"/>
            </w:pPr>
            <w:r>
              <w:rPr>
                <w:sz w:val="19"/>
              </w:rPr>
              <w:t xml:space="preserve">Module</w:t>
            </w:r>
          </w:p>
        </w:tc>
        <w:tc>
          <w:tcPr>
            <w:tcW w:w="350" w:type="pct"/>
            <w:vAlign w:val="center"/>
          </w:tcPr>
          <w:p>
            <w:pPr>
              <w:spacing w:after="40"/>
            </w:pPr>
            <w:r>
              <w:rPr>
                <w:sz w:val="19"/>
              </w:rPr>
              <w:t xml:space="preserve">2</w:t>
            </w:r>
          </w:p>
        </w:tc>
        <w:tc>
          <w:tcPr>
            <w:tcW w:w="2500" w:type="pct"/>
            <w:vAlign w:val="center"/>
          </w:tcPr>
          <w:p>
            <w:pPr>
              <w:spacing w:after="40"/>
            </w:pPr>
            <w:r>
              <w:rPr>
                <w:sz w:val="19"/>
              </w:rPr>
              <w:t xml:space="preserve">Mandatory on every deployment of this platform.</w:t>
            </w:r>
          </w:p>
        </w:tc>
      </w:tr>
      <w:tr>
        <w:tc>
          <w:tcPr>
            <w:tcW w:w="1500" w:type="pct"/>
            <w:vAlign w:val="center"/>
          </w:tcPr>
          <w:p>
            <w:pPr>
              <w:spacing w:after="40"/>
            </w:pPr>
            <w:r>
              <w:rPr>
                <w:sz w:val="19"/>
              </w:rPr>
              <w:t xml:space="preserve">Bot Management</w:t>
            </w:r>
          </w:p>
        </w:tc>
        <w:tc>
          <w:tcPr>
            <w:tcW w:w="650" w:type="pct"/>
            <w:vAlign w:val="center"/>
          </w:tcPr>
          <w:p>
            <w:pPr>
              <w:spacing w:after="40"/>
            </w:pPr>
            <w:r>
              <w:rPr>
                <w:sz w:val="19"/>
              </w:rPr>
              <w:t xml:space="preserve">Module</w:t>
            </w:r>
          </w:p>
        </w:tc>
        <w:tc>
          <w:tcPr>
            <w:tcW w:w="350" w:type="pct"/>
            <w:vAlign w:val="center"/>
          </w:tcPr>
          <w:p>
            <w:pPr>
              <w:spacing w:after="40"/>
            </w:pPr>
            <w:r>
              <w:rPr>
                <w:sz w:val="19"/>
              </w:rPr>
              <w:t xml:space="preserve">2</w:t>
            </w:r>
          </w:p>
        </w:tc>
        <w:tc>
          <w:tcPr>
            <w:tcW w:w="2500" w:type="pct"/>
            <w:vAlign w:val="center"/>
          </w:tcPr>
          <w:p>
            <w:pPr>
              <w:spacing w:after="40"/>
            </w:pPr>
            <w:r>
              <w:rPr>
                <w:sz w:val="19"/>
              </w:rPr>
              <w:t xml:space="preserve">Asked for: Bot management and scraping defence.</w:t>
            </w:r>
          </w:p>
        </w:tc>
      </w:tr>
      <w:tr>
        <w:tc>
          <w:tcPr>
            <w:tcW w:w="1500" w:type="pct"/>
            <w:vAlign w:val="center"/>
          </w:tcPr>
          <w:p>
            <w:pPr>
              <w:spacing w:after="40"/>
            </w:pPr>
            <w:r>
              <w:rPr>
                <w:sz w:val="19"/>
              </w:rPr>
              <w:t xml:space="preserve">WAF signature and security updates</w:t>
            </w:r>
          </w:p>
        </w:tc>
        <w:tc>
          <w:tcPr>
            <w:tcW w:w="650" w:type="pct"/>
            <w:vAlign w:val="center"/>
          </w:tcPr>
          <w:p>
            <w:pPr>
              <w:spacing w:after="40"/>
            </w:pPr>
            <w:r>
              <w:rPr>
                <w:sz w:val="19"/>
              </w:rPr>
              <w:t xml:space="preserve">Subscription</w:t>
            </w:r>
          </w:p>
        </w:tc>
        <w:tc>
          <w:tcPr>
            <w:tcW w:w="350" w:type="pct"/>
            <w:vAlign w:val="center"/>
          </w:tcPr>
          <w:p>
            <w:pPr>
              <w:spacing w:after="40"/>
            </w:pPr>
            <w:r>
              <w:rPr>
                <w:sz w:val="19"/>
              </w:rPr>
              <w:t xml:space="preserve">1</w:t>
            </w:r>
          </w:p>
        </w:tc>
        <w:tc>
          <w:tcPr>
            <w:tcW w:w="2500" w:type="pct"/>
            <w:vAlign w:val="center"/>
          </w:tcPr>
          <w:p>
            <w:pPr>
              <w:spacing w:after="40"/>
            </w:pPr>
            <w:r>
              <w:rPr>
                <w:sz w:val="19"/>
              </w:rPr>
              <w:t xml:space="preserve">Required to keep the negative security model current.</w:t>
            </w:r>
          </w:p>
        </w:tc>
      </w:tr>
      <w:tr>
        <w:tc>
          <w:tcPr>
            <w:tcW w:w="1500" w:type="pct"/>
            <w:vAlign w:val="center"/>
          </w:tcPr>
          <w:p>
            <w:pPr>
              <w:spacing w:after="40"/>
            </w:pPr>
            <w:r>
              <w:rPr>
                <w:sz w:val="19"/>
              </w:rPr>
              <w:t xml:space="preserve">NetScaler support (Select / Premier)</w:t>
            </w:r>
          </w:p>
        </w:tc>
        <w:tc>
          <w:tcPr>
            <w:tcW w:w="650" w:type="pct"/>
            <w:vAlign w:val="center"/>
          </w:tcPr>
          <w:p>
            <w:pPr>
              <w:spacing w:after="40"/>
            </w:pPr>
            <w:r>
              <w:rPr>
                <w:sz w:val="19"/>
              </w:rPr>
              <w:t xml:space="preserve">Support</w:t>
            </w:r>
          </w:p>
        </w:tc>
        <w:tc>
          <w:tcPr>
            <w:tcW w:w="350" w:type="pct"/>
            <w:vAlign w:val="center"/>
          </w:tcPr>
          <w:p>
            <w:pPr>
              <w:spacing w:after="40"/>
            </w:pPr>
            <w:r>
              <w:rPr>
                <w:sz w:val="19"/>
              </w:rPr>
              <w:t xml:space="preserve">2</w:t>
            </w:r>
          </w:p>
        </w:tc>
        <w:tc>
          <w:tcPr>
            <w:tcW w:w="2500" w:type="pct"/>
            <w:vAlign w:val="center"/>
          </w:tcPr>
          <w:p>
            <w:pPr>
              <w:spacing w:after="40"/>
            </w:pPr>
            <w:r>
              <w:rPr>
                <w:sz w:val="19"/>
              </w:rPr>
              <w:t xml:space="preserve">Mandatory on every deployment of this platform.</w:t>
            </w:r>
          </w:p>
        </w:tc>
      </w:tr>
    </w:tbl>
    <w:p>
      <w:pPr>
        <w:spacing w:after="160"/>
      </w:pPr>
    </w:p>
    <w:p>
      <w:pPr>
        <w:pStyle w:val="Heading1"/>
      </w:pPr>
      <w:r>
        <w:t xml:space="preserve">6. How the three vendors compare</w:t>
      </w:r>
    </w:p>
    <w:p>
      <w:pPr>
        <w:spacing w:after="140"/>
      </w:pPr>
      <w:r>
        <w:t xml:space="preserve">The same requirement measured against each vendor range. The smallest qualifying model is shown for each, so the comparison is like for like rather than a comparison of flagship platforms.</w:t>
      </w:r>
    </w:p>
    <w:tbl>
      <w:tblPr>
        <w:tblStyle w:val="WstTable"/>
        <w:tblW w:w="5000" w:type="pct"/>
        <w:tblBorders>
          <w:top w:val="single" w:sz="4" w:color="D4DCE4"/>
          <w:left w:val="single" w:sz="4" w:color="D4DCE4"/>
          <w:bottom w:val="single" w:sz="4" w:color="D4DCE4"/>
          <w:right w:val="single" w:sz="4" w:color="D4DCE4"/>
          <w:insideH w:val="single" w:sz="4" w:color="D4DCE4"/>
          <w:insideV w:val="single" w:sz="4" w:color="D4DCE4"/>
        </w:tblBorders>
        <w:tblCellMar>
          <w:top w:w="80" w:type="dxa"/>
          <w:left w:w="110" w:type="dxa"/>
          <w:bottom w:w="80" w:type="dxa"/>
          <w:right w:w="110" w:type="dxa"/>
        </w:tblCellMar>
      </w:tblPr>
      <w:tblGrid>
        <w:gridCol w:w="1222"/>
        <w:gridCol w:w="1974"/>
        <w:gridCol w:w="846"/>
        <w:gridCol w:w="940"/>
        <w:gridCol w:w="940"/>
        <w:gridCol w:w="846"/>
        <w:gridCol w:w="658"/>
        <w:gridCol w:w="658"/>
        <w:gridCol w:w="1316"/>
      </w:tblGrid>
      <w:tr>
        <w:trPr>
          <w:tblHeader/>
        </w:trPr>
        <w:tc>
          <w:tcPr>
            <w:tcW w:w="650" w:type="pct"/>
            <w:shd w:val="clear" w:color="auto" w:fill="452170"/>
            <w:vAlign w:val="center"/>
          </w:tcPr>
          <w:p>
            <w:pPr>
              <w:spacing w:after="40"/>
              <w:shd w:val="clear" w:color="auto" w:fill="452170"/>
            </w:pPr>
            <w:r>
              <w:rPr>
                <w:b/>
                <w:sz w:val="19"/>
                <w:color w:val="FFFFFF"/>
              </w:rPr>
              <w:t xml:space="preserve">Vendor</w:t>
            </w:r>
          </w:p>
        </w:tc>
        <w:tc>
          <w:tcPr>
            <w:tcW w:w="1050" w:type="pct"/>
            <w:shd w:val="clear" w:color="auto" w:fill="452170"/>
            <w:vAlign w:val="center"/>
          </w:tcPr>
          <w:p>
            <w:pPr>
              <w:spacing w:after="40"/>
              <w:shd w:val="clear" w:color="auto" w:fill="452170"/>
            </w:pPr>
            <w:r>
              <w:rPr>
                <w:b/>
                <w:sz w:val="19"/>
                <w:color w:val="FFFFFF"/>
              </w:rPr>
              <w:t xml:space="preserve">Smallest model that fits</w:t>
            </w:r>
          </w:p>
        </w:tc>
        <w:tc>
          <w:tcPr>
            <w:tcW w:w="450" w:type="pct"/>
            <w:shd w:val="clear" w:color="auto" w:fill="452170"/>
            <w:vAlign w:val="center"/>
          </w:tcPr>
          <w:p>
            <w:pPr>
              <w:spacing w:after="40"/>
              <w:shd w:val="clear" w:color="auto" w:fill="452170"/>
            </w:pPr>
            <w:r>
              <w:rPr>
                <w:b/>
                <w:sz w:val="19"/>
                <w:color w:val="FFFFFF"/>
              </w:rPr>
              <w:t xml:space="preserve">Form</w:t>
            </w:r>
          </w:p>
        </w:tc>
        <w:tc>
          <w:tcPr>
            <w:tcW w:w="500" w:type="pct"/>
            <w:shd w:val="clear" w:color="auto" w:fill="452170"/>
            <w:vAlign w:val="center"/>
          </w:tcPr>
          <w:p>
            <w:pPr>
              <w:spacing w:after="40"/>
              <w:shd w:val="clear" w:color="auto" w:fill="452170"/>
            </w:pPr>
            <w:r>
              <w:rPr>
                <w:b/>
                <w:sz w:val="19"/>
                <w:color w:val="FFFFFF"/>
              </w:rPr>
              <w:t xml:space="preserve">Requests/s</w:t>
            </w:r>
          </w:p>
        </w:tc>
        <w:tc>
          <w:tcPr>
            <w:tcW w:w="500" w:type="pct"/>
            <w:shd w:val="clear" w:color="auto" w:fill="452170"/>
            <w:vAlign w:val="center"/>
          </w:tcPr>
          <w:p>
            <w:pPr>
              <w:spacing w:after="40"/>
              <w:shd w:val="clear" w:color="auto" w:fill="452170"/>
            </w:pPr>
            <w:r>
              <w:rPr>
                <w:b/>
                <w:sz w:val="19"/>
                <w:color w:val="FFFFFF"/>
              </w:rPr>
              <w:t xml:space="preserve">Throughput</w:t>
            </w:r>
          </w:p>
        </w:tc>
        <w:tc>
          <w:tcPr>
            <w:tcW w:w="450" w:type="pct"/>
            <w:shd w:val="clear" w:color="auto" w:fill="452170"/>
            <w:vAlign w:val="center"/>
          </w:tcPr>
          <w:p>
            <w:pPr>
              <w:spacing w:after="40"/>
              <w:shd w:val="clear" w:color="auto" w:fill="452170"/>
            </w:pPr>
            <w:r>
              <w:rPr>
                <w:b/>
                <w:sz w:val="19"/>
                <w:color w:val="FFFFFF"/>
              </w:rPr>
              <w:t xml:space="preserve">TLS/s</w:t>
            </w:r>
          </w:p>
        </w:tc>
        <w:tc>
          <w:tcPr>
            <w:tcW w:w="350" w:type="pct"/>
            <w:shd w:val="clear" w:color="auto" w:fill="452170"/>
            <w:vAlign w:val="center"/>
          </w:tcPr>
          <w:p>
            <w:pPr>
              <w:spacing w:after="40"/>
              <w:shd w:val="clear" w:color="auto" w:fill="452170"/>
            </w:pPr>
            <w:r>
              <w:rPr>
                <w:b/>
                <w:sz w:val="19"/>
                <w:color w:val="FFFFFF"/>
              </w:rPr>
              <w:t xml:space="preserve">Fit</w:t>
            </w:r>
          </w:p>
        </w:tc>
        <w:tc>
          <w:tcPr>
            <w:tcW w:w="350" w:type="pct"/>
            <w:shd w:val="clear" w:color="auto" w:fill="452170"/>
            <w:vAlign w:val="center"/>
          </w:tcPr>
          <w:p>
            <w:pPr>
              <w:spacing w:after="40"/>
              <w:shd w:val="clear" w:color="auto" w:fill="452170"/>
            </w:pPr>
            <w:r>
              <w:rPr>
                <w:b/>
                <w:sz w:val="19"/>
                <w:color w:val="FFFFFF"/>
              </w:rPr>
              <w:t xml:space="preserve">Load</w:t>
            </w:r>
          </w:p>
        </w:tc>
        <w:tc>
          <w:tcPr>
            <w:tcW w:w="700" w:type="pct"/>
            <w:shd w:val="clear" w:color="auto" w:fill="452170"/>
            <w:vAlign w:val="center"/>
          </w:tcPr>
          <w:p>
            <w:pPr>
              <w:spacing w:after="40"/>
              <w:shd w:val="clear" w:color="auto" w:fill="452170"/>
            </w:pPr>
            <w:r>
              <w:rPr>
                <w:b/>
                <w:sz w:val="19"/>
                <w:color w:val="FFFFFF"/>
              </w:rPr>
              <w:t xml:space="preserve">Limited by</w:t>
            </w:r>
          </w:p>
        </w:tc>
      </w:tr>
      <w:tr>
        <w:tc>
          <w:tcPr>
            <w:tcW w:w="650" w:type="pct"/>
            <w:vAlign w:val="center"/>
          </w:tcPr>
          <w:p>
            <w:pPr>
              <w:spacing w:after="40"/>
            </w:pPr>
            <w:r>
              <w:rPr>
                <w:sz w:val="19"/>
              </w:rPr>
              <w:t xml:space="preserve">F5</w:t>
            </w:r>
          </w:p>
        </w:tc>
        <w:tc>
          <w:tcPr>
            <w:tcW w:w="1050" w:type="pct"/>
            <w:vAlign w:val="center"/>
          </w:tcPr>
          <w:p>
            <w:pPr>
              <w:spacing w:after="40"/>
            </w:pPr>
            <w:r>
              <w:rPr>
                <w:sz w:val="19"/>
              </w:rPr>
              <w:t xml:space="preserve">No qualifying model</w:t>
            </w:r>
          </w:p>
        </w:tc>
        <w:tc>
          <w:tcPr>
            <w:tcW w:w="450" w:type="pct"/>
            <w:vAlign w:val="center"/>
          </w:tcPr>
          <w:p>
            <w:pPr>
              <w:spacing w:after="40"/>
            </w:pPr>
            <w:r>
              <w:rPr>
                <w:sz w:val="19"/>
              </w:rPr>
              <w:t xml:space="preserve">-</w:t>
            </w:r>
          </w:p>
        </w:tc>
        <w:tc>
          <w:tcPr>
            <w:tcW w:w="500" w:type="pct"/>
            <w:vAlign w:val="center"/>
          </w:tcPr>
          <w:p>
            <w:pPr>
              <w:spacing w:after="40"/>
            </w:pPr>
            <w:r>
              <w:rPr>
                <w:sz w:val="19"/>
              </w:rPr>
              <w:t xml:space="preserve">-</w:t>
            </w:r>
          </w:p>
        </w:tc>
        <w:tc>
          <w:tcPr>
            <w:tcW w:w="500" w:type="pct"/>
            <w:vAlign w:val="center"/>
          </w:tcPr>
          <w:p>
            <w:pPr>
              <w:spacing w:after="40"/>
            </w:pPr>
            <w:r>
              <w:rPr>
                <w:sz w:val="19"/>
              </w:rPr>
              <w:t xml:space="preserve">-</w:t>
            </w:r>
          </w:p>
        </w:tc>
        <w:tc>
          <w:tcPr>
            <w:tcW w:w="450" w:type="pct"/>
            <w:vAlign w:val="center"/>
          </w:tcPr>
          <w:p>
            <w:pPr>
              <w:spacing w:after="40"/>
            </w:pPr>
            <w:r>
              <w:rPr>
                <w:sz w:val="19"/>
              </w:rPr>
              <w:t xml:space="preserve">-</w:t>
            </w:r>
          </w:p>
        </w:tc>
        <w:tc>
          <w:tcPr>
            <w:tcW w:w="350" w:type="pct"/>
            <w:vAlign w:val="center"/>
          </w:tcPr>
          <w:p>
            <w:pPr>
              <w:spacing w:after="40"/>
            </w:pPr>
            <w:r>
              <w:rPr>
                <w:sz w:val="19"/>
              </w:rPr>
              <w:t xml:space="preserve">-</w:t>
            </w:r>
          </w:p>
        </w:tc>
        <w:tc>
          <w:tcPr>
            <w:tcW w:w="350" w:type="pct"/>
            <w:vAlign w:val="center"/>
          </w:tcPr>
          <w:p>
            <w:pPr>
              <w:spacing w:after="40"/>
            </w:pPr>
            <w:r>
              <w:rPr>
                <w:sz w:val="19"/>
              </w:rPr>
              <w:t xml:space="preserve">-</w:t>
            </w:r>
          </w:p>
        </w:tc>
        <w:tc>
          <w:tcPr>
            <w:tcW w:w="700" w:type="pct"/>
            <w:vAlign w:val="center"/>
          </w:tcPr>
          <w:p>
            <w:pPr>
              <w:spacing w:after="40"/>
            </w:pPr>
            <w:r>
              <w:rPr>
                <w:sz w:val="19"/>
              </w:rPr>
              <w:t xml:space="preserve">-</w:t>
            </w:r>
          </w:p>
        </w:tc>
      </w:tr>
      <w:tr>
        <w:tc>
          <w:tcPr>
            <w:tcW w:w="650" w:type="pct"/>
            <w:vAlign w:val="center"/>
          </w:tcPr>
          <w:p>
            <w:pPr>
              <w:spacing w:after="40"/>
            </w:pPr>
            <w:r>
              <w:rPr>
                <w:sz w:val="19"/>
              </w:rPr>
              <w:t xml:space="preserve">Imperva</w:t>
            </w:r>
          </w:p>
        </w:tc>
        <w:tc>
          <w:tcPr>
            <w:tcW w:w="1050" w:type="pct"/>
            <w:vAlign w:val="center"/>
          </w:tcPr>
          <w:p>
            <w:pPr>
              <w:spacing w:after="40"/>
            </w:pPr>
            <w:r>
              <w:rPr>
                <w:sz w:val="19"/>
              </w:rPr>
              <w:t xml:space="preserve">No qualifying model</w:t>
            </w:r>
          </w:p>
        </w:tc>
        <w:tc>
          <w:tcPr>
            <w:tcW w:w="450" w:type="pct"/>
            <w:vAlign w:val="center"/>
          </w:tcPr>
          <w:p>
            <w:pPr>
              <w:spacing w:after="40"/>
            </w:pPr>
            <w:r>
              <w:rPr>
                <w:sz w:val="19"/>
              </w:rPr>
              <w:t xml:space="preserve">-</w:t>
            </w:r>
          </w:p>
        </w:tc>
        <w:tc>
          <w:tcPr>
            <w:tcW w:w="500" w:type="pct"/>
            <w:vAlign w:val="center"/>
          </w:tcPr>
          <w:p>
            <w:pPr>
              <w:spacing w:after="40"/>
            </w:pPr>
            <w:r>
              <w:rPr>
                <w:sz w:val="19"/>
              </w:rPr>
              <w:t xml:space="preserve">-</w:t>
            </w:r>
          </w:p>
        </w:tc>
        <w:tc>
          <w:tcPr>
            <w:tcW w:w="500" w:type="pct"/>
            <w:vAlign w:val="center"/>
          </w:tcPr>
          <w:p>
            <w:pPr>
              <w:spacing w:after="40"/>
            </w:pPr>
            <w:r>
              <w:rPr>
                <w:sz w:val="19"/>
              </w:rPr>
              <w:t xml:space="preserve">-</w:t>
            </w:r>
          </w:p>
        </w:tc>
        <w:tc>
          <w:tcPr>
            <w:tcW w:w="450" w:type="pct"/>
            <w:vAlign w:val="center"/>
          </w:tcPr>
          <w:p>
            <w:pPr>
              <w:spacing w:after="40"/>
            </w:pPr>
            <w:r>
              <w:rPr>
                <w:sz w:val="19"/>
              </w:rPr>
              <w:t xml:space="preserve">-</w:t>
            </w:r>
          </w:p>
        </w:tc>
        <w:tc>
          <w:tcPr>
            <w:tcW w:w="350" w:type="pct"/>
            <w:vAlign w:val="center"/>
          </w:tcPr>
          <w:p>
            <w:pPr>
              <w:spacing w:after="40"/>
            </w:pPr>
            <w:r>
              <w:rPr>
                <w:sz w:val="19"/>
              </w:rPr>
              <w:t xml:space="preserve">-</w:t>
            </w:r>
          </w:p>
        </w:tc>
        <w:tc>
          <w:tcPr>
            <w:tcW w:w="350" w:type="pct"/>
            <w:vAlign w:val="center"/>
          </w:tcPr>
          <w:p>
            <w:pPr>
              <w:spacing w:after="40"/>
            </w:pPr>
            <w:r>
              <w:rPr>
                <w:sz w:val="19"/>
              </w:rPr>
              <w:t xml:space="preserve">-</w:t>
            </w:r>
          </w:p>
        </w:tc>
        <w:tc>
          <w:tcPr>
            <w:tcW w:w="700" w:type="pct"/>
            <w:vAlign w:val="center"/>
          </w:tcPr>
          <w:p>
            <w:pPr>
              <w:spacing w:after="40"/>
            </w:pPr>
            <w:r>
              <w:rPr>
                <w:sz w:val="19"/>
              </w:rPr>
              <w:t xml:space="preserve">-</w:t>
            </w:r>
          </w:p>
        </w:tc>
      </w:tr>
      <w:tr>
        <w:tc>
          <w:tcPr>
            <w:tcW w:w="650" w:type="pct"/>
            <w:vAlign w:val="center"/>
          </w:tcPr>
          <w:p>
            <w:pPr>
              <w:spacing w:after="40"/>
            </w:pPr>
            <w:r>
              <w:rPr>
                <w:sz w:val="19"/>
              </w:rPr>
              <w:t xml:space="preserve">Citrix NetScaler (selected)</w:t>
            </w:r>
          </w:p>
        </w:tc>
        <w:tc>
          <w:tcPr>
            <w:tcW w:w="1050" w:type="pct"/>
            <w:vAlign w:val="center"/>
          </w:tcPr>
          <w:p>
            <w:pPr>
              <w:spacing w:after="40"/>
            </w:pPr>
            <w:r>
              <w:rPr>
                <w:sz w:val="19"/>
              </w:rPr>
              <w:t xml:space="preserve">NetScaler MPX 8930 (Premium)</w:t>
            </w:r>
          </w:p>
        </w:tc>
        <w:tc>
          <w:tcPr>
            <w:tcW w:w="450" w:type="pct"/>
            <w:vAlign w:val="center"/>
          </w:tcPr>
          <w:p>
            <w:pPr>
              <w:spacing w:after="40"/>
            </w:pPr>
            <w:r>
              <w:rPr>
                <w:sz w:val="19"/>
              </w:rPr>
              <w:t xml:space="preserve">1U Rack</w:t>
            </w:r>
          </w:p>
        </w:tc>
        <w:tc>
          <w:tcPr>
            <w:tcW w:w="500" w:type="pct"/>
            <w:vAlign w:val="center"/>
          </w:tcPr>
          <w:p>
            <w:pPr>
              <w:spacing w:after="40"/>
            </w:pPr>
            <w:r>
              <w:rPr>
                <w:sz w:val="19"/>
              </w:rPr>
              <w:t xml:space="preserve">420K/s</w:t>
            </w:r>
          </w:p>
        </w:tc>
        <w:tc>
          <w:tcPr>
            <w:tcW w:w="500" w:type="pct"/>
            <w:vAlign w:val="center"/>
          </w:tcPr>
          <w:p>
            <w:pPr>
              <w:spacing w:after="40"/>
            </w:pPr>
            <w:r>
              <w:rPr>
                <w:sz w:val="19"/>
              </w:rPr>
              <w:t xml:space="preserve">24 Gbps</w:t>
            </w:r>
          </w:p>
        </w:tc>
        <w:tc>
          <w:tcPr>
            <w:tcW w:w="450" w:type="pct"/>
            <w:vAlign w:val="center"/>
          </w:tcPr>
          <w:p>
            <w:pPr>
              <w:spacing w:after="40"/>
            </w:pPr>
            <w:r>
              <w:rPr>
                <w:sz w:val="19"/>
              </w:rPr>
              <w:t xml:space="preserve">28K/s</w:t>
            </w:r>
          </w:p>
        </w:tc>
        <w:tc>
          <w:tcPr>
            <w:tcW w:w="350" w:type="pct"/>
            <w:vAlign w:val="center"/>
          </w:tcPr>
          <w:p>
            <w:pPr>
              <w:spacing w:after="40"/>
            </w:pPr>
            <w:r>
              <w:rPr>
                <w:sz w:val="19"/>
              </w:rPr>
              <w:t xml:space="preserve">100%</w:t>
            </w:r>
          </w:p>
        </w:tc>
        <w:tc>
          <w:tcPr>
            <w:tcW w:w="350" w:type="pct"/>
            <w:vAlign w:val="center"/>
          </w:tcPr>
          <w:p>
            <w:pPr>
              <w:spacing w:after="40"/>
            </w:pPr>
            <w:r>
              <w:rPr>
                <w:sz w:val="19"/>
              </w:rPr>
              <w:t xml:space="preserve">74%</w:t>
            </w:r>
          </w:p>
        </w:tc>
        <w:tc>
          <w:tcPr>
            <w:tcW w:w="700" w:type="pct"/>
            <w:vAlign w:val="center"/>
          </w:tcPr>
          <w:p>
            <w:pPr>
              <w:spacing w:after="40"/>
            </w:pPr>
            <w:r>
              <w:rPr>
                <w:sz w:val="19"/>
              </w:rPr>
              <w:t xml:space="preserve">throughput</w:t>
            </w:r>
          </w:p>
        </w:tc>
      </w:tr>
    </w:tbl>
    <w:p>
      <w:pPr>
        <w:spacing w:after="160"/>
      </w:pPr>
    </w:p>
    <w:p>
      <w:pPr>
        <w:spacing w:after="160"/>
      </w:pPr>
      <w:r>
        <w:rPr>
          <w:i/>
          <w:sz w:val="18"/>
          <w:color w:val="5A6B7B"/>
        </w:rPr>
        <w:t xml:space="preserve">Fit is the weakest dimension measured against the requirement, not an average: a platform that covers the throughput twice over but only 40% of the TLS handshake rate does not fit 70%, it fails. 100% means every dimension is met; the Load column then says how much of that capacity the design actually uses.</w:t>
      </w:r>
    </w:p>
    <w:p>
      <w:pPr>
        <w:pStyle w:val="Heading1"/>
        <w:pageBreakBefore/>
      </w:pPr>
      <w:r>
        <w:t xml:space="preserve">8. Diagrams</w:t>
      </w:r>
    </w:p>
    <w:p>
      <w:pPr>
        <w:pStyle w:val="Heading2"/>
      </w:pPr>
      <w:r>
        <w:t xml:space="preserve">Connectivity design</w:t>
      </w:r>
    </w:p>
    <w:p>
      <w:pPr>
        <w:jc w:val="center"/>
        <w:spacing w:after="120"/>
      </w:pPr>
      <w:r>
        <w:drawing>
          <wp:inline xmlns:wp="http://schemas.openxmlformats.org/drawingml/2006/wordprocessingDrawing" distT="0" distB="0" distL="0" distR="0">
            <wp:extent cx="5869517" cy="4476750"/>
            <wp:effectExtent l="0" t="0" r="0" b="0"/>
            <wp:docPr id="100" name="Connectivity design" descr="Connectivity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Connectivity design"/>
                    <pic:cNvPicPr/>
                  </pic:nvPicPr>
                  <pic:blipFill>
                    <a:blip xmlns:r="http://schemas.openxmlformats.org/officeDocument/2006/relationships" r:embed="rIdImg1"/>
                    <a:stretch>
                      <a:fillRect/>
                    </a:stretch>
                  </pic:blipFill>
                  <pic:spPr>
                    <a:xfrm>
                      <a:off x="0" y="0"/>
                      <a:ext cx="5869517" cy="4476750"/>
                    </a:xfrm>
                    <a:prstGeom prst="rect">
                      <a:avLst/>
                    </a:prstGeom>
                  </pic:spPr>
                </pic:pic>
              </a:graphicData>
            </a:graphic>
          </wp:inline>
        </w:drawing>
      </w:r>
    </w:p>
    <w:p>
      <w:pPr>
        <w:pStyle w:val="Caption"/>
      </w:pPr>
      <w:r>
        <w:t xml:space="preserve">How the WAF is inserted into the traffic path, drawn with the port layout of the chosen platform.</w:t>
      </w:r>
    </w:p>
    <w:p>
      <w:pPr>
        <w:pStyle w:val="Heading2"/>
      </w:pPr>
      <w:r>
        <w:t xml:space="preserve">Inspection design</w:t>
      </w:r>
    </w:p>
    <w:p>
      <w:pPr>
        <w:jc w:val="center"/>
        <w:spacing w:after="120"/>
      </w:pPr>
      <w:r>
        <w:drawing>
          <wp:inline xmlns:wp="http://schemas.openxmlformats.org/drawingml/2006/wordprocessingDrawing" distT="0" distB="0" distL="0" distR="0">
            <wp:extent cx="6038850" cy="4401196"/>
            <wp:effectExtent l="0" t="0" r="0" b="0"/>
            <wp:docPr id="101" name="Inspection design" descr="Inspection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nspection design"/>
                    <pic:cNvPicPr/>
                  </pic:nvPicPr>
                  <pic:blipFill>
                    <a:blip xmlns:r="http://schemas.openxmlformats.org/officeDocument/2006/relationships" r:embed="rIdImg2"/>
                    <a:stretch>
                      <a:fillRect/>
                    </a:stretch>
                  </pic:blipFill>
                  <pic:spPr>
                    <a:xfrm>
                      <a:off x="0" y="0"/>
                      <a:ext cx="6038850" cy="4401196"/>
                    </a:xfrm>
                    <a:prstGeom prst="rect">
                      <a:avLst/>
                    </a:prstGeom>
                  </pic:spPr>
                </pic:pic>
              </a:graphicData>
            </a:graphic>
          </wp:inline>
        </w:drawing>
      </w:r>
    </w:p>
    <w:p>
      <w:pPr>
        <w:pStyle w:val="Caption"/>
      </w:pPr>
      <w:r>
        <w:t xml:space="preserve">What the WAF does to a request between accepting it and passing it to the application.</w:t>
      </w:r>
    </w:p>
    <w:p>
      <w:pPr>
        <w:pStyle w:val="Heading1"/>
      </w:pPr>
      <w:r>
        <w:t xml:space="preserve">9. Assumptions and caveats</w:t>
      </w:r>
    </w:p>
    <w:p>
      <w:pPr>
        <w:numPr>
          <w:ilvl w:val="0"/>
          <w:numId w:val="1"/>
        </w:numPr>
      </w:pPr>
      <w:r>
        <w:rPr>
          <w:sz w:val="19"/>
        </w:rPr>
        <w:t xml:space="preserve">Performance figures in this document are indicative values held for relative sizing between models. Each vendor publishes against a different test profile and revises the numbers per software release, so the final model must be confirmed against the current Citrix NetScaler datasheet before a quotation is issued.</w:t>
      </w:r>
    </w:p>
    <w:p>
      <w:pPr>
        <w:numPr>
          <w:ilvl w:val="0"/>
          <w:numId w:val="1"/>
        </w:numPr>
      </w:pPr>
      <w:r>
        <w:rPr>
          <w:sz w:val="19"/>
        </w:rPr>
        <w:t xml:space="preserve">The sizing is driven by layer-7 request rate, application throughput, new TLS handshake rate and concurrent connections. A WAF is not sized on the headline throughput of the platform: with a production policy enabled the usable rate is a fraction of it.</w:t>
      </w:r>
    </w:p>
    <w:p>
      <w:pPr>
        <w:numPr>
          <w:ilvl w:val="0"/>
          <w:numId w:val="1"/>
        </w:numPr>
      </w:pPr>
      <w:r>
        <w:rPr>
          <w:sz w:val="19"/>
        </w:rPr>
        <w:t xml:space="preserve">Growth of 20% a year has been compounded over 3 years, and the platform is sized to run at no more than 65% of its rating at the end of that term.</w:t>
      </w:r>
    </w:p>
    <w:p>
      <w:pPr>
        <w:numPr>
          <w:ilvl w:val="0"/>
          <w:numId w:val="1"/>
        </w:numPr>
      </w:pPr>
      <w:r>
        <w:rPr>
          <w:sz w:val="19"/>
        </w:rPr>
        <w:t xml:space="preserve">Each unit in the high-availability group is sized to carry 100% of the total load, so the loss of one unit does not degrade the service. Sizing a pair at half the load each is the most common WAF sizing error and is deliberately not done here.</w:t>
      </w:r>
    </w:p>
    <w:p>
      <w:pPr>
        <w:numPr>
          <w:ilvl w:val="0"/>
          <w:numId w:val="1"/>
        </w:numPr>
      </w:pPr>
      <w:r>
        <w:rPr>
          <w:sz w:val="19"/>
        </w:rPr>
        <w:t xml:space="preserve">TLS handshake capacity has been sized on RSA-2048 certificates. Moving to ECDSA P-256 would roughly double the available handshake rate on the same platform, which is often cheaper than moving up a model.</w:t>
      </w:r>
    </w:p>
    <w:p>
      <w:pPr>
        <w:numPr>
          <w:ilvl w:val="0"/>
          <w:numId w:val="1"/>
        </w:numPr>
      </w:pPr>
      <w:r>
        <w:rPr>
          <w:sz w:val="19"/>
        </w:rPr>
        <w:t xml:space="preserve">Licensing shown is the bill of materials the design implies, not a quotation. Term length, support tier, discount level and any existing entitlement all change the commercial outcome and must be confirmed with the vendor or distributor.</w:t>
      </w:r>
    </w:p>
    <w:p>
      <w:pPr>
        <w:jc w:val="center"/>
        <w:spacing w:after="0"/>
      </w:pPr>
      <w:r>
        <w:rPr>
          <w:sz w:val="17"/>
          <w:color w:val="9AA7B4"/>
        </w:rPr>
        <w:t xml:space="preserve">Generated by Niyaasoft WAF Sizing Tool  -  generated 2026-09-20 22:31</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420" w:hanging="300"/>
      </w:pPr>
      <w:rPr>
        <w:rFonts w:ascii="Arial" w:hAnsi="Arial" w:hint="default"/>
      </w:rPr>
    </w:lvl>
  </w:abstractNum>
  <w:abstractNum w:abstractNumId="1">
    <w:lvl w:ilvl="0">
      <w:start w:val="1"/>
      <w:numFmt w:val="decimal"/>
      <w:lvlText w:val="%1."/>
      <w:lvlJc w:val="left"/>
      <w:pPr>
        <w:ind w:left="420" w:hanging="300"/>
      </w:pPr>
    </w:lvl>
  </w:abstractNum>
  <w:num w:numId="1">
    <w:abstractNumId w:val="0"/>
  </w:num>
  <w:num w:numId="2">
    <w:abstractNumId w:val="1"/>
  </w:num>
</w:numbering>
</file>

<file path=word/styles.xml><?xml version="1.0" encoding="utf-8"?>
<w:styles xmlns:w="http://schemas.openxmlformats.org/wordprocessingml/2006/main">
  <w:docDefaults>
    <w:rPrDefault>
      <w:rPr>
        <w:rFonts w:ascii="Segoe UI" w:hAnsi="Segoe UI" w:eastAsia="Segoe UI" w:cs="Segoe UI"/>
        <w:sz w:val="20"/>
        <w:szCs w:val="20"/>
        <w:color w:val="1F2933"/>
      </w:rPr>
    </w:rPrDefault>
    <w:pPrDefault>
      <w:pPr>
        <w:spacing w:after="120" w:line="264" w:lineRule="auto"/>
      </w:pPr>
    </w:pPrDefault>
  </w:docDefaults>
  <w:style w:type="paragraph" w:default="1" w:styleId="Normal">
    <w:name w:val="Normal"/>
  </w:style>
  <w:style w:type="paragraph" w:styleId="Title">
    <w:name w:val="Title"/>
    <w:basedOn w:val="Normal"/>
    <w:pPr>
      <w:spacing w:after="60"/>
    </w:pPr>
    <w:rPr>
      <w:rFonts w:ascii="Segoe UI Semibold" w:hAnsi="Segoe UI Semibold"/>
      <w:b/>
      <w:sz w:val="52"/>
      <w:color w:val="1F3B57"/>
    </w:rPr>
  </w:style>
  <w:style w:type="paragraph" w:styleId="Subtitle">
    <w:name w:val="Subtitle"/>
    <w:basedOn w:val="Normal"/>
    <w:rPr>
      <w:sz w:val="24"/>
      <w:color w:val="5A6B7B"/>
    </w:rPr>
  </w:style>
  <w:style w:type="paragraph" w:styleId="Heading1">
    <w:name w:val="heading 1"/>
    <w:basedOn w:val="Normal"/>
    <w:pPr>
      <w:keepNext/>
      <w:outlineLvl w:val="0"/>
      <w:spacing w:before="280" w:after="120"/>
    </w:pPr>
    <w:rPr>
      <w:rFonts w:ascii="Segoe UI Semibold" w:hAnsi="Segoe UI Semibold"/>
      <w:b/>
      <w:color w:val="1F3B57"/>
      <w:sz w:val="30"/>
    </w:rPr>
  </w:style>
  <w:style w:type="paragraph" w:styleId="Heading2">
    <w:name w:val="heading 2"/>
    <w:basedOn w:val="Normal"/>
    <w:pPr>
      <w:keepNext/>
      <w:outlineLvl w:val="1"/>
      <w:spacing w:before="280" w:after="120"/>
    </w:pPr>
    <w:rPr>
      <w:rFonts w:ascii="Segoe UI Semibold" w:hAnsi="Segoe UI Semibold"/>
      <w:b/>
      <w:color w:val="2C5C86"/>
      <w:sz w:val="24"/>
    </w:rPr>
  </w:style>
  <w:style w:type="paragraph" w:styleId="Caption">
    <w:name w:val="caption"/>
    <w:basedOn w:val="Normal"/>
    <w:pPr>
      <w:jc w:val="center"/>
      <w:spacing w:after="240"/>
    </w:pPr>
    <w:rPr>
      <w:i/>
      <w:sz w:val="17"/>
      <w:color w:val="5A6B7B"/>
    </w:rPr>
  </w:style>
  <w:style w:type="table" w:styleId="WstTable">
    <w:name w:val="WST Table"/>
    <w:tblPr>
      <w:tblCellMar>
        <w:top w:w="80" w:type="dxa"/>
        <w:bottom w:w="80"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 Type="http://schemas.openxmlformats.org/officeDocument/2006/relationships/numbering" Target="numbering.xml"/><Relationship Id="rIdImg1" Type="http://schemas.openxmlformats.org/officeDocument/2006/relationships/image" Target="media/diagram-connectivity.png"/><Relationship Id="rIdImg2" Type="http://schemas.openxmlformats.org/officeDocument/2006/relationships/image" Target="media/diagram-design.png"/></Relationships>
</file>

<file path=docProps/app.xml><?xml version="1.0" encoding="utf-8"?>
<Properties xmlns="http://schemas.openxmlformats.org/officeDocument/2006/extended-properties" xmlns:vt="http://schemas.openxmlformats.org/officeDocument/2006/docPropsVTypes">
  <Application>Niyaasoft WAF Sizing Tool</Application>
  <Company>Niyaasoft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portal WAF refresh</dc:title>
  <dc:subject>WAF sizing and design</dc:subject>
  <dc:creator>Niyyasoft</dc:creator>
  <cp:lastModifiedBy>Niyyasoft</cp:lastModifiedBy>
  <dcterms:created xsi:type="dcterms:W3CDTF">2026-09-20T19:31:47Z</dcterms:created>
  <dcterms:modified xsi:type="dcterms:W3CDTF">2026-09-20T19:31:47Z</dcterms:modified>
</cp:coreProperties>
</file>